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68" w:type="dxa"/>
        <w:tblInd w:w="-1119" w:type="dxa"/>
        <w:tblLayout w:type="fixed"/>
        <w:tblCellMar>
          <w:left w:w="0" w:type="dxa"/>
          <w:right w:w="0" w:type="dxa"/>
        </w:tblCellMar>
        <w:tblLook w:val="0720" w:firstRow="1" w:lastRow="0" w:firstColumn="0" w:lastColumn="1" w:noHBand="1" w:noVBand="1"/>
      </w:tblPr>
      <w:tblGrid>
        <w:gridCol w:w="1276"/>
        <w:gridCol w:w="877"/>
        <w:gridCol w:w="824"/>
        <w:gridCol w:w="1559"/>
        <w:gridCol w:w="567"/>
        <w:gridCol w:w="1357"/>
        <w:gridCol w:w="486"/>
        <w:gridCol w:w="1134"/>
        <w:gridCol w:w="851"/>
        <w:gridCol w:w="41"/>
        <w:gridCol w:w="897"/>
        <w:gridCol w:w="899"/>
      </w:tblGrid>
      <w:tr w:rsidR="004B3556" w:rsidRPr="00D3447A" w14:paraId="67C56955" w14:textId="77777777" w:rsidTr="00EB5C70">
        <w:trPr>
          <w:trHeight w:val="238"/>
        </w:trPr>
        <w:tc>
          <w:tcPr>
            <w:tcW w:w="1076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468E15" w14:textId="77777777" w:rsidR="004B3556" w:rsidRPr="00D3447A" w:rsidRDefault="004B3556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4B3556">
              <w:rPr>
                <w:rFonts w:ascii="Arial" w:eastAsia="Batang" w:hAnsi="Arial" w:cs="Arial"/>
                <w:b/>
                <w:iCs/>
                <w:sz w:val="20"/>
                <w:szCs w:val="20"/>
              </w:rPr>
              <w:t>ASSESSMENT OF RISK OF BIAS</w:t>
            </w:r>
            <w:r w:rsidR="004C6C7C">
              <w:rPr>
                <w:rFonts w:ascii="Arial" w:eastAsia="Batang" w:hAnsi="Arial" w:cs="Arial"/>
                <w:b/>
                <w:iCs/>
                <w:sz w:val="20"/>
                <w:szCs w:val="20"/>
              </w:rPr>
              <w:t xml:space="preserve"> (QUALITY CRITERIA)</w:t>
            </w:r>
          </w:p>
        </w:tc>
      </w:tr>
      <w:tr w:rsidR="005C5E03" w:rsidRPr="00D3447A" w14:paraId="5BE1E2A0" w14:textId="77777777" w:rsidTr="00EB5C70">
        <w:trPr>
          <w:trHeight w:val="23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66DA72" w14:textId="77777777" w:rsidR="005C5E03" w:rsidRPr="00D3447A" w:rsidRDefault="005C5E03" w:rsidP="00855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Article number</w:t>
            </w:r>
          </w:p>
        </w:tc>
        <w:tc>
          <w:tcPr>
            <w:tcW w:w="877" w:type="dxa"/>
            <w:tcBorders>
              <w:top w:val="single" w:sz="8" w:space="0" w:color="auto"/>
              <w:bottom w:val="single" w:sz="8" w:space="0" w:color="auto"/>
            </w:tcBorders>
          </w:tcPr>
          <w:p w14:paraId="53D6F57E" w14:textId="77777777" w:rsidR="005C5E03" w:rsidRPr="00D3447A" w:rsidRDefault="005C5E03" w:rsidP="00855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bottom w:val="single" w:sz="8" w:space="0" w:color="auto"/>
            </w:tcBorders>
          </w:tcPr>
          <w:p w14:paraId="7894D7CF" w14:textId="77777777" w:rsidR="005C5E03" w:rsidRPr="00D3447A" w:rsidRDefault="005C5E03" w:rsidP="00855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Author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012815C4" w14:textId="77777777" w:rsidR="005C5E03" w:rsidRPr="00D3447A" w:rsidRDefault="005C5E03" w:rsidP="00855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79D7B387" w14:textId="77777777" w:rsidR="005C5E03" w:rsidRPr="00D3447A" w:rsidRDefault="005C5E03" w:rsidP="00855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Year</w:t>
            </w:r>
          </w:p>
        </w:tc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</w:tcPr>
          <w:p w14:paraId="630F2C24" w14:textId="77777777" w:rsidR="005C5E03" w:rsidRPr="00D3447A" w:rsidRDefault="005C5E03" w:rsidP="00855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8" w:space="0" w:color="auto"/>
              <w:bottom w:val="single" w:sz="8" w:space="0" w:color="auto"/>
            </w:tcBorders>
          </w:tcPr>
          <w:p w14:paraId="581D4E3F" w14:textId="77777777" w:rsidR="005C5E03" w:rsidRPr="00D3447A" w:rsidRDefault="005C5E03" w:rsidP="00855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774FB9AC" w14:textId="77777777" w:rsidR="005C5E03" w:rsidRPr="00D3447A" w:rsidRDefault="005C5E03" w:rsidP="00855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4893062D" w14:textId="77777777" w:rsidR="005C5E03" w:rsidRPr="00D3447A" w:rsidRDefault="005C5E03" w:rsidP="00855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Reviewer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0CE94" w14:textId="77777777" w:rsidR="005C5E03" w:rsidRPr="00D3447A" w:rsidRDefault="005C5E03" w:rsidP="00855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</w:tr>
      <w:tr w:rsidR="00A34EB6" w:rsidRPr="00D3447A" w14:paraId="74D9B13F" w14:textId="77777777" w:rsidTr="00EB5C70">
        <w:trPr>
          <w:trHeight w:val="960"/>
        </w:trPr>
        <w:tc>
          <w:tcPr>
            <w:tcW w:w="10768" w:type="dxa"/>
            <w:gridSpan w:val="12"/>
            <w:tcBorders>
              <w:top w:val="single" w:sz="8" w:space="0" w:color="auto"/>
            </w:tcBorders>
          </w:tcPr>
          <w:p w14:paraId="03BFEC52" w14:textId="77777777" w:rsidR="00A34EB6" w:rsidRPr="004B3556" w:rsidRDefault="00A34EB6" w:rsidP="00DA56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Batang" w:hAnsi="Arial" w:cs="Arial"/>
                <w:b/>
                <w:iCs/>
                <w:sz w:val="20"/>
                <w:szCs w:val="20"/>
              </w:rPr>
            </w:pPr>
            <w:r w:rsidRPr="00A34EB6">
              <w:rPr>
                <w:rFonts w:ascii="Times New Roman" w:hAnsi="Times New Roman" w:cs="Times New Roman"/>
                <w:bCs/>
                <w:sz w:val="20"/>
                <w:szCs w:val="20"/>
              </w:rPr>
              <w:t>Risk of bias is judged as “low,” “high,” or “unclear.” If the answers to all signaling questions for a domain are “yes,” then risk of bias can be judged low. If any signaling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4EB6">
              <w:rPr>
                <w:rFonts w:ascii="Times New Roman" w:hAnsi="Times New Roman" w:cs="Times New Roman"/>
                <w:bCs/>
                <w:sz w:val="20"/>
                <w:szCs w:val="20"/>
              </w:rPr>
              <w:t>question is answered “no,” potential for bias exists. The “unclear” category should be used only when insufficient data are reported to permit a judgment.</w:t>
            </w:r>
          </w:p>
        </w:tc>
      </w:tr>
      <w:tr w:rsidR="00AC4E6D" w:rsidRPr="00D3447A" w14:paraId="48DBF50A" w14:textId="77777777" w:rsidTr="00EB5C70">
        <w:trPr>
          <w:trHeight w:val="329"/>
        </w:trPr>
        <w:tc>
          <w:tcPr>
            <w:tcW w:w="10768" w:type="dxa"/>
            <w:gridSpan w:val="12"/>
          </w:tcPr>
          <w:p w14:paraId="5E71A536" w14:textId="77777777" w:rsidR="00AC4E6D" w:rsidRPr="00D3447A" w:rsidRDefault="00AC4E6D" w:rsidP="00855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AC4E6D">
              <w:rPr>
                <w:rFonts w:ascii="Times New Roman" w:hAnsi="Times New Roman" w:cs="Times New Roman"/>
                <w:b/>
                <w:sz w:val="20"/>
                <w:szCs w:val="20"/>
              </w:rPr>
              <w:t>Patient selection</w:t>
            </w:r>
          </w:p>
        </w:tc>
      </w:tr>
      <w:tr w:rsidR="00435466" w:rsidRPr="00D3447A" w14:paraId="0ED1581F" w14:textId="77777777" w:rsidTr="00EB5C70">
        <w:trPr>
          <w:trHeight w:val="329"/>
        </w:trPr>
        <w:tc>
          <w:tcPr>
            <w:tcW w:w="8080" w:type="dxa"/>
            <w:gridSpan w:val="8"/>
          </w:tcPr>
          <w:p w14:paraId="3954541B" w14:textId="77777777" w:rsidR="007F19B1" w:rsidRPr="00A34EB6" w:rsidRDefault="007F19B1" w:rsidP="00855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34EB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Risk of Bias: Could the Selection of Patients Have Introduced Bias?</w:t>
            </w:r>
            <w:r w:rsidR="00B220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(Two</w:t>
            </w:r>
            <w:r w:rsidR="00F250B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A900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or more </w:t>
            </w:r>
            <w:r w:rsidR="00F250B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No= High)</w:t>
            </w:r>
          </w:p>
        </w:tc>
        <w:tc>
          <w:tcPr>
            <w:tcW w:w="892" w:type="dxa"/>
            <w:gridSpan w:val="2"/>
          </w:tcPr>
          <w:p w14:paraId="732B509E" w14:textId="77777777" w:rsidR="007F19B1" w:rsidRPr="00A34EB6" w:rsidRDefault="00A34EB6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Low</w:t>
            </w:r>
          </w:p>
        </w:tc>
        <w:tc>
          <w:tcPr>
            <w:tcW w:w="897" w:type="dxa"/>
          </w:tcPr>
          <w:p w14:paraId="5FC0C22B" w14:textId="77777777" w:rsidR="007F19B1" w:rsidRPr="00A34EB6" w:rsidRDefault="00A34EB6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High</w:t>
            </w:r>
          </w:p>
        </w:tc>
        <w:tc>
          <w:tcPr>
            <w:tcW w:w="899" w:type="dxa"/>
          </w:tcPr>
          <w:p w14:paraId="00E5E6BC" w14:textId="77777777" w:rsidR="007F19B1" w:rsidRPr="00A34EB6" w:rsidRDefault="00A34EB6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Unclear</w:t>
            </w:r>
          </w:p>
        </w:tc>
      </w:tr>
      <w:tr w:rsidR="00A90084" w:rsidRPr="00D3447A" w14:paraId="4341FC68" w14:textId="77777777" w:rsidTr="00EB5C70">
        <w:tc>
          <w:tcPr>
            <w:tcW w:w="8080" w:type="dxa"/>
            <w:gridSpan w:val="8"/>
          </w:tcPr>
          <w:p w14:paraId="102E5BFB" w14:textId="77777777" w:rsidR="00A90084" w:rsidRPr="00D3447A" w:rsidRDefault="00A90084" w:rsidP="003A34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C6C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Signaling question </w:t>
            </w:r>
            <w:r w:rsidR="00CF14B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4C6C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Were subject population of interest specified? </w:t>
            </w:r>
          </w:p>
        </w:tc>
        <w:tc>
          <w:tcPr>
            <w:tcW w:w="892" w:type="dxa"/>
            <w:gridSpan w:val="2"/>
          </w:tcPr>
          <w:p w14:paraId="5D8B6C6F" w14:textId="77777777" w:rsidR="00A90084" w:rsidRPr="00D3447A" w:rsidRDefault="00A90084" w:rsidP="009934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Yes</w:t>
            </w:r>
          </w:p>
        </w:tc>
        <w:tc>
          <w:tcPr>
            <w:tcW w:w="897" w:type="dxa"/>
          </w:tcPr>
          <w:p w14:paraId="48CBC204" w14:textId="77777777" w:rsidR="00A90084" w:rsidRPr="00D3447A" w:rsidRDefault="00A90084" w:rsidP="009934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No</w:t>
            </w:r>
          </w:p>
        </w:tc>
        <w:tc>
          <w:tcPr>
            <w:tcW w:w="899" w:type="dxa"/>
          </w:tcPr>
          <w:p w14:paraId="4BDEF3F6" w14:textId="77777777" w:rsidR="00A90084" w:rsidRPr="00D3447A" w:rsidRDefault="00A90084" w:rsidP="009934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D3447A"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Unclear</w:t>
            </w:r>
          </w:p>
        </w:tc>
      </w:tr>
      <w:tr w:rsidR="008F7723" w:rsidRPr="00D3447A" w14:paraId="0B92F252" w14:textId="77777777" w:rsidTr="00EB5C70">
        <w:tc>
          <w:tcPr>
            <w:tcW w:w="8080" w:type="dxa"/>
            <w:gridSpan w:val="8"/>
          </w:tcPr>
          <w:p w14:paraId="557D0C07" w14:textId="77777777" w:rsidR="008F7723" w:rsidRPr="00D3447A" w:rsidRDefault="008F7723" w:rsidP="003A343E">
            <w:pPr>
              <w:pStyle w:val="NoSpacing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C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Signaling question </w:t>
            </w:r>
            <w:r w:rsidR="00CF14B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4C6C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Were the sampling method </w:t>
            </w:r>
            <w:r w:rsidR="004C6C7C" w:rsidRPr="004C6C7C">
              <w:rPr>
                <w:rFonts w:ascii="Times New Roman" w:hAnsi="Times New Roman" w:cs="Times New Roman"/>
                <w:iCs/>
                <w:sz w:val="20"/>
                <w:szCs w:val="20"/>
              </w:rPr>
              <w:t>(e.g., at random, consecutive, convenient)</w:t>
            </w:r>
            <w:r w:rsidR="004C6C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for subjects stated? </w:t>
            </w:r>
          </w:p>
        </w:tc>
        <w:tc>
          <w:tcPr>
            <w:tcW w:w="892" w:type="dxa"/>
            <w:gridSpan w:val="2"/>
          </w:tcPr>
          <w:p w14:paraId="3943581D" w14:textId="77777777" w:rsidR="008F7723" w:rsidRPr="00D3447A" w:rsidRDefault="008F7723" w:rsidP="009934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Yes</w:t>
            </w:r>
          </w:p>
        </w:tc>
        <w:tc>
          <w:tcPr>
            <w:tcW w:w="897" w:type="dxa"/>
          </w:tcPr>
          <w:p w14:paraId="679815C4" w14:textId="77777777" w:rsidR="008F7723" w:rsidRPr="00D3447A" w:rsidRDefault="008F7723" w:rsidP="009934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No</w:t>
            </w:r>
          </w:p>
        </w:tc>
        <w:tc>
          <w:tcPr>
            <w:tcW w:w="899" w:type="dxa"/>
          </w:tcPr>
          <w:p w14:paraId="5087FA1C" w14:textId="77777777" w:rsidR="008F7723" w:rsidRPr="00D3447A" w:rsidRDefault="008F7723" w:rsidP="009934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D3447A"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Unclear</w:t>
            </w:r>
          </w:p>
        </w:tc>
      </w:tr>
      <w:tr w:rsidR="008F7723" w:rsidRPr="00D3447A" w14:paraId="3CA88594" w14:textId="77777777" w:rsidTr="00EB5C70">
        <w:tc>
          <w:tcPr>
            <w:tcW w:w="8080" w:type="dxa"/>
            <w:gridSpan w:val="8"/>
          </w:tcPr>
          <w:p w14:paraId="1F66E7B7" w14:textId="77777777" w:rsidR="008F7723" w:rsidRPr="00D3447A" w:rsidRDefault="008F7723" w:rsidP="00CF14B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C6C7C" w:rsidRPr="003A34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Signaling question </w:t>
            </w:r>
            <w:r w:rsidR="00CF14B8" w:rsidRPr="003A343E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4C6C7C" w:rsidRPr="003A34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Was </w:t>
            </w:r>
            <w:r w:rsidR="004C6C7C" w:rsidRPr="003A34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priori</w:t>
            </w:r>
            <w:r w:rsidR="004C6C7C" w:rsidRPr="003A34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calculation of the number of patients needed explained</w:t>
            </w:r>
            <w:r w:rsidR="00CF14B8" w:rsidRPr="003A34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according to unique hypothesis</w:t>
            </w:r>
            <w:r w:rsidR="00204B5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(primary end-point)</w:t>
            </w:r>
            <w:r w:rsidR="00CF14B8" w:rsidRPr="003A34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being tested</w:t>
            </w:r>
            <w:r w:rsidR="004C6C7C" w:rsidRPr="003A343E">
              <w:rPr>
                <w:rFonts w:ascii="Times New Roman" w:hAnsi="Times New Roman" w:cs="Times New Roman"/>
                <w:iCs/>
                <w:sz w:val="20"/>
                <w:szCs w:val="20"/>
              </w:rPr>
              <w:t>?</w:t>
            </w:r>
          </w:p>
        </w:tc>
        <w:tc>
          <w:tcPr>
            <w:tcW w:w="892" w:type="dxa"/>
            <w:gridSpan w:val="2"/>
          </w:tcPr>
          <w:p w14:paraId="49D42C99" w14:textId="77777777" w:rsidR="008F7723" w:rsidRPr="00D3447A" w:rsidRDefault="008F7723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Yes</w:t>
            </w:r>
          </w:p>
        </w:tc>
        <w:tc>
          <w:tcPr>
            <w:tcW w:w="897" w:type="dxa"/>
          </w:tcPr>
          <w:p w14:paraId="6BBFD09B" w14:textId="77777777" w:rsidR="008F7723" w:rsidRPr="00D3447A" w:rsidRDefault="008F7723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No</w:t>
            </w:r>
          </w:p>
        </w:tc>
        <w:tc>
          <w:tcPr>
            <w:tcW w:w="899" w:type="dxa"/>
          </w:tcPr>
          <w:p w14:paraId="38B2C125" w14:textId="77777777" w:rsidR="008F7723" w:rsidRPr="00D3447A" w:rsidRDefault="008F7723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D3447A"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Unclear</w:t>
            </w:r>
          </w:p>
        </w:tc>
      </w:tr>
      <w:tr w:rsidR="00642988" w:rsidRPr="00D3447A" w14:paraId="0B8CF19F" w14:textId="77777777" w:rsidTr="00EB5C70">
        <w:tc>
          <w:tcPr>
            <w:tcW w:w="8080" w:type="dxa"/>
            <w:gridSpan w:val="8"/>
          </w:tcPr>
          <w:p w14:paraId="28195024" w14:textId="77777777" w:rsidR="00642988" w:rsidRDefault="00642988">
            <w:pPr>
              <w:widowControl w:val="0"/>
              <w:tabs>
                <w:tab w:val="left" w:pos="2354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Signaling question 4: Was the population demographic data well reported in the Results?</w:t>
            </w:r>
          </w:p>
        </w:tc>
        <w:tc>
          <w:tcPr>
            <w:tcW w:w="892" w:type="dxa"/>
            <w:gridSpan w:val="2"/>
          </w:tcPr>
          <w:p w14:paraId="6E243297" w14:textId="77777777" w:rsidR="00642988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Yes</w:t>
            </w:r>
          </w:p>
        </w:tc>
        <w:tc>
          <w:tcPr>
            <w:tcW w:w="897" w:type="dxa"/>
          </w:tcPr>
          <w:p w14:paraId="7DB5CFED" w14:textId="77777777" w:rsidR="00642988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No</w:t>
            </w:r>
          </w:p>
        </w:tc>
        <w:tc>
          <w:tcPr>
            <w:tcW w:w="899" w:type="dxa"/>
          </w:tcPr>
          <w:p w14:paraId="42F6A7B7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D3447A"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Unclear</w:t>
            </w:r>
          </w:p>
        </w:tc>
      </w:tr>
      <w:tr w:rsidR="00642988" w:rsidRPr="00D3447A" w14:paraId="0964A19F" w14:textId="77777777" w:rsidTr="00EB5C70">
        <w:tc>
          <w:tcPr>
            <w:tcW w:w="8080" w:type="dxa"/>
            <w:gridSpan w:val="8"/>
          </w:tcPr>
          <w:p w14:paraId="391E27F2" w14:textId="77777777" w:rsidR="00642988" w:rsidRPr="00AC4E6D" w:rsidRDefault="00642988" w:rsidP="00855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</w:pPr>
            <w:r w:rsidRPr="00AC4E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Applicability: Are There Concerns That the Included Patients and Setting Do Not Match the Review Question?</w:t>
            </w:r>
          </w:p>
        </w:tc>
        <w:tc>
          <w:tcPr>
            <w:tcW w:w="892" w:type="dxa"/>
            <w:gridSpan w:val="2"/>
          </w:tcPr>
          <w:p w14:paraId="54EF37D1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Low</w:t>
            </w:r>
          </w:p>
        </w:tc>
        <w:tc>
          <w:tcPr>
            <w:tcW w:w="897" w:type="dxa"/>
          </w:tcPr>
          <w:p w14:paraId="783D4302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High</w:t>
            </w:r>
          </w:p>
        </w:tc>
        <w:tc>
          <w:tcPr>
            <w:tcW w:w="899" w:type="dxa"/>
          </w:tcPr>
          <w:p w14:paraId="6140AE1E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Unclear</w:t>
            </w:r>
          </w:p>
        </w:tc>
      </w:tr>
      <w:tr w:rsidR="00642988" w:rsidRPr="00D3447A" w14:paraId="1CAD2C4B" w14:textId="77777777" w:rsidTr="00EB5C70">
        <w:tc>
          <w:tcPr>
            <w:tcW w:w="8080" w:type="dxa"/>
            <w:gridSpan w:val="8"/>
          </w:tcPr>
          <w:p w14:paraId="749919BD" w14:textId="77777777" w:rsidR="00642988" w:rsidRPr="00AC4E6D" w:rsidRDefault="00642988" w:rsidP="005D1E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Batang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Index test (</w:t>
            </w:r>
            <w:r w:rsidRPr="00AC4E6D">
              <w:rPr>
                <w:rFonts w:ascii="Times New Roman" w:hAnsi="Times New Roman" w:cs="Times New Roman"/>
                <w:b/>
                <w:sz w:val="20"/>
                <w:szCs w:val="20"/>
              </w:rPr>
              <w:t>Non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C4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invasive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Hemoglobin M</w:t>
            </w:r>
            <w:r w:rsidRPr="00AC4E6D">
              <w:rPr>
                <w:rFonts w:ascii="Times New Roman" w:hAnsi="Times New Roman" w:cs="Times New Roman"/>
                <w:b/>
                <w:sz w:val="20"/>
                <w:szCs w:val="20"/>
              </w:rPr>
              <w:t>onitoring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92" w:type="dxa"/>
            <w:gridSpan w:val="2"/>
          </w:tcPr>
          <w:p w14:paraId="307D64B7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7" w:type="dxa"/>
          </w:tcPr>
          <w:p w14:paraId="558DA076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9" w:type="dxa"/>
          </w:tcPr>
          <w:p w14:paraId="3551C2DB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</w:tr>
      <w:tr w:rsidR="00642988" w:rsidRPr="00D3447A" w14:paraId="673287E6" w14:textId="77777777" w:rsidTr="006831B3">
        <w:trPr>
          <w:trHeight w:val="374"/>
        </w:trPr>
        <w:tc>
          <w:tcPr>
            <w:tcW w:w="8080" w:type="dxa"/>
            <w:gridSpan w:val="8"/>
          </w:tcPr>
          <w:p w14:paraId="3A88FFD4" w14:textId="77777777" w:rsidR="00642988" w:rsidRDefault="00642988" w:rsidP="00A900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EB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Risk of Bias: Could the Conduct or Interpretation of Non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  <w:r w:rsidRPr="00A34EB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invasive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Hemoglobin </w:t>
            </w:r>
            <w:r w:rsidRPr="00A34EB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Monitoring Have Introduced Bias?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(Two or more No= High)</w:t>
            </w:r>
          </w:p>
        </w:tc>
        <w:tc>
          <w:tcPr>
            <w:tcW w:w="892" w:type="dxa"/>
            <w:gridSpan w:val="2"/>
          </w:tcPr>
          <w:p w14:paraId="34CB45E7" w14:textId="77777777" w:rsidR="00642988" w:rsidRPr="00D3447A" w:rsidRDefault="00642988" w:rsidP="009934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Low</w:t>
            </w:r>
          </w:p>
        </w:tc>
        <w:tc>
          <w:tcPr>
            <w:tcW w:w="897" w:type="dxa"/>
          </w:tcPr>
          <w:p w14:paraId="7545793E" w14:textId="77777777" w:rsidR="00642988" w:rsidRPr="00D3447A" w:rsidRDefault="00642988" w:rsidP="009934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High</w:t>
            </w:r>
          </w:p>
        </w:tc>
        <w:tc>
          <w:tcPr>
            <w:tcW w:w="899" w:type="dxa"/>
          </w:tcPr>
          <w:p w14:paraId="054946EC" w14:textId="77777777" w:rsidR="00642988" w:rsidRPr="00D3447A" w:rsidRDefault="00642988" w:rsidP="009934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Unclear</w:t>
            </w:r>
          </w:p>
        </w:tc>
      </w:tr>
      <w:tr w:rsidR="00642988" w:rsidRPr="00D3447A" w14:paraId="7791B324" w14:textId="77777777" w:rsidTr="00EB5C70">
        <w:tc>
          <w:tcPr>
            <w:tcW w:w="8080" w:type="dxa"/>
            <w:gridSpan w:val="8"/>
          </w:tcPr>
          <w:p w14:paraId="18947D4A" w14:textId="77777777" w:rsidR="00642988" w:rsidRPr="00D3447A" w:rsidRDefault="00642988" w:rsidP="0044078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3447A">
              <w:rPr>
                <w:rFonts w:ascii="Times New Roman" w:hAnsi="Times New Roman" w:cs="Times New Roman"/>
                <w:iCs/>
                <w:sz w:val="20"/>
                <w:szCs w:val="20"/>
              </w:rPr>
              <w:t>Signaling question 1: Were non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-invasive hemoglobin </w:t>
            </w:r>
            <w:r w:rsidRPr="00D3447A">
              <w:rPr>
                <w:rFonts w:ascii="Times New Roman" w:hAnsi="Times New Roman" w:cs="Times New Roman"/>
                <w:iCs/>
                <w:sz w:val="20"/>
                <w:szCs w:val="20"/>
              </w:rPr>
              <w:t>measurements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of interest</w:t>
            </w:r>
            <w:r w:rsidRPr="00D344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described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explicitly?</w:t>
            </w:r>
            <w:r w:rsidRPr="00D344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A343E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proofErr w:type="gramStart"/>
            <w:r w:rsidRPr="003A343E">
              <w:rPr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proofErr w:type="gramEnd"/>
            <w:r w:rsidRPr="003A343E">
              <w:rPr>
                <w:rFonts w:ascii="Times New Roman" w:hAnsi="Times New Roman" w:cs="Times New Roman"/>
                <w:iCs/>
                <w:sz w:val="20"/>
                <w:szCs w:val="20"/>
              </w:rPr>
              <w:t>.e., Name of device, software version, or version of sensor software)</w:t>
            </w:r>
          </w:p>
        </w:tc>
        <w:tc>
          <w:tcPr>
            <w:tcW w:w="892" w:type="dxa"/>
            <w:gridSpan w:val="2"/>
          </w:tcPr>
          <w:p w14:paraId="13974798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Yes</w:t>
            </w:r>
          </w:p>
        </w:tc>
        <w:tc>
          <w:tcPr>
            <w:tcW w:w="897" w:type="dxa"/>
          </w:tcPr>
          <w:p w14:paraId="2DA23F2D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No</w:t>
            </w:r>
          </w:p>
        </w:tc>
        <w:tc>
          <w:tcPr>
            <w:tcW w:w="899" w:type="dxa"/>
          </w:tcPr>
          <w:p w14:paraId="445E7A96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D3447A"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Unclear</w:t>
            </w:r>
          </w:p>
        </w:tc>
      </w:tr>
      <w:tr w:rsidR="00642988" w:rsidRPr="00D3447A" w14:paraId="07BA5EE7" w14:textId="77777777" w:rsidTr="00EB5C70">
        <w:tc>
          <w:tcPr>
            <w:tcW w:w="8080" w:type="dxa"/>
            <w:gridSpan w:val="8"/>
          </w:tcPr>
          <w:p w14:paraId="2B926670" w14:textId="77777777" w:rsidR="00642988" w:rsidRPr="00D3447A" w:rsidRDefault="00642988" w:rsidP="0044078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Signaling question 2: Were non-invasive hemoglobin measurements process clearly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described to be replicated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by other investigator? (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.e., measurement site, protection from ambient light, followed manufacturer instruction etc.)</w:t>
            </w:r>
          </w:p>
        </w:tc>
        <w:tc>
          <w:tcPr>
            <w:tcW w:w="892" w:type="dxa"/>
            <w:gridSpan w:val="2"/>
          </w:tcPr>
          <w:p w14:paraId="2A70A1FE" w14:textId="77777777" w:rsidR="00642988" w:rsidRPr="00D3447A" w:rsidRDefault="00642988" w:rsidP="009934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Yes</w:t>
            </w:r>
          </w:p>
        </w:tc>
        <w:tc>
          <w:tcPr>
            <w:tcW w:w="897" w:type="dxa"/>
          </w:tcPr>
          <w:p w14:paraId="3E0355CE" w14:textId="77777777" w:rsidR="00642988" w:rsidRPr="00D3447A" w:rsidRDefault="00642988" w:rsidP="009934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No</w:t>
            </w:r>
          </w:p>
        </w:tc>
        <w:tc>
          <w:tcPr>
            <w:tcW w:w="899" w:type="dxa"/>
          </w:tcPr>
          <w:p w14:paraId="20FF9315" w14:textId="77777777" w:rsidR="00642988" w:rsidRPr="00D3447A" w:rsidRDefault="00642988" w:rsidP="009934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D3447A"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Unclear</w:t>
            </w:r>
          </w:p>
        </w:tc>
      </w:tr>
      <w:tr w:rsidR="00642988" w:rsidRPr="00D3447A" w14:paraId="75648C8C" w14:textId="77777777" w:rsidTr="00EB5C70">
        <w:tc>
          <w:tcPr>
            <w:tcW w:w="8080" w:type="dxa"/>
            <w:gridSpan w:val="8"/>
          </w:tcPr>
          <w:p w14:paraId="13D78855" w14:textId="77777777" w:rsidR="00642988" w:rsidRPr="00AC4E6D" w:rsidRDefault="00642988" w:rsidP="00A900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</w:pPr>
            <w:r w:rsidRPr="00AC4E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Applicability: Are There Concerns That the Noninvasive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Hemoglobin </w:t>
            </w:r>
            <w:r w:rsidRPr="00AC4E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Monitoring, </w:t>
            </w:r>
            <w:proofErr w:type="gramStart"/>
            <w:r w:rsidRPr="00AC4E6D">
              <w:rPr>
                <w:rFonts w:ascii="Times New Roman" w:hAnsi="Times New Roman" w:cs="Times New Roman"/>
                <w:i/>
                <w:sz w:val="20"/>
                <w:szCs w:val="20"/>
              </w:rPr>
              <w:t>Its</w:t>
            </w:r>
            <w:proofErr w:type="gramEnd"/>
            <w:r w:rsidRPr="00AC4E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Conduct, or Its Interpretation Differ From the Review Question?</w:t>
            </w:r>
          </w:p>
        </w:tc>
        <w:tc>
          <w:tcPr>
            <w:tcW w:w="892" w:type="dxa"/>
            <w:gridSpan w:val="2"/>
          </w:tcPr>
          <w:p w14:paraId="4E95D223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Low</w:t>
            </w:r>
          </w:p>
        </w:tc>
        <w:tc>
          <w:tcPr>
            <w:tcW w:w="897" w:type="dxa"/>
          </w:tcPr>
          <w:p w14:paraId="64AB5776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High</w:t>
            </w:r>
          </w:p>
        </w:tc>
        <w:tc>
          <w:tcPr>
            <w:tcW w:w="899" w:type="dxa"/>
          </w:tcPr>
          <w:p w14:paraId="1C474667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Unclear</w:t>
            </w:r>
          </w:p>
        </w:tc>
      </w:tr>
      <w:tr w:rsidR="00642988" w:rsidRPr="00D3447A" w14:paraId="1F591C70" w14:textId="77777777" w:rsidTr="00EB5C70">
        <w:tc>
          <w:tcPr>
            <w:tcW w:w="8080" w:type="dxa"/>
            <w:gridSpan w:val="8"/>
          </w:tcPr>
          <w:p w14:paraId="2D70BA5E" w14:textId="77777777" w:rsidR="00642988" w:rsidRPr="00AC4E6D" w:rsidRDefault="00642988" w:rsidP="005D1E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Batang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Reference standard (Invasive Hemoglobin measurement)</w:t>
            </w:r>
          </w:p>
        </w:tc>
        <w:tc>
          <w:tcPr>
            <w:tcW w:w="892" w:type="dxa"/>
            <w:gridSpan w:val="2"/>
          </w:tcPr>
          <w:p w14:paraId="58AA6404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7" w:type="dxa"/>
          </w:tcPr>
          <w:p w14:paraId="1BCBCC51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9" w:type="dxa"/>
          </w:tcPr>
          <w:p w14:paraId="7469F140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</w:tr>
      <w:tr w:rsidR="00642988" w:rsidRPr="00D3447A" w14:paraId="51C1ED68" w14:textId="77777777" w:rsidTr="00EB5C70">
        <w:tc>
          <w:tcPr>
            <w:tcW w:w="8080" w:type="dxa"/>
            <w:gridSpan w:val="8"/>
          </w:tcPr>
          <w:p w14:paraId="38A4B5A7" w14:textId="77777777" w:rsidR="00642988" w:rsidRDefault="00642988" w:rsidP="005D1E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EB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Risk of Bias: Could the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Invasive Hemoglobin Measurement</w:t>
            </w:r>
            <w:r w:rsidRPr="00A34EB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Its Conduct, or Its Interpretation Have Introduced Bias?</w:t>
            </w:r>
          </w:p>
        </w:tc>
        <w:tc>
          <w:tcPr>
            <w:tcW w:w="892" w:type="dxa"/>
            <w:gridSpan w:val="2"/>
          </w:tcPr>
          <w:p w14:paraId="21D98DA7" w14:textId="77777777" w:rsidR="00642988" w:rsidRPr="00D3447A" w:rsidRDefault="00642988" w:rsidP="009934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Low</w:t>
            </w:r>
          </w:p>
        </w:tc>
        <w:tc>
          <w:tcPr>
            <w:tcW w:w="897" w:type="dxa"/>
          </w:tcPr>
          <w:p w14:paraId="321C0C2C" w14:textId="77777777" w:rsidR="00642988" w:rsidRPr="00D3447A" w:rsidRDefault="00642988" w:rsidP="009934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High</w:t>
            </w:r>
          </w:p>
        </w:tc>
        <w:tc>
          <w:tcPr>
            <w:tcW w:w="899" w:type="dxa"/>
          </w:tcPr>
          <w:p w14:paraId="790BB8EA" w14:textId="77777777" w:rsidR="00642988" w:rsidRPr="00D3447A" w:rsidRDefault="00642988" w:rsidP="009934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Unclear</w:t>
            </w:r>
          </w:p>
        </w:tc>
      </w:tr>
      <w:tr w:rsidR="00642988" w:rsidRPr="00D3447A" w14:paraId="0AD7FE21" w14:textId="77777777" w:rsidTr="00EB5C70">
        <w:tc>
          <w:tcPr>
            <w:tcW w:w="8080" w:type="dxa"/>
            <w:gridSpan w:val="8"/>
            <w:vAlign w:val="center"/>
          </w:tcPr>
          <w:p w14:paraId="17BD8720" w14:textId="77777777" w:rsidR="00642988" w:rsidRPr="00D3447A" w:rsidRDefault="00642988" w:rsidP="00204B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344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Signaling question 1: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Wa</w:t>
            </w:r>
            <w:r w:rsidRPr="00D344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 the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invasive hemoglobin measurement</w:t>
            </w:r>
            <w:r w:rsidRPr="0099344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3447A">
              <w:rPr>
                <w:rFonts w:ascii="Times New Roman" w:hAnsi="Times New Roman" w:cs="Times New Roman"/>
                <w:iCs/>
                <w:sz w:val="20"/>
                <w:szCs w:val="20"/>
              </w:rPr>
              <w:t>likely to 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orrectly measure hemoglobin?</w:t>
            </w:r>
          </w:p>
        </w:tc>
        <w:tc>
          <w:tcPr>
            <w:tcW w:w="892" w:type="dxa"/>
            <w:gridSpan w:val="2"/>
          </w:tcPr>
          <w:p w14:paraId="5CF59005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Yes</w:t>
            </w:r>
          </w:p>
        </w:tc>
        <w:tc>
          <w:tcPr>
            <w:tcW w:w="897" w:type="dxa"/>
          </w:tcPr>
          <w:p w14:paraId="53A2EEE6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No</w:t>
            </w:r>
          </w:p>
        </w:tc>
        <w:tc>
          <w:tcPr>
            <w:tcW w:w="899" w:type="dxa"/>
          </w:tcPr>
          <w:p w14:paraId="2CB3DAA7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D3447A"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Unclear</w:t>
            </w:r>
          </w:p>
        </w:tc>
      </w:tr>
      <w:tr w:rsidR="00642988" w:rsidRPr="00D3447A" w14:paraId="3EB178CE" w14:textId="77777777" w:rsidTr="00EB5C70">
        <w:tc>
          <w:tcPr>
            <w:tcW w:w="8080" w:type="dxa"/>
            <w:gridSpan w:val="8"/>
            <w:vAlign w:val="center"/>
          </w:tcPr>
          <w:p w14:paraId="1B3CFA14" w14:textId="77777777" w:rsidR="00642988" w:rsidRDefault="00642988" w:rsidP="00F162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344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Signaling question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D344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Were the device name and company of </w:t>
            </w:r>
            <w:r w:rsidRPr="0099344B">
              <w:rPr>
                <w:rFonts w:ascii="Times New Roman" w:hAnsi="Times New Roman" w:cs="Times New Roman"/>
                <w:iCs/>
                <w:sz w:val="20"/>
                <w:szCs w:val="20"/>
              </w:rPr>
              <w:t>central laboratory device</w:t>
            </w:r>
            <w:r w:rsidRPr="00D344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used in invasive hemoglobin measurement clearly described?</w:t>
            </w:r>
          </w:p>
        </w:tc>
        <w:tc>
          <w:tcPr>
            <w:tcW w:w="892" w:type="dxa"/>
            <w:gridSpan w:val="2"/>
          </w:tcPr>
          <w:p w14:paraId="0D528CB0" w14:textId="77777777" w:rsidR="00642988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Yes</w:t>
            </w:r>
          </w:p>
        </w:tc>
        <w:tc>
          <w:tcPr>
            <w:tcW w:w="897" w:type="dxa"/>
          </w:tcPr>
          <w:p w14:paraId="32EBF0FD" w14:textId="77777777" w:rsidR="00642988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No</w:t>
            </w:r>
          </w:p>
        </w:tc>
        <w:tc>
          <w:tcPr>
            <w:tcW w:w="899" w:type="dxa"/>
          </w:tcPr>
          <w:p w14:paraId="2088E477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Unclear</w:t>
            </w:r>
          </w:p>
        </w:tc>
      </w:tr>
      <w:tr w:rsidR="00642988" w:rsidRPr="00D3447A" w14:paraId="2D75B67D" w14:textId="77777777" w:rsidTr="00EB5C70">
        <w:tc>
          <w:tcPr>
            <w:tcW w:w="8080" w:type="dxa"/>
            <w:gridSpan w:val="8"/>
          </w:tcPr>
          <w:p w14:paraId="39744CEE" w14:textId="77777777" w:rsidR="00642988" w:rsidRPr="00AC4E6D" w:rsidRDefault="00642988" w:rsidP="00A90084">
            <w:pPr>
              <w:pStyle w:val="NoSpacing"/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AC4E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Applicability: Are </w:t>
            </w:r>
            <w:proofErr w:type="gramStart"/>
            <w:r w:rsidRPr="00AC4E6D">
              <w:rPr>
                <w:rFonts w:ascii="Times New Roman" w:hAnsi="Times New Roman" w:cs="Times New Roman"/>
                <w:i/>
                <w:sz w:val="20"/>
                <w:szCs w:val="20"/>
              </w:rPr>
              <w:t>There</w:t>
            </w:r>
            <w:proofErr w:type="gramEnd"/>
            <w:r w:rsidRPr="00AC4E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Concerns That the Target Condition as Defined by the Invasive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Hemoglobin</w:t>
            </w:r>
            <w:r w:rsidRPr="00AC4E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Monitoring Does Not Match the Question?</w:t>
            </w:r>
          </w:p>
        </w:tc>
        <w:tc>
          <w:tcPr>
            <w:tcW w:w="892" w:type="dxa"/>
            <w:gridSpan w:val="2"/>
          </w:tcPr>
          <w:p w14:paraId="3DB814FC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Low</w:t>
            </w:r>
          </w:p>
        </w:tc>
        <w:tc>
          <w:tcPr>
            <w:tcW w:w="897" w:type="dxa"/>
          </w:tcPr>
          <w:p w14:paraId="5A09EF2C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High</w:t>
            </w:r>
          </w:p>
        </w:tc>
        <w:tc>
          <w:tcPr>
            <w:tcW w:w="899" w:type="dxa"/>
          </w:tcPr>
          <w:p w14:paraId="4A294CD7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Unclear</w:t>
            </w:r>
          </w:p>
        </w:tc>
      </w:tr>
      <w:tr w:rsidR="00642988" w:rsidRPr="00D3447A" w14:paraId="49118161" w14:textId="77777777" w:rsidTr="00EB5C70">
        <w:tc>
          <w:tcPr>
            <w:tcW w:w="8080" w:type="dxa"/>
            <w:gridSpan w:val="8"/>
          </w:tcPr>
          <w:p w14:paraId="17E69FD8" w14:textId="77777777" w:rsidR="00642988" w:rsidRPr="00AC4E6D" w:rsidRDefault="00642988" w:rsidP="00483B41">
            <w:pPr>
              <w:pStyle w:val="NoSpacing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Flow and Timing</w:t>
            </w:r>
          </w:p>
        </w:tc>
        <w:tc>
          <w:tcPr>
            <w:tcW w:w="892" w:type="dxa"/>
            <w:gridSpan w:val="2"/>
          </w:tcPr>
          <w:p w14:paraId="058EF16C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7" w:type="dxa"/>
          </w:tcPr>
          <w:p w14:paraId="57D06871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9" w:type="dxa"/>
          </w:tcPr>
          <w:p w14:paraId="71439755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</w:p>
        </w:tc>
      </w:tr>
      <w:tr w:rsidR="00642988" w:rsidRPr="00D3447A" w14:paraId="2B75837F" w14:textId="77777777" w:rsidTr="00EB5C70">
        <w:tc>
          <w:tcPr>
            <w:tcW w:w="8080" w:type="dxa"/>
            <w:gridSpan w:val="8"/>
          </w:tcPr>
          <w:p w14:paraId="3F9D367D" w14:textId="77777777" w:rsidR="00642988" w:rsidRDefault="00642988" w:rsidP="00996BA3">
            <w:pPr>
              <w:pStyle w:val="NoSpacing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34EB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Risk of Bias: Could the analysis of Flow and Timing Have Introduced Bias?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14:paraId="0D40217F" w14:textId="77777777" w:rsidR="00642988" w:rsidRDefault="00642988" w:rsidP="00996B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BA">
              <w:rPr>
                <w:rFonts w:ascii="Times New Roman" w:hAnsi="Times New Roman" w:cs="Times New Roman"/>
                <w:i/>
                <w:sz w:val="20"/>
                <w:szCs w:val="20"/>
              </w:rPr>
              <w:t>(Unclear: ≥2 unclear, 1 No + 1 unclear)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High</w:t>
            </w:r>
            <w:r w:rsidRPr="00F250BA">
              <w:rPr>
                <w:rFonts w:ascii="Times New Roman" w:hAnsi="Times New Roman" w:cs="Times New Roman"/>
                <w:i/>
                <w:sz w:val="20"/>
                <w:szCs w:val="20"/>
              </w:rPr>
              <w:t>: ≥2 No), Not applicable = Yes</w:t>
            </w:r>
          </w:p>
        </w:tc>
        <w:tc>
          <w:tcPr>
            <w:tcW w:w="892" w:type="dxa"/>
            <w:gridSpan w:val="2"/>
          </w:tcPr>
          <w:p w14:paraId="7051AE92" w14:textId="77777777" w:rsidR="00642988" w:rsidRPr="00D3447A" w:rsidRDefault="00642988" w:rsidP="009934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Low</w:t>
            </w:r>
          </w:p>
        </w:tc>
        <w:tc>
          <w:tcPr>
            <w:tcW w:w="897" w:type="dxa"/>
          </w:tcPr>
          <w:p w14:paraId="08A3020A" w14:textId="77777777" w:rsidR="00642988" w:rsidRPr="00D3447A" w:rsidRDefault="00642988" w:rsidP="009934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High</w:t>
            </w:r>
          </w:p>
        </w:tc>
        <w:tc>
          <w:tcPr>
            <w:tcW w:w="899" w:type="dxa"/>
          </w:tcPr>
          <w:p w14:paraId="7091FBCB" w14:textId="77777777" w:rsidR="00642988" w:rsidRPr="00D3447A" w:rsidRDefault="00642988" w:rsidP="009934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A34EB6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</w:rPr>
              <w:t>Unclear</w:t>
            </w:r>
          </w:p>
        </w:tc>
      </w:tr>
      <w:tr w:rsidR="00642988" w:rsidRPr="00D3447A" w14:paraId="036ABCFF" w14:textId="77777777" w:rsidTr="00EB5C70">
        <w:tc>
          <w:tcPr>
            <w:tcW w:w="8080" w:type="dxa"/>
            <w:gridSpan w:val="8"/>
          </w:tcPr>
          <w:p w14:paraId="56427694" w14:textId="77777777" w:rsidR="00642988" w:rsidRDefault="00642988" w:rsidP="0089792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Signaling question 1: Was the type of study stated (superiority, equivalent, inferiority)?</w:t>
            </w:r>
          </w:p>
        </w:tc>
        <w:tc>
          <w:tcPr>
            <w:tcW w:w="892" w:type="dxa"/>
            <w:gridSpan w:val="2"/>
          </w:tcPr>
          <w:p w14:paraId="4ECBE4A1" w14:textId="77777777" w:rsidR="00642988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Yes</w:t>
            </w:r>
          </w:p>
        </w:tc>
        <w:tc>
          <w:tcPr>
            <w:tcW w:w="897" w:type="dxa"/>
          </w:tcPr>
          <w:p w14:paraId="7F0EDEA8" w14:textId="77777777" w:rsidR="00642988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No</w:t>
            </w:r>
          </w:p>
        </w:tc>
        <w:tc>
          <w:tcPr>
            <w:tcW w:w="899" w:type="dxa"/>
          </w:tcPr>
          <w:p w14:paraId="7880E1FE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D3447A"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Unclear</w:t>
            </w:r>
          </w:p>
        </w:tc>
      </w:tr>
      <w:tr w:rsidR="00642988" w:rsidRPr="00D3447A" w14:paraId="67CD1EE6" w14:textId="77777777" w:rsidTr="00EB5C70">
        <w:tc>
          <w:tcPr>
            <w:tcW w:w="8080" w:type="dxa"/>
            <w:gridSpan w:val="8"/>
          </w:tcPr>
          <w:p w14:paraId="30E12F85" w14:textId="77777777" w:rsidR="00642988" w:rsidRDefault="00642988" w:rsidP="00204B5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Signaling question </w:t>
            </w:r>
            <w:r w:rsidRPr="00204B5D">
              <w:rPr>
                <w:rFonts w:ascii="Times New Roman" w:hAnsi="Times New Roman" w:cs="Times New Roman"/>
                <w:sz w:val="20"/>
                <w:szCs w:val="20"/>
              </w:rPr>
              <w:t xml:space="preserve">2: Were the statistical plan decided </w:t>
            </w:r>
            <w:r w:rsidRPr="00204B5D">
              <w:rPr>
                <w:rFonts w:ascii="Times New Roman" w:hAnsi="Times New Roman" w:cs="Times New Roman"/>
                <w:i/>
                <w:sz w:val="20"/>
                <w:szCs w:val="20"/>
              </w:rPr>
              <w:t>a Priori</w:t>
            </w:r>
            <w:r w:rsidRPr="00204B5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92" w:type="dxa"/>
            <w:gridSpan w:val="2"/>
          </w:tcPr>
          <w:p w14:paraId="49E8D396" w14:textId="77777777" w:rsidR="00642988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Yes</w:t>
            </w:r>
          </w:p>
        </w:tc>
        <w:tc>
          <w:tcPr>
            <w:tcW w:w="897" w:type="dxa"/>
          </w:tcPr>
          <w:p w14:paraId="040A0C45" w14:textId="77777777" w:rsidR="00642988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No</w:t>
            </w:r>
          </w:p>
        </w:tc>
        <w:tc>
          <w:tcPr>
            <w:tcW w:w="899" w:type="dxa"/>
          </w:tcPr>
          <w:p w14:paraId="10856054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D3447A"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Unclear</w:t>
            </w:r>
          </w:p>
        </w:tc>
      </w:tr>
      <w:tr w:rsidR="00642988" w:rsidRPr="00D3447A" w14:paraId="4EA7AF00" w14:textId="77777777" w:rsidTr="00EB5C70">
        <w:tc>
          <w:tcPr>
            <w:tcW w:w="8080" w:type="dxa"/>
            <w:gridSpan w:val="8"/>
          </w:tcPr>
          <w:p w14:paraId="43275A16" w14:textId="77777777" w:rsidR="00642988" w:rsidRDefault="00642988" w:rsidP="00204B5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Signaling question 3</w:t>
            </w:r>
            <w:r w:rsidRPr="00D3447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16FF">
              <w:rPr>
                <w:rFonts w:ascii="Times New Roman" w:hAnsi="Times New Roman" w:cs="Times New Roman"/>
                <w:sz w:val="20"/>
                <w:szCs w:val="20"/>
              </w:rPr>
              <w:t>In case of study performing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repeated measurements in same patient, did they use</w:t>
            </w:r>
            <w:r w:rsidRPr="00D34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statistical analysis for a</w:t>
            </w:r>
            <w:r w:rsidRPr="00AA24BF">
              <w:rPr>
                <w:rFonts w:ascii="Times New Roman" w:hAnsi="Times New Roman" w:cs="Times New Roman"/>
                <w:sz w:val="20"/>
                <w:szCs w:val="20"/>
              </w:rPr>
              <w:t>greement between methods of measurement with multiple observations per individual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92" w:type="dxa"/>
            <w:gridSpan w:val="2"/>
          </w:tcPr>
          <w:p w14:paraId="57B7D37C" w14:textId="77777777" w:rsidR="00642988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Yes</w:t>
            </w:r>
          </w:p>
        </w:tc>
        <w:tc>
          <w:tcPr>
            <w:tcW w:w="897" w:type="dxa"/>
          </w:tcPr>
          <w:p w14:paraId="42391F8D" w14:textId="77777777" w:rsidR="00642988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No</w:t>
            </w:r>
          </w:p>
        </w:tc>
        <w:tc>
          <w:tcPr>
            <w:tcW w:w="899" w:type="dxa"/>
          </w:tcPr>
          <w:p w14:paraId="247C4675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D3447A"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Unclear</w:t>
            </w:r>
          </w:p>
        </w:tc>
      </w:tr>
      <w:tr w:rsidR="00642988" w:rsidRPr="00D3447A" w14:paraId="05C908FB" w14:textId="77777777" w:rsidTr="00EB5C70">
        <w:tc>
          <w:tcPr>
            <w:tcW w:w="8080" w:type="dxa"/>
            <w:gridSpan w:val="8"/>
          </w:tcPr>
          <w:p w14:paraId="11F16B32" w14:textId="77777777" w:rsidR="00642988" w:rsidRDefault="00642988" w:rsidP="00204B5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6F7">
              <w:rPr>
                <w:rFonts w:ascii="Times New Roman" w:hAnsi="Times New Roman" w:cs="Times New Roman"/>
                <w:sz w:val="20"/>
                <w:szCs w:val="20"/>
              </w:rPr>
              <w:t xml:space="preserve">Signaling 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66F7">
              <w:rPr>
                <w:rFonts w:ascii="Times New Roman" w:hAnsi="Times New Roman" w:cs="Times New Roman"/>
                <w:sz w:val="20"/>
                <w:szCs w:val="20"/>
              </w:rPr>
              <w:t xml:space="preserve">: Was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interval between non-invasive and invasive hemoglobin measurement</w:t>
            </w:r>
            <w:r w:rsidRPr="00E06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appropriate for the study purpose (continuous </w:t>
            </w:r>
            <w:proofErr w:type="spellStart"/>
            <w:r w:rsidRPr="00204B5D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point-of-care) and the method of acquiring paired measurements well described?</w:t>
            </w:r>
          </w:p>
        </w:tc>
        <w:tc>
          <w:tcPr>
            <w:tcW w:w="892" w:type="dxa"/>
            <w:gridSpan w:val="2"/>
          </w:tcPr>
          <w:p w14:paraId="75AA089F" w14:textId="77777777" w:rsidR="00642988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Yes</w:t>
            </w:r>
          </w:p>
        </w:tc>
        <w:tc>
          <w:tcPr>
            <w:tcW w:w="897" w:type="dxa"/>
          </w:tcPr>
          <w:p w14:paraId="1719A317" w14:textId="77777777" w:rsidR="00642988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No</w:t>
            </w:r>
          </w:p>
        </w:tc>
        <w:tc>
          <w:tcPr>
            <w:tcW w:w="899" w:type="dxa"/>
          </w:tcPr>
          <w:p w14:paraId="4D926F6A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D3447A"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Unclear</w:t>
            </w:r>
          </w:p>
        </w:tc>
      </w:tr>
      <w:tr w:rsidR="00642988" w:rsidRPr="00D3447A" w14:paraId="5D4E4F5A" w14:textId="77777777" w:rsidTr="00EB5C70">
        <w:tc>
          <w:tcPr>
            <w:tcW w:w="8080" w:type="dxa"/>
            <w:gridSpan w:val="8"/>
          </w:tcPr>
          <w:p w14:paraId="0C6A4600" w14:textId="77777777" w:rsidR="00642988" w:rsidRPr="00E066F7" w:rsidRDefault="00642988" w:rsidP="00440782">
            <w:pPr>
              <w:pStyle w:val="NoSpacing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E06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4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Signaling question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D344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Were number of patients enrolled and who dropped out clearly described in the result?  </w:t>
            </w:r>
          </w:p>
        </w:tc>
        <w:tc>
          <w:tcPr>
            <w:tcW w:w="892" w:type="dxa"/>
            <w:gridSpan w:val="2"/>
          </w:tcPr>
          <w:p w14:paraId="640C260B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Yes</w:t>
            </w:r>
          </w:p>
        </w:tc>
        <w:tc>
          <w:tcPr>
            <w:tcW w:w="897" w:type="dxa"/>
          </w:tcPr>
          <w:p w14:paraId="411C6F1B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No</w:t>
            </w:r>
          </w:p>
        </w:tc>
        <w:tc>
          <w:tcPr>
            <w:tcW w:w="899" w:type="dxa"/>
          </w:tcPr>
          <w:p w14:paraId="7ADF22FD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 w:rsidRPr="00D3447A"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Unclear</w:t>
            </w:r>
          </w:p>
        </w:tc>
      </w:tr>
      <w:tr w:rsidR="00642988" w:rsidRPr="00D3447A" w14:paraId="54185B30" w14:textId="77777777" w:rsidTr="00EB5C70">
        <w:tc>
          <w:tcPr>
            <w:tcW w:w="8080" w:type="dxa"/>
            <w:gridSpan w:val="8"/>
          </w:tcPr>
          <w:p w14:paraId="20470AE3" w14:textId="77777777" w:rsidR="00642988" w:rsidRPr="00F250BA" w:rsidRDefault="00642988" w:rsidP="007D726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Signaling question 7: In the case of the bias being described both in text and figures, do they match consistently? </w:t>
            </w:r>
          </w:p>
        </w:tc>
        <w:tc>
          <w:tcPr>
            <w:tcW w:w="892" w:type="dxa"/>
            <w:gridSpan w:val="2"/>
          </w:tcPr>
          <w:p w14:paraId="60795C1D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Yes</w:t>
            </w:r>
          </w:p>
        </w:tc>
        <w:tc>
          <w:tcPr>
            <w:tcW w:w="897" w:type="dxa"/>
          </w:tcPr>
          <w:p w14:paraId="2ACFA079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No</w:t>
            </w:r>
          </w:p>
        </w:tc>
        <w:tc>
          <w:tcPr>
            <w:tcW w:w="899" w:type="dxa"/>
          </w:tcPr>
          <w:p w14:paraId="7A4C16EC" w14:textId="77777777" w:rsidR="00642988" w:rsidRPr="00D3447A" w:rsidRDefault="00642988" w:rsidP="00A34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Batang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iCs/>
                <w:sz w:val="20"/>
                <w:szCs w:val="20"/>
              </w:rPr>
              <w:t>Not applicable</w:t>
            </w:r>
          </w:p>
        </w:tc>
      </w:tr>
    </w:tbl>
    <w:tbl>
      <w:tblPr>
        <w:tblW w:w="0" w:type="auto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8"/>
      </w:tblGrid>
      <w:tr w:rsidR="004778FD" w:rsidRPr="00BC7229" w14:paraId="5695CF26" w14:textId="77777777" w:rsidTr="004778FD">
        <w:trPr>
          <w:trHeight w:val="330"/>
        </w:trPr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F193A" w14:textId="77777777" w:rsidR="004778FD" w:rsidRDefault="00B41B04" w:rsidP="004778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5227A946" w14:textId="77777777" w:rsidR="004778FD" w:rsidRPr="004778FD" w:rsidRDefault="004778FD" w:rsidP="0023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8FD">
              <w:rPr>
                <w:rFonts w:ascii="Times New Roman" w:hAnsi="Times New Roman" w:cs="Times New Roman"/>
                <w:sz w:val="20"/>
                <w:szCs w:val="20"/>
              </w:rPr>
              <w:t xml:space="preserve">□ Included □ Excluded; </w:t>
            </w:r>
            <w:r w:rsidR="00236604">
              <w:rPr>
                <w:rFonts w:ascii="Times New Roman" w:hAnsi="Times New Roman" w:cs="Times New Roman"/>
                <w:sz w:val="20"/>
                <w:szCs w:val="20"/>
              </w:rPr>
              <w:t>Remark:</w:t>
            </w:r>
          </w:p>
        </w:tc>
      </w:tr>
    </w:tbl>
    <w:p w14:paraId="4C38D426" w14:textId="77777777" w:rsidR="004A62C9" w:rsidRPr="006275FC" w:rsidRDefault="004A62C9" w:rsidP="0085543C">
      <w:pPr>
        <w:widowControl w:val="0"/>
        <w:autoSpaceDE w:val="0"/>
        <w:autoSpaceDN w:val="0"/>
        <w:adjustRightInd w:val="0"/>
        <w:spacing w:after="240"/>
        <w:rPr>
          <w:rFonts w:ascii="Batang" w:eastAsia="Batang" w:hAnsi="Batang" w:cs="Batang"/>
          <w:iCs/>
          <w:sz w:val="20"/>
          <w:szCs w:val="20"/>
        </w:rPr>
      </w:pPr>
    </w:p>
    <w:sectPr w:rsidR="004A62C9" w:rsidRPr="006275FC" w:rsidSect="00483B4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397" w:right="1418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0A1E8" w14:textId="77777777" w:rsidR="0041107F" w:rsidRDefault="0041107F" w:rsidP="006C07E6">
      <w:r>
        <w:separator/>
      </w:r>
    </w:p>
  </w:endnote>
  <w:endnote w:type="continuationSeparator" w:id="0">
    <w:p w14:paraId="037F98E0" w14:textId="77777777" w:rsidR="0041107F" w:rsidRDefault="0041107F" w:rsidP="006C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586B3" w14:textId="77777777" w:rsidR="00B42FBC" w:rsidRDefault="00255327" w:rsidP="00F53C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2F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D5F11" w14:textId="77777777" w:rsidR="00B42FBC" w:rsidRDefault="00B42F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FF50E" w14:textId="77777777" w:rsidR="00B42FBC" w:rsidRDefault="00255327" w:rsidP="00F53C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2F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6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E8FD4B" w14:textId="77777777" w:rsidR="00B42FBC" w:rsidRDefault="00B42F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F8C7F" w14:textId="77777777" w:rsidR="0041107F" w:rsidRDefault="0041107F" w:rsidP="006C07E6">
      <w:r>
        <w:separator/>
      </w:r>
    </w:p>
  </w:footnote>
  <w:footnote w:type="continuationSeparator" w:id="0">
    <w:p w14:paraId="38C6C704" w14:textId="77777777" w:rsidR="0041107F" w:rsidRDefault="0041107F" w:rsidP="006C07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69FB0" w14:textId="77777777" w:rsidR="00B42FBC" w:rsidRDefault="007116FF">
    <w:pPr>
      <w:pStyle w:val="Header"/>
    </w:pPr>
    <w:sdt>
      <w:sdtPr>
        <w:id w:val="171999623"/>
        <w:placeholder>
          <w:docPart w:val="4BE9997CA651FE42B5D4DD5F9F251359"/>
        </w:placeholder>
        <w:temporary/>
        <w:showingPlcHdr/>
      </w:sdtPr>
      <w:sdtEndPr/>
      <w:sdtContent>
        <w:r w:rsidR="00B42FBC">
          <w:t>[Type text]</w:t>
        </w:r>
      </w:sdtContent>
    </w:sdt>
    <w:r w:rsidR="00B42FBC">
      <w:ptab w:relativeTo="margin" w:alignment="center" w:leader="none"/>
    </w:r>
    <w:sdt>
      <w:sdtPr>
        <w:id w:val="171999624"/>
        <w:placeholder>
          <w:docPart w:val="55B4EBADECA9694ABA109B0649759333"/>
        </w:placeholder>
        <w:temporary/>
        <w:showingPlcHdr/>
      </w:sdtPr>
      <w:sdtEndPr/>
      <w:sdtContent>
        <w:r w:rsidR="00B42FBC">
          <w:t>[Type text]</w:t>
        </w:r>
      </w:sdtContent>
    </w:sdt>
    <w:r w:rsidR="00B42FBC">
      <w:ptab w:relativeTo="margin" w:alignment="right" w:leader="none"/>
    </w:r>
    <w:sdt>
      <w:sdtPr>
        <w:id w:val="171999625"/>
        <w:placeholder>
          <w:docPart w:val="826A921464BA0B48AD46E23C2B63C7DE"/>
        </w:placeholder>
        <w:temporary/>
        <w:showingPlcHdr/>
      </w:sdtPr>
      <w:sdtEndPr/>
      <w:sdtContent>
        <w:r w:rsidR="00B42FBC">
          <w:t>[Type text]</w:t>
        </w:r>
      </w:sdtContent>
    </w:sdt>
  </w:p>
  <w:p w14:paraId="1468E447" w14:textId="77777777" w:rsidR="00B42FBC" w:rsidRDefault="00B42F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9ADDF" w14:textId="77777777" w:rsidR="00B42FBC" w:rsidRDefault="00B42FBC" w:rsidP="0099344B">
    <w:pPr>
      <w:pStyle w:val="Header"/>
      <w:tabs>
        <w:tab w:val="clear" w:pos="4320"/>
        <w:tab w:val="clear" w:pos="8640"/>
        <w:tab w:val="left" w:pos="1932"/>
      </w:tabs>
    </w:pPr>
    <w:r>
      <w:t xml:space="preserve">Version </w:t>
    </w:r>
    <w:r w:rsidR="005B1EAA">
      <w:t>2</w:t>
    </w:r>
    <w:r>
      <w:t>.</w:t>
    </w:r>
    <w:r w:rsidR="005B1EAA">
      <w:t>0</w:t>
    </w:r>
    <w:r>
      <w:tab/>
    </w:r>
  </w:p>
  <w:p w14:paraId="3740312F" w14:textId="77777777" w:rsidR="00B42FBC" w:rsidRPr="00E301E7" w:rsidRDefault="00B42FBC" w:rsidP="00E301E7">
    <w:pPr>
      <w:pStyle w:val="Header"/>
      <w:pBdr>
        <w:between w:val="single" w:sz="4" w:space="1" w:color="4F81BD" w:themeColor="accent1"/>
      </w:pBdr>
      <w:spacing w:line="276" w:lineRule="auto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80D"/>
    <w:multiLevelType w:val="hybridMultilevel"/>
    <w:tmpl w:val="0E52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6542"/>
    <w:multiLevelType w:val="hybridMultilevel"/>
    <w:tmpl w:val="B5CC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Korean Journal of Anesthesi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pxpwas2ettssmezr9nxvv9etrpdvpp9zfes&quot;&gt;PubMed FinaL &lt;record-ids&gt;&lt;item&gt;1085&lt;/item&gt;&lt;item&gt;1093&lt;/item&gt;&lt;/record-ids&gt;&lt;/item&gt;&lt;/Libraries&gt;"/>
  </w:docVars>
  <w:rsids>
    <w:rsidRoot w:val="006B33FE"/>
    <w:rsid w:val="00060DCB"/>
    <w:rsid w:val="00062DE9"/>
    <w:rsid w:val="000C4D82"/>
    <w:rsid w:val="000F535D"/>
    <w:rsid w:val="00114E26"/>
    <w:rsid w:val="00117816"/>
    <w:rsid w:val="0013212A"/>
    <w:rsid w:val="0014382E"/>
    <w:rsid w:val="00161FB8"/>
    <w:rsid w:val="00193817"/>
    <w:rsid w:val="001A54F3"/>
    <w:rsid w:val="001A5B67"/>
    <w:rsid w:val="001B301E"/>
    <w:rsid w:val="00204B5D"/>
    <w:rsid w:val="00226F6F"/>
    <w:rsid w:val="00236604"/>
    <w:rsid w:val="00246F54"/>
    <w:rsid w:val="002500C0"/>
    <w:rsid w:val="00255327"/>
    <w:rsid w:val="0029036F"/>
    <w:rsid w:val="002C0AD5"/>
    <w:rsid w:val="002C4356"/>
    <w:rsid w:val="002F00CE"/>
    <w:rsid w:val="002F4759"/>
    <w:rsid w:val="00315EC2"/>
    <w:rsid w:val="003210FC"/>
    <w:rsid w:val="003457B6"/>
    <w:rsid w:val="0036100B"/>
    <w:rsid w:val="003A343E"/>
    <w:rsid w:val="003F15D9"/>
    <w:rsid w:val="003F546C"/>
    <w:rsid w:val="0041107F"/>
    <w:rsid w:val="0041523C"/>
    <w:rsid w:val="00435466"/>
    <w:rsid w:val="00440782"/>
    <w:rsid w:val="00446DA2"/>
    <w:rsid w:val="00470595"/>
    <w:rsid w:val="004778FD"/>
    <w:rsid w:val="00483B41"/>
    <w:rsid w:val="004A62C9"/>
    <w:rsid w:val="004B3556"/>
    <w:rsid w:val="004C3D90"/>
    <w:rsid w:val="004C6C7C"/>
    <w:rsid w:val="004D03B0"/>
    <w:rsid w:val="004E51BC"/>
    <w:rsid w:val="0052378E"/>
    <w:rsid w:val="00535393"/>
    <w:rsid w:val="005379AE"/>
    <w:rsid w:val="00544D36"/>
    <w:rsid w:val="0056023C"/>
    <w:rsid w:val="005B1EAA"/>
    <w:rsid w:val="005B697C"/>
    <w:rsid w:val="005C0E9F"/>
    <w:rsid w:val="005C47AA"/>
    <w:rsid w:val="005C5E03"/>
    <w:rsid w:val="005D1EBC"/>
    <w:rsid w:val="005E7BD6"/>
    <w:rsid w:val="005F74E6"/>
    <w:rsid w:val="006275FC"/>
    <w:rsid w:val="00635F0E"/>
    <w:rsid w:val="00642988"/>
    <w:rsid w:val="0065344B"/>
    <w:rsid w:val="00662E7E"/>
    <w:rsid w:val="006831B3"/>
    <w:rsid w:val="00690B53"/>
    <w:rsid w:val="006B33FE"/>
    <w:rsid w:val="006B6409"/>
    <w:rsid w:val="006C07E6"/>
    <w:rsid w:val="006E6479"/>
    <w:rsid w:val="007116FF"/>
    <w:rsid w:val="00733070"/>
    <w:rsid w:val="00756D17"/>
    <w:rsid w:val="007B0728"/>
    <w:rsid w:val="007B3775"/>
    <w:rsid w:val="007D7265"/>
    <w:rsid w:val="007F19B1"/>
    <w:rsid w:val="00801B4E"/>
    <w:rsid w:val="008169A9"/>
    <w:rsid w:val="0085543C"/>
    <w:rsid w:val="00882BA9"/>
    <w:rsid w:val="00897923"/>
    <w:rsid w:val="008B48AA"/>
    <w:rsid w:val="008C78A0"/>
    <w:rsid w:val="008E2804"/>
    <w:rsid w:val="008F7723"/>
    <w:rsid w:val="00901786"/>
    <w:rsid w:val="00920219"/>
    <w:rsid w:val="00962099"/>
    <w:rsid w:val="0098324F"/>
    <w:rsid w:val="0099344B"/>
    <w:rsid w:val="00996BA3"/>
    <w:rsid w:val="009A30C0"/>
    <w:rsid w:val="009B39BF"/>
    <w:rsid w:val="009D7978"/>
    <w:rsid w:val="009F484F"/>
    <w:rsid w:val="00A34EB6"/>
    <w:rsid w:val="00A35F64"/>
    <w:rsid w:val="00A46B24"/>
    <w:rsid w:val="00A75B0A"/>
    <w:rsid w:val="00A90084"/>
    <w:rsid w:val="00AA6D14"/>
    <w:rsid w:val="00AB1385"/>
    <w:rsid w:val="00AC26E6"/>
    <w:rsid w:val="00AC4E6D"/>
    <w:rsid w:val="00AE794C"/>
    <w:rsid w:val="00B11A5A"/>
    <w:rsid w:val="00B125AE"/>
    <w:rsid w:val="00B2202B"/>
    <w:rsid w:val="00B41B04"/>
    <w:rsid w:val="00B42FBC"/>
    <w:rsid w:val="00B80B1E"/>
    <w:rsid w:val="00B82D90"/>
    <w:rsid w:val="00B85F01"/>
    <w:rsid w:val="00BB71D9"/>
    <w:rsid w:val="00BB7CEA"/>
    <w:rsid w:val="00BD5B94"/>
    <w:rsid w:val="00BD6F09"/>
    <w:rsid w:val="00C16D6B"/>
    <w:rsid w:val="00C4577E"/>
    <w:rsid w:val="00C83644"/>
    <w:rsid w:val="00CF14B8"/>
    <w:rsid w:val="00CF211D"/>
    <w:rsid w:val="00CF335A"/>
    <w:rsid w:val="00CF553C"/>
    <w:rsid w:val="00CF673D"/>
    <w:rsid w:val="00D3447A"/>
    <w:rsid w:val="00D40FE7"/>
    <w:rsid w:val="00D47775"/>
    <w:rsid w:val="00DA56BB"/>
    <w:rsid w:val="00DC6723"/>
    <w:rsid w:val="00DF3517"/>
    <w:rsid w:val="00E066F7"/>
    <w:rsid w:val="00E227A8"/>
    <w:rsid w:val="00E23A99"/>
    <w:rsid w:val="00E301E7"/>
    <w:rsid w:val="00E70C57"/>
    <w:rsid w:val="00E86D97"/>
    <w:rsid w:val="00EA06B6"/>
    <w:rsid w:val="00EB47BB"/>
    <w:rsid w:val="00EB5C70"/>
    <w:rsid w:val="00EE0051"/>
    <w:rsid w:val="00EE3D81"/>
    <w:rsid w:val="00EE756D"/>
    <w:rsid w:val="00F02925"/>
    <w:rsid w:val="00F11341"/>
    <w:rsid w:val="00F162A2"/>
    <w:rsid w:val="00F17405"/>
    <w:rsid w:val="00F250BA"/>
    <w:rsid w:val="00F3601A"/>
    <w:rsid w:val="00F53CE0"/>
    <w:rsid w:val="00F607E7"/>
    <w:rsid w:val="00F62D12"/>
    <w:rsid w:val="00F9298F"/>
    <w:rsid w:val="00F97439"/>
    <w:rsid w:val="00FA4FA1"/>
    <w:rsid w:val="00FB3A6B"/>
    <w:rsid w:val="00FD5448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0F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D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E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7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7E6"/>
  </w:style>
  <w:style w:type="paragraph" w:styleId="Footer">
    <w:name w:val="footer"/>
    <w:basedOn w:val="Normal"/>
    <w:link w:val="FooterChar"/>
    <w:uiPriority w:val="99"/>
    <w:unhideWhenUsed/>
    <w:rsid w:val="006C07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E6"/>
  </w:style>
  <w:style w:type="character" w:styleId="PageNumber">
    <w:name w:val="page number"/>
    <w:basedOn w:val="DefaultParagraphFont"/>
    <w:uiPriority w:val="99"/>
    <w:semiHidden/>
    <w:unhideWhenUsed/>
    <w:rsid w:val="006C07E6"/>
  </w:style>
  <w:style w:type="table" w:styleId="TableGrid">
    <w:name w:val="Table Grid"/>
    <w:basedOn w:val="TableNormal"/>
    <w:uiPriority w:val="59"/>
    <w:rsid w:val="00D47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5543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554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483B41"/>
  </w:style>
  <w:style w:type="character" w:styleId="CommentReference">
    <w:name w:val="annotation reference"/>
    <w:basedOn w:val="DefaultParagraphFont"/>
    <w:uiPriority w:val="99"/>
    <w:semiHidden/>
    <w:unhideWhenUsed/>
    <w:rsid w:val="007B3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7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D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E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7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7E6"/>
  </w:style>
  <w:style w:type="paragraph" w:styleId="Footer">
    <w:name w:val="footer"/>
    <w:basedOn w:val="Normal"/>
    <w:link w:val="FooterChar"/>
    <w:uiPriority w:val="99"/>
    <w:unhideWhenUsed/>
    <w:rsid w:val="006C07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E6"/>
  </w:style>
  <w:style w:type="character" w:styleId="PageNumber">
    <w:name w:val="page number"/>
    <w:basedOn w:val="DefaultParagraphFont"/>
    <w:uiPriority w:val="99"/>
    <w:semiHidden/>
    <w:unhideWhenUsed/>
    <w:rsid w:val="006C07E6"/>
  </w:style>
  <w:style w:type="table" w:styleId="TableGrid">
    <w:name w:val="Table Grid"/>
    <w:basedOn w:val="TableNormal"/>
    <w:uiPriority w:val="59"/>
    <w:rsid w:val="00D47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5543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554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483B41"/>
  </w:style>
  <w:style w:type="character" w:styleId="CommentReference">
    <w:name w:val="annotation reference"/>
    <w:basedOn w:val="DefaultParagraphFont"/>
    <w:uiPriority w:val="99"/>
    <w:semiHidden/>
    <w:unhideWhenUsed/>
    <w:rsid w:val="007B3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7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E9997CA651FE42B5D4DD5F9F25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C2FA-36F4-434E-BB7F-F6D3975A2262}"/>
      </w:docPartPr>
      <w:docPartBody>
        <w:p w:rsidR="00F75EC7" w:rsidRDefault="005B2093" w:rsidP="005B2093">
          <w:pPr>
            <w:pStyle w:val="4BE9997CA651FE42B5D4DD5F9F251359"/>
          </w:pPr>
          <w:r>
            <w:t>[Type text]</w:t>
          </w:r>
        </w:p>
      </w:docPartBody>
    </w:docPart>
    <w:docPart>
      <w:docPartPr>
        <w:name w:val="55B4EBADECA9694ABA109B064975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B3A0-91A2-E249-96D7-33C9F3B6152F}"/>
      </w:docPartPr>
      <w:docPartBody>
        <w:p w:rsidR="00F75EC7" w:rsidRDefault="005B2093" w:rsidP="005B2093">
          <w:pPr>
            <w:pStyle w:val="55B4EBADECA9694ABA109B0649759333"/>
          </w:pPr>
          <w:r>
            <w:t>[Type text]</w:t>
          </w:r>
        </w:p>
      </w:docPartBody>
    </w:docPart>
    <w:docPart>
      <w:docPartPr>
        <w:name w:val="826A921464BA0B48AD46E23C2B63C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13AF-8E8C-BE45-9DA2-451B438FC019}"/>
      </w:docPartPr>
      <w:docPartBody>
        <w:p w:rsidR="00F75EC7" w:rsidRDefault="005B2093" w:rsidP="005B2093">
          <w:pPr>
            <w:pStyle w:val="826A921464BA0B48AD46E23C2B63C7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1FF2"/>
    <w:rsid w:val="00176B8B"/>
    <w:rsid w:val="004B3D68"/>
    <w:rsid w:val="005B2093"/>
    <w:rsid w:val="008A27AE"/>
    <w:rsid w:val="00932420"/>
    <w:rsid w:val="00947DCA"/>
    <w:rsid w:val="009518C0"/>
    <w:rsid w:val="009B4793"/>
    <w:rsid w:val="00A50F81"/>
    <w:rsid w:val="00AB778A"/>
    <w:rsid w:val="00AD527A"/>
    <w:rsid w:val="00CB1FF2"/>
    <w:rsid w:val="00E07A4C"/>
    <w:rsid w:val="00E32C54"/>
    <w:rsid w:val="00E651E7"/>
    <w:rsid w:val="00E73928"/>
    <w:rsid w:val="00F00B83"/>
    <w:rsid w:val="00F7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44002733F3714681E89D921C1EF9E6">
    <w:name w:val="7F44002733F3714681E89D921C1EF9E6"/>
    <w:rsid w:val="00CB1FF2"/>
  </w:style>
  <w:style w:type="paragraph" w:customStyle="1" w:styleId="7843FEFE45EC92448A78752D089686E5">
    <w:name w:val="7843FEFE45EC92448A78752D089686E5"/>
    <w:rsid w:val="00CB1FF2"/>
  </w:style>
  <w:style w:type="paragraph" w:customStyle="1" w:styleId="9AF16AEE3A46D046A1A4F24BEE65D6A0">
    <w:name w:val="9AF16AEE3A46D046A1A4F24BEE65D6A0"/>
    <w:rsid w:val="00CB1FF2"/>
  </w:style>
  <w:style w:type="paragraph" w:customStyle="1" w:styleId="2D3CB7AFEFF07F4397FE684B868A055A">
    <w:name w:val="2D3CB7AFEFF07F4397FE684B868A055A"/>
    <w:rsid w:val="00CB1FF2"/>
  </w:style>
  <w:style w:type="paragraph" w:customStyle="1" w:styleId="4BE9997CA651FE42B5D4DD5F9F251359">
    <w:name w:val="4BE9997CA651FE42B5D4DD5F9F251359"/>
    <w:rsid w:val="005B2093"/>
  </w:style>
  <w:style w:type="paragraph" w:customStyle="1" w:styleId="55B4EBADECA9694ABA109B0649759333">
    <w:name w:val="55B4EBADECA9694ABA109B0649759333"/>
    <w:rsid w:val="005B2093"/>
  </w:style>
  <w:style w:type="paragraph" w:customStyle="1" w:styleId="826A921464BA0B48AD46E23C2B63C7DE">
    <w:name w:val="826A921464BA0B48AD46E23C2B63C7DE"/>
    <w:rsid w:val="005B2093"/>
  </w:style>
  <w:style w:type="paragraph" w:customStyle="1" w:styleId="24E776A235048047BD69B0ABDE39C813">
    <w:name w:val="24E776A235048047BD69B0ABDE39C813"/>
    <w:rsid w:val="005B2093"/>
  </w:style>
  <w:style w:type="paragraph" w:customStyle="1" w:styleId="9E9143132921CB439F9880C2F77C6D24">
    <w:name w:val="9E9143132921CB439F9880C2F77C6D24"/>
    <w:rsid w:val="005B2093"/>
  </w:style>
  <w:style w:type="paragraph" w:customStyle="1" w:styleId="6AFCB20A81B0064E8576DA3EEA1E2B8A">
    <w:name w:val="6AFCB20A81B0064E8576DA3EEA1E2B8A"/>
    <w:rsid w:val="005B209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 1.0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34A3D8-DE15-1645-A730-3A7CB08B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Risk of Bias Assessment Tool</vt:lpstr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of Bias Assessment Tool</dc:title>
  <dc:creator>author author</dc:creator>
  <cp:lastModifiedBy>Maxime Cannesson</cp:lastModifiedBy>
  <cp:revision>4</cp:revision>
  <dcterms:created xsi:type="dcterms:W3CDTF">2013-08-20T06:41:00Z</dcterms:created>
  <dcterms:modified xsi:type="dcterms:W3CDTF">2013-08-30T04:43:00Z</dcterms:modified>
</cp:coreProperties>
</file>