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53A32B" w14:textId="77777777" w:rsidR="00371176" w:rsidRPr="000E477A" w:rsidRDefault="00371176">
      <w:pPr>
        <w:rPr>
          <w:rFonts w:ascii="Arial" w:hAnsi="Arial" w:cs="Arial"/>
          <w:b/>
        </w:rPr>
      </w:pPr>
      <w:r w:rsidRPr="000E477A">
        <w:rPr>
          <w:rFonts w:ascii="Arial" w:hAnsi="Arial" w:cs="Arial"/>
          <w:b/>
        </w:rPr>
        <w:t xml:space="preserve">Appendix 6. </w:t>
      </w:r>
      <w:r>
        <w:rPr>
          <w:rFonts w:ascii="Arial" w:hAnsi="Arial" w:cs="Arial"/>
          <w:b/>
        </w:rPr>
        <w:t>Additional analyses</w:t>
      </w:r>
    </w:p>
    <w:p w14:paraId="18A791C0" w14:textId="77777777" w:rsidR="00371176" w:rsidRPr="000E477A" w:rsidRDefault="00371176">
      <w:pPr>
        <w:rPr>
          <w:rFonts w:ascii="Arial" w:hAnsi="Arial" w:cs="Arial"/>
        </w:rPr>
      </w:pPr>
      <w:r w:rsidRPr="000E477A">
        <w:rPr>
          <w:rFonts w:ascii="Arial" w:hAnsi="Arial" w:cs="Arial"/>
        </w:rPr>
        <w:t>A. Sensitivity analysis and subgroup analysis</w:t>
      </w:r>
    </w:p>
    <w:tbl>
      <w:tblPr>
        <w:tblStyle w:val="TableGrid"/>
        <w:tblW w:w="5307" w:type="pct"/>
        <w:tblLayout w:type="fixed"/>
        <w:tblLook w:val="04A0" w:firstRow="1" w:lastRow="0" w:firstColumn="1" w:lastColumn="0" w:noHBand="0" w:noVBand="1"/>
      </w:tblPr>
      <w:tblGrid>
        <w:gridCol w:w="2235"/>
        <w:gridCol w:w="1253"/>
        <w:gridCol w:w="1015"/>
        <w:gridCol w:w="1417"/>
        <w:gridCol w:w="1701"/>
        <w:gridCol w:w="709"/>
        <w:gridCol w:w="709"/>
      </w:tblGrid>
      <w:tr w:rsidR="00371176" w:rsidRPr="00BF073E" w14:paraId="1C5366C4" w14:textId="77777777" w:rsidTr="00371176">
        <w:trPr>
          <w:trHeight w:val="144"/>
        </w:trPr>
        <w:tc>
          <w:tcPr>
            <w:tcW w:w="2235" w:type="dxa"/>
            <w:vMerge w:val="restart"/>
            <w:noWrap/>
            <w:hideMark/>
          </w:tcPr>
          <w:p w14:paraId="6F8F3728" w14:textId="77777777" w:rsidR="00371176" w:rsidRPr="00FF7218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253" w:type="dxa"/>
            <w:vMerge w:val="restart"/>
            <w:noWrap/>
            <w:hideMark/>
          </w:tcPr>
          <w:p w14:paraId="6443F383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Number of patents</w:t>
            </w:r>
          </w:p>
        </w:tc>
        <w:tc>
          <w:tcPr>
            <w:tcW w:w="1015" w:type="dxa"/>
            <w:vMerge w:val="restart"/>
            <w:noWrap/>
            <w:hideMark/>
          </w:tcPr>
          <w:p w14:paraId="1DE1DDB5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Number of studies</w:t>
            </w:r>
          </w:p>
        </w:tc>
        <w:tc>
          <w:tcPr>
            <w:tcW w:w="1417" w:type="dxa"/>
            <w:vMerge w:val="restart"/>
            <w:noWrap/>
            <w:hideMark/>
          </w:tcPr>
          <w:p w14:paraId="7D03188E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Bias</w:t>
            </w:r>
            <w:r w:rsidRPr="00BF073E">
              <w:rPr>
                <w:rFonts w:ascii="ＭＳ ゴシック" w:eastAsia="ＭＳ ゴシック" w:hAnsi="ＭＳ ゴシック"/>
                <w:color w:val="000000"/>
              </w:rPr>
              <w:t xml:space="preserve"> ± </w:t>
            </w:r>
            <w:r w:rsidRPr="00BF073E">
              <w:rPr>
                <w:rFonts w:ascii="Arial" w:eastAsia="Times New Roman" w:hAnsi="Arial" w:cs="Arial"/>
                <w:lang w:eastAsia="en-US"/>
              </w:rPr>
              <w:t>SD</w:t>
            </w:r>
          </w:p>
        </w:tc>
        <w:tc>
          <w:tcPr>
            <w:tcW w:w="1701" w:type="dxa"/>
            <w:vMerge w:val="restart"/>
            <w:noWrap/>
            <w:hideMark/>
          </w:tcPr>
          <w:p w14:paraId="7AD1FB70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95% LOA</w:t>
            </w:r>
          </w:p>
        </w:tc>
        <w:tc>
          <w:tcPr>
            <w:tcW w:w="1418" w:type="dxa"/>
            <w:gridSpan w:val="2"/>
            <w:noWrap/>
            <w:hideMark/>
          </w:tcPr>
          <w:p w14:paraId="64A801A1" w14:textId="77777777" w:rsidR="00371176" w:rsidRPr="00BF073E" w:rsidRDefault="00371176" w:rsidP="007F5F3C">
            <w:pPr>
              <w:jc w:val="center"/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I</w:t>
            </w:r>
            <w:r w:rsidRPr="00BF073E">
              <w:rPr>
                <w:rFonts w:ascii="Arial" w:eastAsia="Times New Roman" w:hAnsi="Arial" w:cs="Arial"/>
                <w:vertAlign w:val="superscript"/>
                <w:lang w:eastAsia="en-US"/>
              </w:rPr>
              <w:t>2</w:t>
            </w:r>
            <w:r w:rsidRPr="00BF073E">
              <w:rPr>
                <w:rFonts w:ascii="Arial" w:eastAsia="Times New Roman" w:hAnsi="Arial" w:cs="Arial"/>
                <w:lang w:eastAsia="en-US"/>
              </w:rPr>
              <w:t xml:space="preserve"> (%)</w:t>
            </w:r>
          </w:p>
        </w:tc>
      </w:tr>
      <w:tr w:rsidR="00371176" w:rsidRPr="00BF073E" w14:paraId="33187A9C" w14:textId="77777777" w:rsidTr="00371176">
        <w:trPr>
          <w:trHeight w:val="62"/>
        </w:trPr>
        <w:tc>
          <w:tcPr>
            <w:tcW w:w="2235" w:type="dxa"/>
            <w:vMerge/>
            <w:noWrap/>
          </w:tcPr>
          <w:p w14:paraId="469A288C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253" w:type="dxa"/>
            <w:vMerge/>
            <w:noWrap/>
          </w:tcPr>
          <w:p w14:paraId="2312574E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015" w:type="dxa"/>
            <w:vMerge/>
            <w:noWrap/>
          </w:tcPr>
          <w:p w14:paraId="11AC1A04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417" w:type="dxa"/>
            <w:vMerge/>
            <w:noWrap/>
          </w:tcPr>
          <w:p w14:paraId="126EB44B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701" w:type="dxa"/>
            <w:vMerge/>
            <w:noWrap/>
          </w:tcPr>
          <w:p w14:paraId="3C07547F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00416F45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Bias</w:t>
            </w:r>
          </w:p>
        </w:tc>
        <w:tc>
          <w:tcPr>
            <w:tcW w:w="709" w:type="dxa"/>
            <w:noWrap/>
          </w:tcPr>
          <w:p w14:paraId="69566974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SD</w:t>
            </w:r>
          </w:p>
        </w:tc>
      </w:tr>
      <w:tr w:rsidR="00371176" w:rsidRPr="00BF073E" w14:paraId="16533A60" w14:textId="77777777" w:rsidTr="00371176">
        <w:trPr>
          <w:trHeight w:val="300"/>
        </w:trPr>
        <w:tc>
          <w:tcPr>
            <w:tcW w:w="2235" w:type="dxa"/>
            <w:noWrap/>
          </w:tcPr>
          <w:p w14:paraId="4D247103" w14:textId="77777777" w:rsidR="00371176" w:rsidRPr="00BF073E" w:rsidRDefault="00371176" w:rsidP="004410CA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Removing data from studies in which SDs were calculated from SE</w:t>
            </w:r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1-31</w:t>
            </w:r>
          </w:p>
        </w:tc>
        <w:tc>
          <w:tcPr>
            <w:tcW w:w="1253" w:type="dxa"/>
            <w:noWrap/>
          </w:tcPr>
          <w:p w14:paraId="0A105EB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4339</w:t>
            </w:r>
          </w:p>
        </w:tc>
        <w:tc>
          <w:tcPr>
            <w:tcW w:w="1015" w:type="dxa"/>
            <w:noWrap/>
          </w:tcPr>
          <w:p w14:paraId="310EC8DB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31*</w:t>
            </w:r>
          </w:p>
        </w:tc>
        <w:tc>
          <w:tcPr>
            <w:tcW w:w="1417" w:type="dxa"/>
            <w:noWrap/>
          </w:tcPr>
          <w:p w14:paraId="1F3C57BF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 xml:space="preserve">0.11 </w:t>
            </w:r>
            <w:r w:rsidRPr="00BF073E">
              <w:rPr>
                <w:rFonts w:ascii="Arial" w:eastAsia="ＭＳ ゴシック" w:hAnsi="Arial" w:cs="Arial"/>
                <w:color w:val="000000"/>
              </w:rPr>
              <w:t>± 1.34</w:t>
            </w:r>
          </w:p>
        </w:tc>
        <w:tc>
          <w:tcPr>
            <w:tcW w:w="1701" w:type="dxa"/>
            <w:noWrap/>
          </w:tcPr>
          <w:p w14:paraId="68FEFA39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−2.53 to 2.74</w:t>
            </w:r>
          </w:p>
        </w:tc>
        <w:tc>
          <w:tcPr>
            <w:tcW w:w="709" w:type="dxa"/>
            <w:noWrap/>
          </w:tcPr>
          <w:p w14:paraId="18D2539F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96.1</w:t>
            </w:r>
          </w:p>
        </w:tc>
        <w:tc>
          <w:tcPr>
            <w:tcW w:w="709" w:type="dxa"/>
            <w:noWrap/>
          </w:tcPr>
          <w:p w14:paraId="57DEB85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95.3</w:t>
            </w:r>
          </w:p>
        </w:tc>
      </w:tr>
      <w:tr w:rsidR="00371176" w:rsidRPr="00BF073E" w14:paraId="759574A3" w14:textId="77777777" w:rsidTr="00371176">
        <w:trPr>
          <w:trHeight w:val="300"/>
        </w:trPr>
        <w:tc>
          <w:tcPr>
            <w:tcW w:w="2235" w:type="dxa"/>
            <w:noWrap/>
          </w:tcPr>
          <w:p w14:paraId="11F33B03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253" w:type="dxa"/>
            <w:noWrap/>
          </w:tcPr>
          <w:p w14:paraId="3B2B962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015" w:type="dxa"/>
            <w:noWrap/>
          </w:tcPr>
          <w:p w14:paraId="122CAC51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417" w:type="dxa"/>
            <w:noWrap/>
          </w:tcPr>
          <w:p w14:paraId="56DB57D9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701" w:type="dxa"/>
            <w:noWrap/>
          </w:tcPr>
          <w:p w14:paraId="37C5F10E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3FBD7C07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634BFF7E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</w:tr>
      <w:tr w:rsidR="00371176" w:rsidRPr="00BF073E" w14:paraId="47CDFD96" w14:textId="77777777" w:rsidTr="00371176">
        <w:trPr>
          <w:trHeight w:val="300"/>
        </w:trPr>
        <w:tc>
          <w:tcPr>
            <w:tcW w:w="2235" w:type="dxa"/>
            <w:noWrap/>
          </w:tcPr>
          <w:p w14:paraId="01A898B0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By risk of bias</w:t>
            </w:r>
          </w:p>
        </w:tc>
        <w:tc>
          <w:tcPr>
            <w:tcW w:w="1253" w:type="dxa"/>
            <w:noWrap/>
          </w:tcPr>
          <w:p w14:paraId="3BF65B00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015" w:type="dxa"/>
            <w:noWrap/>
          </w:tcPr>
          <w:p w14:paraId="750DD847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417" w:type="dxa"/>
            <w:noWrap/>
          </w:tcPr>
          <w:p w14:paraId="2F2F19D3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701" w:type="dxa"/>
            <w:noWrap/>
          </w:tcPr>
          <w:p w14:paraId="3CFE7B36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09C98C01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140CBD7C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</w:tr>
      <w:tr w:rsidR="00371176" w:rsidRPr="00BF073E" w14:paraId="64FC1684" w14:textId="77777777" w:rsidTr="00371176">
        <w:trPr>
          <w:trHeight w:val="300"/>
        </w:trPr>
        <w:tc>
          <w:tcPr>
            <w:tcW w:w="2235" w:type="dxa"/>
            <w:noWrap/>
          </w:tcPr>
          <w:p w14:paraId="44863E88" w14:textId="77777777" w:rsidR="00371176" w:rsidRPr="00BF073E" w:rsidRDefault="00371176" w:rsidP="004410CA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Low risk of bias in all domains</w:t>
            </w:r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2,10,11,16,22,26</w:t>
            </w:r>
          </w:p>
        </w:tc>
        <w:tc>
          <w:tcPr>
            <w:tcW w:w="1253" w:type="dxa"/>
            <w:noWrap/>
          </w:tcPr>
          <w:p w14:paraId="6D19B57B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407</w:t>
            </w:r>
          </w:p>
        </w:tc>
        <w:tc>
          <w:tcPr>
            <w:tcW w:w="1015" w:type="dxa"/>
            <w:noWrap/>
          </w:tcPr>
          <w:p w14:paraId="0E5413DE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6</w:t>
            </w:r>
          </w:p>
        </w:tc>
        <w:tc>
          <w:tcPr>
            <w:tcW w:w="1417" w:type="dxa"/>
            <w:noWrap/>
          </w:tcPr>
          <w:p w14:paraId="4A8AD994" w14:textId="77777777" w:rsidR="00371176" w:rsidRPr="00BF073E" w:rsidRDefault="00371176" w:rsidP="00A70752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 xml:space="preserve">0.08 </w:t>
            </w:r>
            <w:r w:rsidRPr="00BF073E">
              <w:rPr>
                <w:rFonts w:ascii="ＭＳ ゴシック" w:eastAsia="ＭＳ ゴシック" w:hAnsi="ＭＳ ゴシック"/>
                <w:color w:val="000000"/>
              </w:rPr>
              <w:t xml:space="preserve">± </w:t>
            </w:r>
            <w:r w:rsidRPr="00BF073E">
              <w:rPr>
                <w:rFonts w:ascii="Arial" w:eastAsia="Times New Roman" w:hAnsi="Arial" w:cs="Arial"/>
                <w:lang w:eastAsia="en-US"/>
              </w:rPr>
              <w:t>1.46</w:t>
            </w:r>
          </w:p>
        </w:tc>
        <w:tc>
          <w:tcPr>
            <w:tcW w:w="1701" w:type="dxa"/>
            <w:noWrap/>
          </w:tcPr>
          <w:p w14:paraId="4BC9E9DE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−2.79 to 2.94</w:t>
            </w:r>
          </w:p>
        </w:tc>
        <w:tc>
          <w:tcPr>
            <w:tcW w:w="709" w:type="dxa"/>
            <w:noWrap/>
          </w:tcPr>
          <w:p w14:paraId="1C1DC118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94.7</w:t>
            </w:r>
          </w:p>
        </w:tc>
        <w:tc>
          <w:tcPr>
            <w:tcW w:w="709" w:type="dxa"/>
            <w:noWrap/>
          </w:tcPr>
          <w:p w14:paraId="3C856839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87.1</w:t>
            </w:r>
          </w:p>
        </w:tc>
      </w:tr>
      <w:tr w:rsidR="00371176" w:rsidRPr="00BF073E" w14:paraId="2C34FFE9" w14:textId="77777777" w:rsidTr="00371176">
        <w:trPr>
          <w:trHeight w:val="300"/>
        </w:trPr>
        <w:tc>
          <w:tcPr>
            <w:tcW w:w="2235" w:type="dxa"/>
            <w:noWrap/>
          </w:tcPr>
          <w:p w14:paraId="35F8AE8E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253" w:type="dxa"/>
            <w:noWrap/>
          </w:tcPr>
          <w:p w14:paraId="204D46F1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015" w:type="dxa"/>
            <w:noWrap/>
          </w:tcPr>
          <w:p w14:paraId="4FA75EB8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417" w:type="dxa"/>
            <w:noWrap/>
          </w:tcPr>
          <w:p w14:paraId="62E9AA82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701" w:type="dxa"/>
            <w:noWrap/>
          </w:tcPr>
          <w:p w14:paraId="393F2C1F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478C7482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725E717F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</w:tr>
      <w:tr w:rsidR="0008547C" w:rsidRPr="00BF073E" w14:paraId="0CF4A1E4" w14:textId="77777777" w:rsidTr="00371176">
        <w:trPr>
          <w:trHeight w:val="300"/>
        </w:trPr>
        <w:tc>
          <w:tcPr>
            <w:tcW w:w="2235" w:type="dxa"/>
            <w:noWrap/>
          </w:tcPr>
          <w:p w14:paraId="084A6158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By number of measurement per patient</w:t>
            </w:r>
          </w:p>
        </w:tc>
        <w:tc>
          <w:tcPr>
            <w:tcW w:w="1253" w:type="dxa"/>
            <w:noWrap/>
          </w:tcPr>
          <w:p w14:paraId="28851C53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015" w:type="dxa"/>
            <w:noWrap/>
          </w:tcPr>
          <w:p w14:paraId="159C6E34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417" w:type="dxa"/>
            <w:noWrap/>
          </w:tcPr>
          <w:p w14:paraId="2D3C7066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701" w:type="dxa"/>
            <w:noWrap/>
          </w:tcPr>
          <w:p w14:paraId="02B0B2AE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4FC36479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15F256B2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</w:p>
        </w:tc>
      </w:tr>
      <w:tr w:rsidR="0008547C" w:rsidRPr="00BF073E" w14:paraId="11F97AF6" w14:textId="77777777" w:rsidTr="00371176">
        <w:trPr>
          <w:trHeight w:val="300"/>
        </w:trPr>
        <w:tc>
          <w:tcPr>
            <w:tcW w:w="2235" w:type="dxa"/>
            <w:noWrap/>
          </w:tcPr>
          <w:p w14:paraId="1FF35649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Single</w:t>
            </w:r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1,3,6,7,14,15,20,21,26-28,30</w:t>
            </w:r>
          </w:p>
        </w:tc>
        <w:tc>
          <w:tcPr>
            <w:tcW w:w="1253" w:type="dxa"/>
            <w:noWrap/>
          </w:tcPr>
          <w:p w14:paraId="5541F9AC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3660</w:t>
            </w:r>
          </w:p>
        </w:tc>
        <w:tc>
          <w:tcPr>
            <w:tcW w:w="1015" w:type="dxa"/>
            <w:noWrap/>
          </w:tcPr>
          <w:p w14:paraId="5F141C71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12</w:t>
            </w:r>
          </w:p>
        </w:tc>
        <w:tc>
          <w:tcPr>
            <w:tcW w:w="1417" w:type="dxa"/>
            <w:noWrap/>
          </w:tcPr>
          <w:p w14:paraId="2193F68A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 xml:space="preserve">0.14 ± 1.43 </w:t>
            </w:r>
          </w:p>
        </w:tc>
        <w:tc>
          <w:tcPr>
            <w:tcW w:w="1701" w:type="dxa"/>
            <w:noWrap/>
          </w:tcPr>
          <w:p w14:paraId="4465DDA8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−2.66 to 2.94</w:t>
            </w:r>
          </w:p>
        </w:tc>
        <w:tc>
          <w:tcPr>
            <w:tcW w:w="709" w:type="dxa"/>
            <w:noWrap/>
          </w:tcPr>
          <w:p w14:paraId="12F5417D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98.0</w:t>
            </w:r>
          </w:p>
        </w:tc>
        <w:tc>
          <w:tcPr>
            <w:tcW w:w="709" w:type="dxa"/>
            <w:noWrap/>
          </w:tcPr>
          <w:p w14:paraId="65DE0883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96.4</w:t>
            </w:r>
          </w:p>
        </w:tc>
      </w:tr>
      <w:tr w:rsidR="0008547C" w:rsidRPr="00BF073E" w14:paraId="6CF9D8FE" w14:textId="77777777" w:rsidTr="00371176">
        <w:trPr>
          <w:trHeight w:val="300"/>
        </w:trPr>
        <w:tc>
          <w:tcPr>
            <w:tcW w:w="2235" w:type="dxa"/>
            <w:noWrap/>
          </w:tcPr>
          <w:p w14:paraId="2AEEDC07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Multiple</w:t>
            </w:r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2,4,5,8-13,16-19,22-25,29,31,32</w:t>
            </w:r>
          </w:p>
        </w:tc>
        <w:tc>
          <w:tcPr>
            <w:tcW w:w="1253" w:type="dxa"/>
            <w:noWrap/>
          </w:tcPr>
          <w:p w14:paraId="287BB5E9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765</w:t>
            </w:r>
          </w:p>
        </w:tc>
        <w:tc>
          <w:tcPr>
            <w:tcW w:w="1015" w:type="dxa"/>
            <w:noWrap/>
          </w:tcPr>
          <w:p w14:paraId="2CFE7C6B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20</w:t>
            </w:r>
          </w:p>
        </w:tc>
        <w:tc>
          <w:tcPr>
            <w:tcW w:w="1417" w:type="dxa"/>
            <w:noWrap/>
          </w:tcPr>
          <w:p w14:paraId="39F7E75E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−0.09 ± 1.31</w:t>
            </w:r>
          </w:p>
        </w:tc>
        <w:tc>
          <w:tcPr>
            <w:tcW w:w="1701" w:type="dxa"/>
            <w:noWrap/>
          </w:tcPr>
          <w:p w14:paraId="7673DA76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−2.66 to 2.48</w:t>
            </w:r>
          </w:p>
        </w:tc>
        <w:tc>
          <w:tcPr>
            <w:tcW w:w="709" w:type="dxa"/>
            <w:noWrap/>
          </w:tcPr>
          <w:p w14:paraId="5590CE7C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83.4</w:t>
            </w:r>
          </w:p>
        </w:tc>
        <w:tc>
          <w:tcPr>
            <w:tcW w:w="709" w:type="dxa"/>
            <w:noWrap/>
          </w:tcPr>
          <w:p w14:paraId="2F4E615C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92.3</w:t>
            </w:r>
          </w:p>
        </w:tc>
      </w:tr>
      <w:tr w:rsidR="0008547C" w:rsidRPr="00BF073E" w14:paraId="7D22D81B" w14:textId="77777777" w:rsidTr="00371176">
        <w:trPr>
          <w:trHeight w:val="300"/>
        </w:trPr>
        <w:tc>
          <w:tcPr>
            <w:tcW w:w="2235" w:type="dxa"/>
            <w:noWrap/>
          </w:tcPr>
          <w:p w14:paraId="4806688E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253" w:type="dxa"/>
            <w:noWrap/>
          </w:tcPr>
          <w:p w14:paraId="38E5F929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4425</w:t>
            </w:r>
          </w:p>
        </w:tc>
        <w:tc>
          <w:tcPr>
            <w:tcW w:w="1015" w:type="dxa"/>
            <w:noWrap/>
          </w:tcPr>
          <w:p w14:paraId="6994711C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417" w:type="dxa"/>
            <w:noWrap/>
          </w:tcPr>
          <w:p w14:paraId="7EC4297E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701" w:type="dxa"/>
            <w:noWrap/>
          </w:tcPr>
          <w:p w14:paraId="4678BD4F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21036754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1A9FBD03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</w:p>
        </w:tc>
      </w:tr>
      <w:tr w:rsidR="0008547C" w:rsidRPr="00BF073E" w14:paraId="11D8FB92" w14:textId="77777777" w:rsidTr="00371176">
        <w:trPr>
          <w:trHeight w:val="300"/>
        </w:trPr>
        <w:tc>
          <w:tcPr>
            <w:tcW w:w="2235" w:type="dxa"/>
            <w:noWrap/>
          </w:tcPr>
          <w:p w14:paraId="3CC9709B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253" w:type="dxa"/>
            <w:noWrap/>
          </w:tcPr>
          <w:p w14:paraId="16F1BA43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015" w:type="dxa"/>
            <w:noWrap/>
          </w:tcPr>
          <w:p w14:paraId="5283488C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417" w:type="dxa"/>
            <w:noWrap/>
          </w:tcPr>
          <w:p w14:paraId="11830325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701" w:type="dxa"/>
            <w:noWrap/>
          </w:tcPr>
          <w:p w14:paraId="6A1C6593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5E71AF03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4A53F489" w14:textId="77777777" w:rsidR="0008547C" w:rsidRPr="00BF073E" w:rsidRDefault="0008547C" w:rsidP="00C041AD">
            <w:pPr>
              <w:rPr>
                <w:rFonts w:ascii="Arial" w:eastAsia="Times New Roman" w:hAnsi="Arial" w:cs="Arial"/>
                <w:lang w:eastAsia="en-US"/>
              </w:rPr>
            </w:pPr>
          </w:p>
        </w:tc>
      </w:tr>
      <w:tr w:rsidR="00371176" w:rsidRPr="00BF073E" w14:paraId="5E2AF2D3" w14:textId="77777777" w:rsidTr="00371176">
        <w:trPr>
          <w:trHeight w:val="300"/>
        </w:trPr>
        <w:tc>
          <w:tcPr>
            <w:tcW w:w="2235" w:type="dxa"/>
            <w:noWrap/>
          </w:tcPr>
          <w:p w14:paraId="4C37D4AC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By funding</w:t>
            </w:r>
          </w:p>
        </w:tc>
        <w:tc>
          <w:tcPr>
            <w:tcW w:w="1253" w:type="dxa"/>
            <w:noWrap/>
          </w:tcPr>
          <w:p w14:paraId="14E6B303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015" w:type="dxa"/>
            <w:noWrap/>
          </w:tcPr>
          <w:p w14:paraId="716E3C79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417" w:type="dxa"/>
            <w:noWrap/>
          </w:tcPr>
          <w:p w14:paraId="2D12EB9D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701" w:type="dxa"/>
            <w:noWrap/>
          </w:tcPr>
          <w:p w14:paraId="49E5B10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0BC59FA8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378AAD66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</w:tr>
      <w:tr w:rsidR="00371176" w:rsidRPr="00BF073E" w14:paraId="3550C9FC" w14:textId="77777777" w:rsidTr="00371176">
        <w:trPr>
          <w:trHeight w:val="300"/>
        </w:trPr>
        <w:tc>
          <w:tcPr>
            <w:tcW w:w="2235" w:type="dxa"/>
            <w:noWrap/>
          </w:tcPr>
          <w:p w14:paraId="30B28183" w14:textId="77777777" w:rsidR="00371176" w:rsidRPr="00BF073E" w:rsidRDefault="00371176" w:rsidP="004410CA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No industry funding</w:t>
            </w:r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1,3,4,6,8-12,14-22,24-27,30-32</w:t>
            </w:r>
          </w:p>
        </w:tc>
        <w:tc>
          <w:tcPr>
            <w:tcW w:w="1253" w:type="dxa"/>
            <w:noWrap/>
          </w:tcPr>
          <w:p w14:paraId="4B1F57E7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3603</w:t>
            </w:r>
          </w:p>
        </w:tc>
        <w:tc>
          <w:tcPr>
            <w:tcW w:w="1015" w:type="dxa"/>
            <w:noWrap/>
          </w:tcPr>
          <w:p w14:paraId="0C7C268B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25</w:t>
            </w:r>
          </w:p>
        </w:tc>
        <w:tc>
          <w:tcPr>
            <w:tcW w:w="1417" w:type="dxa"/>
            <w:noWrap/>
          </w:tcPr>
          <w:p w14:paraId="11DF4C02" w14:textId="77777777" w:rsidR="00371176" w:rsidRPr="00BF073E" w:rsidRDefault="00371176" w:rsidP="00BB010B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 xml:space="preserve">−0.08 ±1.50 </w:t>
            </w:r>
          </w:p>
        </w:tc>
        <w:tc>
          <w:tcPr>
            <w:tcW w:w="1701" w:type="dxa"/>
            <w:noWrap/>
          </w:tcPr>
          <w:p w14:paraId="3E73B454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−3.02 to 2.87</w:t>
            </w:r>
          </w:p>
        </w:tc>
        <w:tc>
          <w:tcPr>
            <w:tcW w:w="709" w:type="dxa"/>
            <w:noWrap/>
          </w:tcPr>
          <w:p w14:paraId="77D9DEEB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96.2</w:t>
            </w:r>
          </w:p>
        </w:tc>
        <w:tc>
          <w:tcPr>
            <w:tcW w:w="709" w:type="dxa"/>
            <w:noWrap/>
          </w:tcPr>
          <w:p w14:paraId="7C49C67E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94.6</w:t>
            </w:r>
          </w:p>
        </w:tc>
      </w:tr>
      <w:tr w:rsidR="00371176" w:rsidRPr="00BF073E" w14:paraId="7EB7BAED" w14:textId="77777777" w:rsidTr="00371176">
        <w:trPr>
          <w:trHeight w:val="300"/>
        </w:trPr>
        <w:tc>
          <w:tcPr>
            <w:tcW w:w="2235" w:type="dxa"/>
            <w:noWrap/>
          </w:tcPr>
          <w:p w14:paraId="776185E9" w14:textId="77777777" w:rsidR="00371176" w:rsidRPr="00BF073E" w:rsidRDefault="00371176" w:rsidP="004410CA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Industry funding sponsored</w:t>
            </w:r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2,5,7,13,23,28,29</w:t>
            </w:r>
          </w:p>
        </w:tc>
        <w:tc>
          <w:tcPr>
            <w:tcW w:w="1253" w:type="dxa"/>
            <w:noWrap/>
          </w:tcPr>
          <w:p w14:paraId="735B32C7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822</w:t>
            </w:r>
          </w:p>
        </w:tc>
        <w:tc>
          <w:tcPr>
            <w:tcW w:w="1015" w:type="dxa"/>
            <w:noWrap/>
          </w:tcPr>
          <w:p w14:paraId="0CB7F54E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7</w:t>
            </w:r>
          </w:p>
        </w:tc>
        <w:tc>
          <w:tcPr>
            <w:tcW w:w="1417" w:type="dxa"/>
            <w:noWrap/>
          </w:tcPr>
          <w:p w14:paraId="084A724D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0.24 ±1.02</w:t>
            </w:r>
          </w:p>
        </w:tc>
        <w:tc>
          <w:tcPr>
            <w:tcW w:w="1701" w:type="dxa"/>
            <w:noWrap/>
          </w:tcPr>
          <w:p w14:paraId="2B0FB9F5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−1.76 to 2.25</w:t>
            </w:r>
          </w:p>
        </w:tc>
        <w:tc>
          <w:tcPr>
            <w:tcW w:w="709" w:type="dxa"/>
            <w:noWrap/>
          </w:tcPr>
          <w:p w14:paraId="155DB882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95.6</w:t>
            </w:r>
          </w:p>
        </w:tc>
        <w:tc>
          <w:tcPr>
            <w:tcW w:w="709" w:type="dxa"/>
            <w:noWrap/>
          </w:tcPr>
          <w:p w14:paraId="477C1829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94.5</w:t>
            </w:r>
          </w:p>
        </w:tc>
      </w:tr>
      <w:tr w:rsidR="00371176" w:rsidRPr="00BF073E" w14:paraId="3AE765D9" w14:textId="77777777" w:rsidTr="00371176">
        <w:trPr>
          <w:trHeight w:val="300"/>
        </w:trPr>
        <w:tc>
          <w:tcPr>
            <w:tcW w:w="2235" w:type="dxa"/>
            <w:noWrap/>
          </w:tcPr>
          <w:p w14:paraId="698B14B9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253" w:type="dxa"/>
            <w:noWrap/>
          </w:tcPr>
          <w:p w14:paraId="17A6FC83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4425</w:t>
            </w:r>
          </w:p>
        </w:tc>
        <w:tc>
          <w:tcPr>
            <w:tcW w:w="1015" w:type="dxa"/>
            <w:noWrap/>
          </w:tcPr>
          <w:p w14:paraId="7C31F85D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32</w:t>
            </w:r>
          </w:p>
        </w:tc>
        <w:tc>
          <w:tcPr>
            <w:tcW w:w="1417" w:type="dxa"/>
            <w:noWrap/>
          </w:tcPr>
          <w:p w14:paraId="241212A1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701" w:type="dxa"/>
            <w:noWrap/>
          </w:tcPr>
          <w:p w14:paraId="6461744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09B737DE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54E6F239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</w:tr>
      <w:tr w:rsidR="00371176" w:rsidRPr="00BF073E" w14:paraId="1E88F3DA" w14:textId="77777777" w:rsidTr="00371176">
        <w:trPr>
          <w:trHeight w:val="300"/>
        </w:trPr>
        <w:tc>
          <w:tcPr>
            <w:tcW w:w="2235" w:type="dxa"/>
            <w:noWrap/>
          </w:tcPr>
          <w:p w14:paraId="5A3B1A4F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253" w:type="dxa"/>
            <w:noWrap/>
          </w:tcPr>
          <w:p w14:paraId="286D38CB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015" w:type="dxa"/>
            <w:noWrap/>
          </w:tcPr>
          <w:p w14:paraId="01289366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417" w:type="dxa"/>
            <w:noWrap/>
          </w:tcPr>
          <w:p w14:paraId="0CAB66C1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701" w:type="dxa"/>
            <w:noWrap/>
          </w:tcPr>
          <w:p w14:paraId="2691C485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412CEF75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73EB221F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</w:tr>
      <w:tr w:rsidR="00371176" w:rsidRPr="00BF073E" w14:paraId="21261DA5" w14:textId="77777777" w:rsidTr="00371176">
        <w:trPr>
          <w:trHeight w:val="300"/>
        </w:trPr>
        <w:tc>
          <w:tcPr>
            <w:tcW w:w="2235" w:type="dxa"/>
            <w:noWrap/>
          </w:tcPr>
          <w:p w14:paraId="06FFBDF4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By country</w:t>
            </w:r>
          </w:p>
        </w:tc>
        <w:tc>
          <w:tcPr>
            <w:tcW w:w="1253" w:type="dxa"/>
            <w:noWrap/>
          </w:tcPr>
          <w:p w14:paraId="1C26DF42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015" w:type="dxa"/>
            <w:noWrap/>
          </w:tcPr>
          <w:p w14:paraId="1A4FA180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417" w:type="dxa"/>
            <w:noWrap/>
          </w:tcPr>
          <w:p w14:paraId="7BF359A7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701" w:type="dxa"/>
            <w:noWrap/>
          </w:tcPr>
          <w:p w14:paraId="41C357AD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7E0752FF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7A0807F4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</w:tr>
      <w:tr w:rsidR="00371176" w:rsidRPr="00BF073E" w14:paraId="585DBF56" w14:textId="77777777" w:rsidTr="00371176">
        <w:trPr>
          <w:trHeight w:val="300"/>
        </w:trPr>
        <w:tc>
          <w:tcPr>
            <w:tcW w:w="2235" w:type="dxa"/>
            <w:noWrap/>
          </w:tcPr>
          <w:p w14:paraId="4E4BFC1C" w14:textId="77777777" w:rsidR="00371176" w:rsidRPr="00BF073E" w:rsidRDefault="00371176" w:rsidP="004410CA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US</w:t>
            </w:r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2,5,7-9,12,21,23,24,26-28</w:t>
            </w:r>
          </w:p>
        </w:tc>
        <w:tc>
          <w:tcPr>
            <w:tcW w:w="1253" w:type="dxa"/>
            <w:noWrap/>
          </w:tcPr>
          <w:p w14:paraId="5413AEB7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1303</w:t>
            </w:r>
          </w:p>
        </w:tc>
        <w:tc>
          <w:tcPr>
            <w:tcW w:w="1015" w:type="dxa"/>
            <w:noWrap/>
          </w:tcPr>
          <w:p w14:paraId="12227594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12</w:t>
            </w:r>
          </w:p>
        </w:tc>
        <w:tc>
          <w:tcPr>
            <w:tcW w:w="1417" w:type="dxa"/>
            <w:noWrap/>
          </w:tcPr>
          <w:p w14:paraId="4F05731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−0.04 ± 1.39</w:t>
            </w:r>
          </w:p>
        </w:tc>
        <w:tc>
          <w:tcPr>
            <w:tcW w:w="1701" w:type="dxa"/>
            <w:noWrap/>
          </w:tcPr>
          <w:p w14:paraId="1F1D7919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−2.77 to 2.68</w:t>
            </w:r>
          </w:p>
        </w:tc>
        <w:tc>
          <w:tcPr>
            <w:tcW w:w="709" w:type="dxa"/>
            <w:noWrap/>
          </w:tcPr>
          <w:p w14:paraId="48BB86F4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95.4</w:t>
            </w:r>
          </w:p>
        </w:tc>
        <w:tc>
          <w:tcPr>
            <w:tcW w:w="709" w:type="dxa"/>
            <w:noWrap/>
          </w:tcPr>
          <w:p w14:paraId="5D35146F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91.9</w:t>
            </w:r>
          </w:p>
        </w:tc>
      </w:tr>
      <w:tr w:rsidR="00371176" w:rsidRPr="00BF073E" w14:paraId="73C02F22" w14:textId="77777777" w:rsidTr="00371176">
        <w:trPr>
          <w:trHeight w:val="300"/>
        </w:trPr>
        <w:tc>
          <w:tcPr>
            <w:tcW w:w="2235" w:type="dxa"/>
            <w:noWrap/>
          </w:tcPr>
          <w:p w14:paraId="1F823E5B" w14:textId="77777777" w:rsidR="00371176" w:rsidRPr="00BF073E" w:rsidRDefault="00371176" w:rsidP="004410CA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France</w:t>
            </w:r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10,11,13-16,22,32</w:t>
            </w:r>
          </w:p>
        </w:tc>
        <w:tc>
          <w:tcPr>
            <w:tcW w:w="1253" w:type="dxa"/>
            <w:noWrap/>
          </w:tcPr>
          <w:p w14:paraId="629EE30D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1112</w:t>
            </w:r>
          </w:p>
        </w:tc>
        <w:tc>
          <w:tcPr>
            <w:tcW w:w="1015" w:type="dxa"/>
            <w:noWrap/>
          </w:tcPr>
          <w:p w14:paraId="04795A32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8</w:t>
            </w:r>
          </w:p>
        </w:tc>
        <w:tc>
          <w:tcPr>
            <w:tcW w:w="1417" w:type="dxa"/>
            <w:noWrap/>
          </w:tcPr>
          <w:p w14:paraId="3E85D5EE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−0.30 ± 1.62</w:t>
            </w:r>
          </w:p>
        </w:tc>
        <w:tc>
          <w:tcPr>
            <w:tcW w:w="1701" w:type="dxa"/>
            <w:noWrap/>
          </w:tcPr>
          <w:p w14:paraId="2F6CD3EB" w14:textId="77777777" w:rsidR="00371176" w:rsidRPr="00BF073E" w:rsidRDefault="00371176" w:rsidP="000B56AB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−3.47 to 2.88</w:t>
            </w:r>
          </w:p>
        </w:tc>
        <w:tc>
          <w:tcPr>
            <w:tcW w:w="709" w:type="dxa"/>
            <w:noWrap/>
          </w:tcPr>
          <w:p w14:paraId="7D0AAAA5" w14:textId="77777777" w:rsidR="00371176" w:rsidRPr="00BF073E" w:rsidRDefault="00371176" w:rsidP="000B56AB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96.5</w:t>
            </w:r>
          </w:p>
        </w:tc>
        <w:tc>
          <w:tcPr>
            <w:tcW w:w="709" w:type="dxa"/>
            <w:noWrap/>
          </w:tcPr>
          <w:p w14:paraId="1D4178B3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98.1</w:t>
            </w:r>
          </w:p>
        </w:tc>
      </w:tr>
      <w:tr w:rsidR="00371176" w:rsidRPr="00BF073E" w14:paraId="3B44C169" w14:textId="77777777" w:rsidTr="00371176">
        <w:trPr>
          <w:trHeight w:val="300"/>
        </w:trPr>
        <w:tc>
          <w:tcPr>
            <w:tcW w:w="2235" w:type="dxa"/>
            <w:noWrap/>
          </w:tcPr>
          <w:p w14:paraId="2EDD2FD3" w14:textId="77777777" w:rsidR="00371176" w:rsidRPr="00BF073E" w:rsidRDefault="00371176" w:rsidP="004410CA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Europe</w:t>
            </w:r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3,4,6,18,29-31</w:t>
            </w:r>
          </w:p>
        </w:tc>
        <w:tc>
          <w:tcPr>
            <w:tcW w:w="1253" w:type="dxa"/>
            <w:noWrap/>
          </w:tcPr>
          <w:p w14:paraId="768090E2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1283</w:t>
            </w:r>
          </w:p>
        </w:tc>
        <w:tc>
          <w:tcPr>
            <w:tcW w:w="1015" w:type="dxa"/>
            <w:noWrap/>
          </w:tcPr>
          <w:p w14:paraId="3D432922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7</w:t>
            </w:r>
          </w:p>
        </w:tc>
        <w:tc>
          <w:tcPr>
            <w:tcW w:w="1417" w:type="dxa"/>
            <w:noWrap/>
          </w:tcPr>
          <w:p w14:paraId="548DE115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0.12 ± 1.19</w:t>
            </w:r>
          </w:p>
        </w:tc>
        <w:tc>
          <w:tcPr>
            <w:tcW w:w="1701" w:type="dxa"/>
            <w:noWrap/>
          </w:tcPr>
          <w:p w14:paraId="6200B366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−2.21 to 2.46</w:t>
            </w:r>
          </w:p>
        </w:tc>
        <w:tc>
          <w:tcPr>
            <w:tcW w:w="709" w:type="dxa"/>
            <w:noWrap/>
          </w:tcPr>
          <w:p w14:paraId="4FEF48E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97.6</w:t>
            </w:r>
          </w:p>
        </w:tc>
        <w:tc>
          <w:tcPr>
            <w:tcW w:w="709" w:type="dxa"/>
            <w:noWrap/>
          </w:tcPr>
          <w:p w14:paraId="29CD1253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86.4</w:t>
            </w:r>
          </w:p>
        </w:tc>
      </w:tr>
      <w:tr w:rsidR="00371176" w:rsidRPr="00BF073E" w14:paraId="2281C94F" w14:textId="77777777" w:rsidTr="00371176">
        <w:trPr>
          <w:trHeight w:val="300"/>
        </w:trPr>
        <w:tc>
          <w:tcPr>
            <w:tcW w:w="2235" w:type="dxa"/>
            <w:noWrap/>
          </w:tcPr>
          <w:p w14:paraId="57BCA904" w14:textId="77777777" w:rsidR="00371176" w:rsidRPr="00BF073E" w:rsidRDefault="00371176" w:rsidP="004410CA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Asia and Middle East</w:t>
            </w:r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1,17,19,20,25</w:t>
            </w:r>
          </w:p>
        </w:tc>
        <w:tc>
          <w:tcPr>
            <w:tcW w:w="1253" w:type="dxa"/>
            <w:noWrap/>
          </w:tcPr>
          <w:p w14:paraId="7BACF06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727</w:t>
            </w:r>
          </w:p>
        </w:tc>
        <w:tc>
          <w:tcPr>
            <w:tcW w:w="1015" w:type="dxa"/>
            <w:noWrap/>
          </w:tcPr>
          <w:p w14:paraId="34901D47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5</w:t>
            </w:r>
          </w:p>
        </w:tc>
        <w:tc>
          <w:tcPr>
            <w:tcW w:w="1417" w:type="dxa"/>
            <w:noWrap/>
          </w:tcPr>
          <w:p w14:paraId="17BFEF8F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0.42 ± 1.27</w:t>
            </w:r>
          </w:p>
        </w:tc>
        <w:tc>
          <w:tcPr>
            <w:tcW w:w="1701" w:type="dxa"/>
            <w:noWrap/>
          </w:tcPr>
          <w:p w14:paraId="3955EE5B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−2.06 to 2.90</w:t>
            </w:r>
          </w:p>
        </w:tc>
        <w:tc>
          <w:tcPr>
            <w:tcW w:w="709" w:type="dxa"/>
            <w:noWrap/>
          </w:tcPr>
          <w:p w14:paraId="30A5F5BF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88.1</w:t>
            </w:r>
          </w:p>
        </w:tc>
        <w:tc>
          <w:tcPr>
            <w:tcW w:w="709" w:type="dxa"/>
            <w:noWrap/>
          </w:tcPr>
          <w:p w14:paraId="69D16E4F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89.8</w:t>
            </w:r>
          </w:p>
        </w:tc>
      </w:tr>
      <w:tr w:rsidR="00371176" w:rsidRPr="00BF073E" w14:paraId="772DB9AC" w14:textId="77777777" w:rsidTr="00371176">
        <w:trPr>
          <w:trHeight w:val="300"/>
        </w:trPr>
        <w:tc>
          <w:tcPr>
            <w:tcW w:w="2235" w:type="dxa"/>
            <w:noWrap/>
          </w:tcPr>
          <w:p w14:paraId="681491CC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253" w:type="dxa"/>
            <w:noWrap/>
          </w:tcPr>
          <w:p w14:paraId="782A1E7D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4425</w:t>
            </w:r>
          </w:p>
        </w:tc>
        <w:tc>
          <w:tcPr>
            <w:tcW w:w="1015" w:type="dxa"/>
            <w:noWrap/>
          </w:tcPr>
          <w:p w14:paraId="02E0AA62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32</w:t>
            </w:r>
          </w:p>
        </w:tc>
        <w:tc>
          <w:tcPr>
            <w:tcW w:w="1417" w:type="dxa"/>
            <w:noWrap/>
          </w:tcPr>
          <w:p w14:paraId="7FF52693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701" w:type="dxa"/>
            <w:noWrap/>
          </w:tcPr>
          <w:p w14:paraId="7AD5BF5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751ACA77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1FD6314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</w:tr>
      <w:tr w:rsidR="00371176" w:rsidRPr="00BF073E" w14:paraId="329E9490" w14:textId="77777777" w:rsidTr="00371176">
        <w:trPr>
          <w:trHeight w:val="300"/>
        </w:trPr>
        <w:tc>
          <w:tcPr>
            <w:tcW w:w="2235" w:type="dxa"/>
            <w:shd w:val="clear" w:color="auto" w:fill="auto"/>
            <w:noWrap/>
          </w:tcPr>
          <w:p w14:paraId="3038FADD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253" w:type="dxa"/>
            <w:shd w:val="clear" w:color="auto" w:fill="auto"/>
            <w:noWrap/>
          </w:tcPr>
          <w:p w14:paraId="14FCC209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015" w:type="dxa"/>
            <w:shd w:val="clear" w:color="auto" w:fill="auto"/>
            <w:noWrap/>
          </w:tcPr>
          <w:p w14:paraId="3FAC8D44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14:paraId="59B433CE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71345853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002D56F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666E5ACF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</w:tr>
      <w:tr w:rsidR="00371176" w:rsidRPr="00BF073E" w14:paraId="756E4D72" w14:textId="77777777" w:rsidTr="00371176">
        <w:trPr>
          <w:trHeight w:val="300"/>
        </w:trPr>
        <w:tc>
          <w:tcPr>
            <w:tcW w:w="2235" w:type="dxa"/>
            <w:shd w:val="clear" w:color="auto" w:fill="auto"/>
            <w:noWrap/>
          </w:tcPr>
          <w:p w14:paraId="08B6269E" w14:textId="77777777" w:rsidR="00371176" w:rsidRPr="00BF073E" w:rsidRDefault="00371176" w:rsidP="00536F4C">
            <w:pPr>
              <w:rPr>
                <w:rFonts w:ascii="Arial" w:eastAsia="Times New Roman" w:hAnsi="Arial" w:cs="Arial"/>
                <w:color w:val="FF0000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 xml:space="preserve">By setting </w:t>
            </w:r>
          </w:p>
        </w:tc>
        <w:tc>
          <w:tcPr>
            <w:tcW w:w="1253" w:type="dxa"/>
            <w:shd w:val="clear" w:color="auto" w:fill="auto"/>
            <w:noWrap/>
          </w:tcPr>
          <w:p w14:paraId="4EF427C1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015" w:type="dxa"/>
            <w:shd w:val="clear" w:color="auto" w:fill="auto"/>
            <w:noWrap/>
          </w:tcPr>
          <w:p w14:paraId="07A60556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14:paraId="07276F24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0EDF62B7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2ADAC785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26250645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</w:tr>
      <w:tr w:rsidR="00371176" w:rsidRPr="00BF073E" w14:paraId="51041DDE" w14:textId="77777777" w:rsidTr="00371176">
        <w:trPr>
          <w:trHeight w:val="300"/>
        </w:trPr>
        <w:tc>
          <w:tcPr>
            <w:tcW w:w="2235" w:type="dxa"/>
            <w:shd w:val="clear" w:color="auto" w:fill="auto"/>
            <w:noWrap/>
          </w:tcPr>
          <w:p w14:paraId="239DFA17" w14:textId="77777777" w:rsidR="00371176" w:rsidRPr="00BF073E" w:rsidRDefault="00371176" w:rsidP="004410CA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OR</w:t>
            </w:r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2,5,7-9,12,16,19,22,24,25,30,31</w:t>
            </w:r>
          </w:p>
        </w:tc>
        <w:tc>
          <w:tcPr>
            <w:tcW w:w="1253" w:type="dxa"/>
            <w:shd w:val="clear" w:color="auto" w:fill="auto"/>
            <w:noWrap/>
          </w:tcPr>
          <w:p w14:paraId="7E8FF894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841</w:t>
            </w:r>
          </w:p>
        </w:tc>
        <w:tc>
          <w:tcPr>
            <w:tcW w:w="1015" w:type="dxa"/>
            <w:shd w:val="clear" w:color="auto" w:fill="auto"/>
            <w:noWrap/>
          </w:tcPr>
          <w:p w14:paraId="744036C1" w14:textId="77777777" w:rsidR="00371176" w:rsidRPr="00BF073E" w:rsidRDefault="00371176" w:rsidP="009F7D2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13**</w:t>
            </w:r>
          </w:p>
        </w:tc>
        <w:tc>
          <w:tcPr>
            <w:tcW w:w="1417" w:type="dxa"/>
            <w:shd w:val="clear" w:color="auto" w:fill="auto"/>
            <w:noWrap/>
          </w:tcPr>
          <w:p w14:paraId="5E818704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 xml:space="preserve">0.39 ± 1.32 </w:t>
            </w:r>
          </w:p>
        </w:tc>
        <w:tc>
          <w:tcPr>
            <w:tcW w:w="1701" w:type="dxa"/>
            <w:shd w:val="clear" w:color="auto" w:fill="auto"/>
            <w:noWrap/>
          </w:tcPr>
          <w:p w14:paraId="2A259CDD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−2.21 to 2.98</w:t>
            </w:r>
          </w:p>
        </w:tc>
        <w:tc>
          <w:tcPr>
            <w:tcW w:w="709" w:type="dxa"/>
            <w:shd w:val="clear" w:color="auto" w:fill="auto"/>
            <w:noWrap/>
          </w:tcPr>
          <w:p w14:paraId="7FFFA026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93.0</w:t>
            </w:r>
          </w:p>
        </w:tc>
        <w:tc>
          <w:tcPr>
            <w:tcW w:w="709" w:type="dxa"/>
            <w:shd w:val="clear" w:color="auto" w:fill="auto"/>
            <w:noWrap/>
          </w:tcPr>
          <w:p w14:paraId="0CAFD828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71.4</w:t>
            </w:r>
          </w:p>
        </w:tc>
      </w:tr>
      <w:tr w:rsidR="00371176" w:rsidRPr="00BF073E" w14:paraId="53037495" w14:textId="77777777" w:rsidTr="00371176">
        <w:trPr>
          <w:trHeight w:val="300"/>
        </w:trPr>
        <w:tc>
          <w:tcPr>
            <w:tcW w:w="2235" w:type="dxa"/>
            <w:shd w:val="clear" w:color="auto" w:fill="auto"/>
            <w:noWrap/>
          </w:tcPr>
          <w:p w14:paraId="25FAB55A" w14:textId="77777777" w:rsidR="00371176" w:rsidRPr="00BF073E" w:rsidRDefault="00371176" w:rsidP="004410CA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lastRenderedPageBreak/>
              <w:t>ICU</w:t>
            </w:r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8,10,11,13,32</w:t>
            </w:r>
          </w:p>
        </w:tc>
        <w:tc>
          <w:tcPr>
            <w:tcW w:w="1253" w:type="dxa"/>
            <w:shd w:val="clear" w:color="auto" w:fill="auto"/>
            <w:noWrap/>
          </w:tcPr>
          <w:p w14:paraId="1E0C0029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215</w:t>
            </w:r>
          </w:p>
        </w:tc>
        <w:tc>
          <w:tcPr>
            <w:tcW w:w="1015" w:type="dxa"/>
            <w:shd w:val="clear" w:color="auto" w:fill="auto"/>
            <w:noWrap/>
          </w:tcPr>
          <w:p w14:paraId="4D6EDCCA" w14:textId="77777777" w:rsidR="00371176" w:rsidRPr="00BF073E" w:rsidRDefault="00371176" w:rsidP="009F7D2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5**</w:t>
            </w:r>
          </w:p>
        </w:tc>
        <w:tc>
          <w:tcPr>
            <w:tcW w:w="1417" w:type="dxa"/>
            <w:shd w:val="clear" w:color="auto" w:fill="auto"/>
            <w:noWrap/>
          </w:tcPr>
          <w:p w14:paraId="31191E8E" w14:textId="77777777" w:rsidR="00371176" w:rsidRPr="00BF073E" w:rsidRDefault="00371176" w:rsidP="000B56AB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 xml:space="preserve">−0.51 ± 1.59 </w:t>
            </w:r>
          </w:p>
        </w:tc>
        <w:tc>
          <w:tcPr>
            <w:tcW w:w="1701" w:type="dxa"/>
            <w:shd w:val="clear" w:color="auto" w:fill="auto"/>
            <w:noWrap/>
          </w:tcPr>
          <w:p w14:paraId="2BB5FA04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−3.63 to 2.62</w:t>
            </w:r>
          </w:p>
        </w:tc>
        <w:tc>
          <w:tcPr>
            <w:tcW w:w="709" w:type="dxa"/>
            <w:shd w:val="clear" w:color="auto" w:fill="auto"/>
            <w:noWrap/>
          </w:tcPr>
          <w:p w14:paraId="7F45296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83.7</w:t>
            </w:r>
          </w:p>
        </w:tc>
        <w:tc>
          <w:tcPr>
            <w:tcW w:w="709" w:type="dxa"/>
            <w:shd w:val="clear" w:color="auto" w:fill="auto"/>
            <w:noWrap/>
          </w:tcPr>
          <w:p w14:paraId="1B52D008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96.4</w:t>
            </w:r>
          </w:p>
        </w:tc>
      </w:tr>
      <w:tr w:rsidR="00371176" w:rsidRPr="00BF073E" w14:paraId="4C775CE9" w14:textId="77777777" w:rsidTr="00371176">
        <w:trPr>
          <w:trHeight w:val="300"/>
        </w:trPr>
        <w:tc>
          <w:tcPr>
            <w:tcW w:w="2235" w:type="dxa"/>
            <w:shd w:val="clear" w:color="auto" w:fill="auto"/>
            <w:noWrap/>
          </w:tcPr>
          <w:p w14:paraId="469C6261" w14:textId="77777777" w:rsidR="00371176" w:rsidRPr="00BF073E" w:rsidRDefault="00371176" w:rsidP="004410CA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ED</w:t>
            </w:r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14,15,21,29</w:t>
            </w:r>
          </w:p>
        </w:tc>
        <w:tc>
          <w:tcPr>
            <w:tcW w:w="1253" w:type="dxa"/>
            <w:shd w:val="clear" w:color="auto" w:fill="auto"/>
            <w:noWrap/>
          </w:tcPr>
          <w:p w14:paraId="7876EC71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1002</w:t>
            </w:r>
          </w:p>
        </w:tc>
        <w:tc>
          <w:tcPr>
            <w:tcW w:w="1015" w:type="dxa"/>
            <w:shd w:val="clear" w:color="auto" w:fill="auto"/>
            <w:noWrap/>
          </w:tcPr>
          <w:p w14:paraId="055996A7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</w:tcPr>
          <w:p w14:paraId="58F531D9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−0.39 ± 1.73</w:t>
            </w:r>
          </w:p>
        </w:tc>
        <w:tc>
          <w:tcPr>
            <w:tcW w:w="1701" w:type="dxa"/>
            <w:shd w:val="clear" w:color="auto" w:fill="auto"/>
            <w:noWrap/>
          </w:tcPr>
          <w:p w14:paraId="51863FF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−3.78 to 2.99</w:t>
            </w:r>
          </w:p>
        </w:tc>
        <w:tc>
          <w:tcPr>
            <w:tcW w:w="709" w:type="dxa"/>
            <w:shd w:val="clear" w:color="auto" w:fill="auto"/>
            <w:noWrap/>
          </w:tcPr>
          <w:p w14:paraId="2651341C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98.1</w:t>
            </w:r>
          </w:p>
        </w:tc>
        <w:tc>
          <w:tcPr>
            <w:tcW w:w="709" w:type="dxa"/>
            <w:shd w:val="clear" w:color="auto" w:fill="auto"/>
            <w:noWrap/>
          </w:tcPr>
          <w:p w14:paraId="1448EB4B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97.7</w:t>
            </w:r>
          </w:p>
        </w:tc>
      </w:tr>
      <w:tr w:rsidR="00371176" w:rsidRPr="00BF073E" w14:paraId="0E86FC31" w14:textId="77777777" w:rsidTr="00371176">
        <w:trPr>
          <w:trHeight w:val="300"/>
        </w:trPr>
        <w:tc>
          <w:tcPr>
            <w:tcW w:w="2235" w:type="dxa"/>
            <w:shd w:val="clear" w:color="auto" w:fill="auto"/>
            <w:noWrap/>
          </w:tcPr>
          <w:p w14:paraId="1A34271F" w14:textId="77777777" w:rsidR="00371176" w:rsidRPr="00BF073E" w:rsidRDefault="00371176" w:rsidP="004410CA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OPD and Ward</w:t>
            </w:r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1,6,17,26-28</w:t>
            </w:r>
          </w:p>
        </w:tc>
        <w:tc>
          <w:tcPr>
            <w:tcW w:w="1253" w:type="dxa"/>
            <w:shd w:val="clear" w:color="auto" w:fill="auto"/>
            <w:noWrap/>
          </w:tcPr>
          <w:p w14:paraId="5DCD86E2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913</w:t>
            </w:r>
          </w:p>
        </w:tc>
        <w:tc>
          <w:tcPr>
            <w:tcW w:w="1015" w:type="dxa"/>
            <w:shd w:val="clear" w:color="auto" w:fill="auto"/>
            <w:noWrap/>
          </w:tcPr>
          <w:p w14:paraId="30BC75E7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</w:tcPr>
          <w:p w14:paraId="4903E4AD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 xml:space="preserve">−0.14 ± 1.35 </w:t>
            </w:r>
          </w:p>
        </w:tc>
        <w:tc>
          <w:tcPr>
            <w:tcW w:w="1701" w:type="dxa"/>
            <w:shd w:val="clear" w:color="auto" w:fill="auto"/>
            <w:noWrap/>
          </w:tcPr>
          <w:p w14:paraId="35689ECF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−2.78 to 2.50</w:t>
            </w:r>
          </w:p>
        </w:tc>
        <w:tc>
          <w:tcPr>
            <w:tcW w:w="709" w:type="dxa"/>
            <w:shd w:val="clear" w:color="auto" w:fill="auto"/>
            <w:noWrap/>
          </w:tcPr>
          <w:p w14:paraId="09A13C80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94.9</w:t>
            </w:r>
          </w:p>
        </w:tc>
        <w:tc>
          <w:tcPr>
            <w:tcW w:w="709" w:type="dxa"/>
            <w:shd w:val="clear" w:color="auto" w:fill="auto"/>
            <w:noWrap/>
          </w:tcPr>
          <w:p w14:paraId="099AB10D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95.2</w:t>
            </w:r>
          </w:p>
        </w:tc>
      </w:tr>
      <w:tr w:rsidR="00371176" w:rsidRPr="00BF073E" w14:paraId="539A38AC" w14:textId="77777777" w:rsidTr="00371176">
        <w:trPr>
          <w:trHeight w:val="300"/>
        </w:trPr>
        <w:tc>
          <w:tcPr>
            <w:tcW w:w="2235" w:type="dxa"/>
            <w:shd w:val="clear" w:color="auto" w:fill="auto"/>
            <w:noWrap/>
          </w:tcPr>
          <w:p w14:paraId="6B85ADAE" w14:textId="77777777" w:rsidR="00371176" w:rsidRPr="00BF073E" w:rsidRDefault="00371176" w:rsidP="004410CA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BD</w:t>
            </w:r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3,20</w:t>
            </w:r>
          </w:p>
        </w:tc>
        <w:tc>
          <w:tcPr>
            <w:tcW w:w="1253" w:type="dxa"/>
            <w:shd w:val="clear" w:color="auto" w:fill="auto"/>
            <w:noWrap/>
          </w:tcPr>
          <w:p w14:paraId="0264C9CD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1414</w:t>
            </w:r>
          </w:p>
        </w:tc>
        <w:tc>
          <w:tcPr>
            <w:tcW w:w="1015" w:type="dxa"/>
            <w:shd w:val="clear" w:color="auto" w:fill="auto"/>
            <w:noWrap/>
          </w:tcPr>
          <w:p w14:paraId="6F9E6C00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</w:tcPr>
          <w:p w14:paraId="2BA2347D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−0.05 ± 1.04</w:t>
            </w:r>
          </w:p>
        </w:tc>
        <w:tc>
          <w:tcPr>
            <w:tcW w:w="1701" w:type="dxa"/>
            <w:shd w:val="clear" w:color="auto" w:fill="auto"/>
            <w:noWrap/>
          </w:tcPr>
          <w:p w14:paraId="08C46CF7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−2.10 to 1.99</w:t>
            </w:r>
          </w:p>
        </w:tc>
        <w:tc>
          <w:tcPr>
            <w:tcW w:w="709" w:type="dxa"/>
            <w:shd w:val="clear" w:color="auto" w:fill="auto"/>
            <w:noWrap/>
          </w:tcPr>
          <w:p w14:paraId="7294F321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98.7</w:t>
            </w:r>
          </w:p>
        </w:tc>
        <w:tc>
          <w:tcPr>
            <w:tcW w:w="709" w:type="dxa"/>
            <w:shd w:val="clear" w:color="auto" w:fill="auto"/>
            <w:noWrap/>
          </w:tcPr>
          <w:p w14:paraId="57402A0E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71.6</w:t>
            </w:r>
          </w:p>
        </w:tc>
      </w:tr>
      <w:tr w:rsidR="00371176" w:rsidRPr="00BF073E" w14:paraId="0779961C" w14:textId="77777777" w:rsidTr="00371176">
        <w:trPr>
          <w:trHeight w:val="300"/>
        </w:trPr>
        <w:tc>
          <w:tcPr>
            <w:tcW w:w="2235" w:type="dxa"/>
            <w:shd w:val="clear" w:color="auto" w:fill="auto"/>
            <w:noWrap/>
          </w:tcPr>
          <w:p w14:paraId="5E7CF34D" w14:textId="77777777" w:rsidR="00371176" w:rsidRPr="00BF073E" w:rsidRDefault="00371176" w:rsidP="004410CA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Volunteers</w:t>
            </w:r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4,18,23</w:t>
            </w:r>
          </w:p>
        </w:tc>
        <w:tc>
          <w:tcPr>
            <w:tcW w:w="1253" w:type="dxa"/>
            <w:shd w:val="clear" w:color="auto" w:fill="auto"/>
            <w:noWrap/>
          </w:tcPr>
          <w:p w14:paraId="7A8EC27C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40</w:t>
            </w:r>
          </w:p>
        </w:tc>
        <w:tc>
          <w:tcPr>
            <w:tcW w:w="1015" w:type="dxa"/>
            <w:shd w:val="clear" w:color="auto" w:fill="auto"/>
            <w:noWrap/>
          </w:tcPr>
          <w:p w14:paraId="51C8165E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</w:tcPr>
          <w:p w14:paraId="040EEFC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 xml:space="preserve">−0.19 ± 1.01 </w:t>
            </w:r>
          </w:p>
        </w:tc>
        <w:tc>
          <w:tcPr>
            <w:tcW w:w="1701" w:type="dxa"/>
            <w:shd w:val="clear" w:color="auto" w:fill="auto"/>
            <w:noWrap/>
          </w:tcPr>
          <w:p w14:paraId="4C11D17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−2.16 to 1.78</w:t>
            </w:r>
          </w:p>
        </w:tc>
        <w:tc>
          <w:tcPr>
            <w:tcW w:w="709" w:type="dxa"/>
            <w:shd w:val="clear" w:color="auto" w:fill="auto"/>
            <w:noWrap/>
          </w:tcPr>
          <w:p w14:paraId="629E1EE4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</w:tcPr>
          <w:p w14:paraId="67140E68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0</w:t>
            </w:r>
          </w:p>
        </w:tc>
      </w:tr>
      <w:tr w:rsidR="00371176" w:rsidRPr="00BF073E" w14:paraId="4F5550D0" w14:textId="77777777" w:rsidTr="00371176">
        <w:trPr>
          <w:trHeight w:val="300"/>
        </w:trPr>
        <w:tc>
          <w:tcPr>
            <w:tcW w:w="2235" w:type="dxa"/>
            <w:shd w:val="clear" w:color="auto" w:fill="auto"/>
            <w:noWrap/>
          </w:tcPr>
          <w:p w14:paraId="5E8059FB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253" w:type="dxa"/>
            <w:shd w:val="clear" w:color="auto" w:fill="auto"/>
            <w:noWrap/>
          </w:tcPr>
          <w:p w14:paraId="7D08D9A8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4425</w:t>
            </w:r>
          </w:p>
        </w:tc>
        <w:tc>
          <w:tcPr>
            <w:tcW w:w="1015" w:type="dxa"/>
            <w:shd w:val="clear" w:color="auto" w:fill="auto"/>
            <w:noWrap/>
          </w:tcPr>
          <w:p w14:paraId="5792FC50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33</w:t>
            </w:r>
          </w:p>
        </w:tc>
        <w:tc>
          <w:tcPr>
            <w:tcW w:w="1417" w:type="dxa"/>
            <w:shd w:val="clear" w:color="auto" w:fill="auto"/>
            <w:noWrap/>
          </w:tcPr>
          <w:p w14:paraId="3CE673B0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6FF0EC9E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08B266C2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3F1CCF9B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</w:tr>
      <w:tr w:rsidR="00371176" w:rsidRPr="00BF073E" w14:paraId="6A5E167B" w14:textId="77777777" w:rsidTr="00371176">
        <w:trPr>
          <w:trHeight w:val="300"/>
        </w:trPr>
        <w:tc>
          <w:tcPr>
            <w:tcW w:w="2235" w:type="dxa"/>
            <w:noWrap/>
          </w:tcPr>
          <w:p w14:paraId="170A1DCC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253" w:type="dxa"/>
            <w:noWrap/>
          </w:tcPr>
          <w:p w14:paraId="7A25D39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015" w:type="dxa"/>
            <w:noWrap/>
          </w:tcPr>
          <w:p w14:paraId="1833B981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417" w:type="dxa"/>
            <w:noWrap/>
          </w:tcPr>
          <w:p w14:paraId="13603566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701" w:type="dxa"/>
            <w:noWrap/>
          </w:tcPr>
          <w:p w14:paraId="6CED51FC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676F18C5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noWrap/>
          </w:tcPr>
          <w:p w14:paraId="2C1630E2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</w:tr>
      <w:tr w:rsidR="00371176" w:rsidRPr="00BF073E" w14:paraId="1B96602B" w14:textId="77777777" w:rsidTr="00371176">
        <w:trPr>
          <w:trHeight w:val="300"/>
        </w:trPr>
        <w:tc>
          <w:tcPr>
            <w:tcW w:w="2235" w:type="dxa"/>
            <w:noWrap/>
          </w:tcPr>
          <w:p w14:paraId="3691585B" w14:textId="77777777" w:rsidR="00371176" w:rsidRPr="00BF073E" w:rsidRDefault="00371176" w:rsidP="004410CA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 xml:space="preserve">Radical-7 sensor version (Rev </w:t>
            </w:r>
            <w:proofErr w:type="gramStart"/>
            <w:r w:rsidRPr="00BF073E">
              <w:rPr>
                <w:rFonts w:ascii="Arial" w:eastAsia="Times New Roman" w:hAnsi="Arial" w:cs="Arial"/>
                <w:lang w:eastAsia="en-US"/>
              </w:rPr>
              <w:t>E)</w:t>
            </w:r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2,4,5,7,9,12,13,16,24,25,29</w:t>
            </w:r>
            <w:proofErr w:type="gramEnd"/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-31</w:t>
            </w:r>
          </w:p>
        </w:tc>
        <w:tc>
          <w:tcPr>
            <w:tcW w:w="1253" w:type="dxa"/>
            <w:noWrap/>
          </w:tcPr>
          <w:p w14:paraId="00F77593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854</w:t>
            </w:r>
          </w:p>
        </w:tc>
        <w:tc>
          <w:tcPr>
            <w:tcW w:w="1015" w:type="dxa"/>
            <w:noWrap/>
          </w:tcPr>
          <w:p w14:paraId="30664C10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13</w:t>
            </w:r>
          </w:p>
        </w:tc>
        <w:tc>
          <w:tcPr>
            <w:tcW w:w="1417" w:type="dxa"/>
            <w:noWrap/>
          </w:tcPr>
          <w:p w14:paraId="5F80DC7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 xml:space="preserve">0.37 ± 1.24 </w:t>
            </w:r>
          </w:p>
        </w:tc>
        <w:tc>
          <w:tcPr>
            <w:tcW w:w="1701" w:type="dxa"/>
            <w:noWrap/>
          </w:tcPr>
          <w:p w14:paraId="6D97116B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−2.06 to 2.80</w:t>
            </w:r>
          </w:p>
        </w:tc>
        <w:tc>
          <w:tcPr>
            <w:tcW w:w="709" w:type="dxa"/>
            <w:noWrap/>
          </w:tcPr>
          <w:p w14:paraId="578416F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94.8</w:t>
            </w:r>
          </w:p>
        </w:tc>
        <w:tc>
          <w:tcPr>
            <w:tcW w:w="709" w:type="dxa"/>
            <w:noWrap/>
          </w:tcPr>
          <w:p w14:paraId="01725E40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93.9</w:t>
            </w:r>
          </w:p>
        </w:tc>
      </w:tr>
      <w:tr w:rsidR="00371176" w:rsidRPr="00BF073E" w14:paraId="44A6FB22" w14:textId="77777777" w:rsidTr="00371176">
        <w:trPr>
          <w:trHeight w:val="300"/>
        </w:trPr>
        <w:tc>
          <w:tcPr>
            <w:tcW w:w="2235" w:type="dxa"/>
            <w:shd w:val="clear" w:color="auto" w:fill="auto"/>
            <w:noWrap/>
          </w:tcPr>
          <w:p w14:paraId="72F41DD2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253" w:type="dxa"/>
            <w:shd w:val="clear" w:color="auto" w:fill="auto"/>
            <w:noWrap/>
          </w:tcPr>
          <w:p w14:paraId="1A290295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015" w:type="dxa"/>
            <w:shd w:val="clear" w:color="auto" w:fill="auto"/>
            <w:noWrap/>
          </w:tcPr>
          <w:p w14:paraId="3254BE9C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14:paraId="78212E26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2BF472F3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5BEA9397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512CF45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</w:tr>
      <w:tr w:rsidR="00371176" w:rsidRPr="00BF073E" w14:paraId="4E86EEBF" w14:textId="77777777" w:rsidTr="00371176">
        <w:trPr>
          <w:trHeight w:val="300"/>
        </w:trPr>
        <w:tc>
          <w:tcPr>
            <w:tcW w:w="2235" w:type="dxa"/>
            <w:shd w:val="clear" w:color="auto" w:fill="auto"/>
            <w:noWrap/>
          </w:tcPr>
          <w:p w14:paraId="54FD2A68" w14:textId="77777777" w:rsidR="00371176" w:rsidRPr="00BF073E" w:rsidRDefault="00371176" w:rsidP="004410CA">
            <w:pPr>
              <w:rPr>
                <w:rFonts w:ascii="Arial" w:eastAsia="Times New Roman" w:hAnsi="Arial" w:cs="Arial"/>
                <w:lang w:eastAsia="en-US"/>
              </w:rPr>
            </w:pPr>
            <w:bookmarkStart w:id="0" w:name="_GoBack"/>
            <w:bookmarkEnd w:id="0"/>
            <w:r w:rsidRPr="00BF073E">
              <w:rPr>
                <w:rFonts w:ascii="Arial" w:eastAsia="Times New Roman" w:hAnsi="Arial" w:cs="Arial"/>
                <w:lang w:eastAsia="en-US"/>
              </w:rPr>
              <w:t xml:space="preserve">Sampling blood*** </w:t>
            </w:r>
          </w:p>
        </w:tc>
        <w:tc>
          <w:tcPr>
            <w:tcW w:w="1253" w:type="dxa"/>
            <w:shd w:val="clear" w:color="auto" w:fill="auto"/>
            <w:noWrap/>
          </w:tcPr>
          <w:p w14:paraId="0F50B692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015" w:type="dxa"/>
            <w:shd w:val="clear" w:color="auto" w:fill="auto"/>
            <w:noWrap/>
          </w:tcPr>
          <w:p w14:paraId="2678A9E6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14:paraId="7E1AB27E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613E9916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3983D103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10F628C6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</w:tr>
      <w:tr w:rsidR="00371176" w:rsidRPr="00BF073E" w14:paraId="6CA88789" w14:textId="77777777" w:rsidTr="00371176">
        <w:trPr>
          <w:trHeight w:val="300"/>
        </w:trPr>
        <w:tc>
          <w:tcPr>
            <w:tcW w:w="2235" w:type="dxa"/>
            <w:shd w:val="clear" w:color="auto" w:fill="auto"/>
            <w:noWrap/>
          </w:tcPr>
          <w:p w14:paraId="298205C8" w14:textId="77777777" w:rsidR="00371176" w:rsidRPr="00BF073E" w:rsidRDefault="00371176" w:rsidP="004410CA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Venous</w:t>
            </w:r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1,3,4,6,7,10,11,14,15,17,18,20-22,26,28-31</w:t>
            </w:r>
          </w:p>
        </w:tc>
        <w:tc>
          <w:tcPr>
            <w:tcW w:w="1253" w:type="dxa"/>
            <w:shd w:val="clear" w:color="auto" w:fill="auto"/>
            <w:noWrap/>
          </w:tcPr>
          <w:p w14:paraId="7C248ED0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3775</w:t>
            </w:r>
          </w:p>
        </w:tc>
        <w:tc>
          <w:tcPr>
            <w:tcW w:w="1015" w:type="dxa"/>
            <w:shd w:val="clear" w:color="auto" w:fill="auto"/>
            <w:noWrap/>
          </w:tcPr>
          <w:p w14:paraId="2187B481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14:paraId="6E2484E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 xml:space="preserve">0.10 ± 1.35 </w:t>
            </w:r>
          </w:p>
        </w:tc>
        <w:tc>
          <w:tcPr>
            <w:tcW w:w="1701" w:type="dxa"/>
            <w:shd w:val="clear" w:color="auto" w:fill="auto"/>
            <w:noWrap/>
          </w:tcPr>
          <w:p w14:paraId="0A0BECDD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−2.55 to 2.74</w:t>
            </w:r>
          </w:p>
        </w:tc>
        <w:tc>
          <w:tcPr>
            <w:tcW w:w="709" w:type="dxa"/>
            <w:shd w:val="clear" w:color="auto" w:fill="auto"/>
            <w:noWrap/>
          </w:tcPr>
          <w:p w14:paraId="068A8479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97.0</w:t>
            </w:r>
          </w:p>
        </w:tc>
        <w:tc>
          <w:tcPr>
            <w:tcW w:w="709" w:type="dxa"/>
            <w:shd w:val="clear" w:color="auto" w:fill="auto"/>
            <w:noWrap/>
          </w:tcPr>
          <w:p w14:paraId="0B08D38D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94.7</w:t>
            </w:r>
          </w:p>
        </w:tc>
      </w:tr>
      <w:tr w:rsidR="00371176" w:rsidRPr="00BF073E" w14:paraId="273CBC43" w14:textId="77777777" w:rsidTr="00371176">
        <w:trPr>
          <w:trHeight w:val="300"/>
        </w:trPr>
        <w:tc>
          <w:tcPr>
            <w:tcW w:w="2235" w:type="dxa"/>
            <w:shd w:val="clear" w:color="auto" w:fill="auto"/>
            <w:noWrap/>
          </w:tcPr>
          <w:p w14:paraId="18647F45" w14:textId="77777777" w:rsidR="00371176" w:rsidRPr="00BF073E" w:rsidRDefault="00371176" w:rsidP="004410CA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Arterial</w:t>
            </w:r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2,8,9,12,13,16,19,23-25,27,32</w:t>
            </w:r>
          </w:p>
        </w:tc>
        <w:tc>
          <w:tcPr>
            <w:tcW w:w="1253" w:type="dxa"/>
            <w:shd w:val="clear" w:color="auto" w:fill="auto"/>
            <w:noWrap/>
          </w:tcPr>
          <w:p w14:paraId="62732E24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621</w:t>
            </w:r>
          </w:p>
        </w:tc>
        <w:tc>
          <w:tcPr>
            <w:tcW w:w="1015" w:type="dxa"/>
            <w:shd w:val="clear" w:color="auto" w:fill="auto"/>
            <w:noWrap/>
          </w:tcPr>
          <w:p w14:paraId="77BDFE21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14:paraId="4ECB3D23" w14:textId="77777777" w:rsidR="00371176" w:rsidRPr="00BF073E" w:rsidRDefault="00371176" w:rsidP="000B56AB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 xml:space="preserve">−0.16 ± 1.48 </w:t>
            </w:r>
          </w:p>
        </w:tc>
        <w:tc>
          <w:tcPr>
            <w:tcW w:w="1701" w:type="dxa"/>
            <w:shd w:val="clear" w:color="auto" w:fill="auto"/>
            <w:noWrap/>
          </w:tcPr>
          <w:p w14:paraId="65F53903" w14:textId="77777777" w:rsidR="00371176" w:rsidRPr="00BF073E" w:rsidRDefault="00371176" w:rsidP="000B56AB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−3.07 to 2.75</w:t>
            </w:r>
          </w:p>
        </w:tc>
        <w:tc>
          <w:tcPr>
            <w:tcW w:w="709" w:type="dxa"/>
            <w:shd w:val="clear" w:color="auto" w:fill="auto"/>
            <w:noWrap/>
          </w:tcPr>
          <w:p w14:paraId="0B990501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91.7</w:t>
            </w:r>
          </w:p>
        </w:tc>
        <w:tc>
          <w:tcPr>
            <w:tcW w:w="709" w:type="dxa"/>
            <w:shd w:val="clear" w:color="auto" w:fill="auto"/>
            <w:noWrap/>
          </w:tcPr>
          <w:p w14:paraId="0861B3D6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96.0</w:t>
            </w:r>
          </w:p>
        </w:tc>
      </w:tr>
      <w:tr w:rsidR="00371176" w:rsidRPr="00BF073E" w14:paraId="5809AA98" w14:textId="77777777" w:rsidTr="00371176">
        <w:trPr>
          <w:trHeight w:val="300"/>
        </w:trPr>
        <w:tc>
          <w:tcPr>
            <w:tcW w:w="2235" w:type="dxa"/>
            <w:shd w:val="clear" w:color="auto" w:fill="auto"/>
            <w:noWrap/>
          </w:tcPr>
          <w:p w14:paraId="600F0D8F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253" w:type="dxa"/>
            <w:shd w:val="clear" w:color="auto" w:fill="auto"/>
            <w:noWrap/>
          </w:tcPr>
          <w:p w14:paraId="3C882222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4396</w:t>
            </w:r>
          </w:p>
        </w:tc>
        <w:tc>
          <w:tcPr>
            <w:tcW w:w="1015" w:type="dxa"/>
            <w:shd w:val="clear" w:color="auto" w:fill="auto"/>
            <w:noWrap/>
          </w:tcPr>
          <w:p w14:paraId="4D923D81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14:paraId="7E4E5ED1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1F9879C7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378498E4" w14:textId="77777777" w:rsidR="00371176" w:rsidRPr="00BF073E" w:rsidRDefault="00371176" w:rsidP="00394683">
            <w:pPr>
              <w:rPr>
                <w:rFonts w:ascii="Arial" w:hAnsi="Arial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74EA353F" w14:textId="77777777" w:rsidR="00371176" w:rsidRPr="00BF073E" w:rsidRDefault="00371176" w:rsidP="00394683">
            <w:pPr>
              <w:rPr>
                <w:rFonts w:ascii="Arial" w:hAnsi="Arial"/>
                <w:szCs w:val="20"/>
              </w:rPr>
            </w:pPr>
          </w:p>
        </w:tc>
      </w:tr>
      <w:tr w:rsidR="00371176" w:rsidRPr="00BF073E" w14:paraId="742C1607" w14:textId="77777777" w:rsidTr="00371176">
        <w:trPr>
          <w:trHeight w:val="300"/>
        </w:trPr>
        <w:tc>
          <w:tcPr>
            <w:tcW w:w="2235" w:type="dxa"/>
            <w:shd w:val="clear" w:color="auto" w:fill="auto"/>
            <w:noWrap/>
          </w:tcPr>
          <w:p w14:paraId="05E27B0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253" w:type="dxa"/>
            <w:shd w:val="clear" w:color="auto" w:fill="auto"/>
            <w:noWrap/>
          </w:tcPr>
          <w:p w14:paraId="5C96DEBC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015" w:type="dxa"/>
            <w:shd w:val="clear" w:color="auto" w:fill="auto"/>
            <w:noWrap/>
          </w:tcPr>
          <w:p w14:paraId="22EBC3AA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14:paraId="49BE23C7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1E6F6D06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33B64FF4" w14:textId="77777777" w:rsidR="00371176" w:rsidRPr="00BF073E" w:rsidRDefault="00371176" w:rsidP="00394683">
            <w:pPr>
              <w:rPr>
                <w:rFonts w:ascii="Arial" w:hAnsi="Arial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74261622" w14:textId="77777777" w:rsidR="00371176" w:rsidRPr="00BF073E" w:rsidRDefault="00371176" w:rsidP="00394683">
            <w:pPr>
              <w:rPr>
                <w:rFonts w:ascii="Arial" w:hAnsi="Arial"/>
                <w:szCs w:val="20"/>
              </w:rPr>
            </w:pPr>
          </w:p>
        </w:tc>
      </w:tr>
      <w:tr w:rsidR="00371176" w:rsidRPr="00BF073E" w14:paraId="0AB53B4D" w14:textId="77777777" w:rsidTr="00371176">
        <w:trPr>
          <w:trHeight w:val="300"/>
        </w:trPr>
        <w:tc>
          <w:tcPr>
            <w:tcW w:w="2235" w:type="dxa"/>
            <w:shd w:val="clear" w:color="auto" w:fill="auto"/>
            <w:noWrap/>
          </w:tcPr>
          <w:p w14:paraId="5A55F829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Invasive Hb measurement</w:t>
            </w:r>
          </w:p>
        </w:tc>
        <w:tc>
          <w:tcPr>
            <w:tcW w:w="1253" w:type="dxa"/>
            <w:shd w:val="clear" w:color="auto" w:fill="auto"/>
            <w:noWrap/>
          </w:tcPr>
          <w:p w14:paraId="2F1E3335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015" w:type="dxa"/>
            <w:shd w:val="clear" w:color="auto" w:fill="auto"/>
            <w:noWrap/>
          </w:tcPr>
          <w:p w14:paraId="349F4AD3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417" w:type="dxa"/>
            <w:shd w:val="clear" w:color="auto" w:fill="auto"/>
            <w:noWrap/>
          </w:tcPr>
          <w:p w14:paraId="5E0660EF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1701" w:type="dxa"/>
            <w:shd w:val="clear" w:color="auto" w:fill="auto"/>
            <w:noWrap/>
          </w:tcPr>
          <w:p w14:paraId="35C19A53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5F4A3266" w14:textId="77777777" w:rsidR="00371176" w:rsidRPr="00BF073E" w:rsidRDefault="00371176" w:rsidP="00394683">
            <w:pPr>
              <w:rPr>
                <w:rFonts w:ascii="Arial" w:hAnsi="Arial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14:paraId="3C7C6180" w14:textId="77777777" w:rsidR="00371176" w:rsidRPr="00BF073E" w:rsidRDefault="00371176" w:rsidP="00394683">
            <w:pPr>
              <w:rPr>
                <w:rFonts w:ascii="Arial" w:hAnsi="Arial"/>
                <w:szCs w:val="20"/>
              </w:rPr>
            </w:pPr>
          </w:p>
        </w:tc>
      </w:tr>
      <w:tr w:rsidR="00371176" w:rsidRPr="00BF073E" w14:paraId="002B7F62" w14:textId="77777777" w:rsidTr="00371176">
        <w:trPr>
          <w:trHeight w:val="300"/>
        </w:trPr>
        <w:tc>
          <w:tcPr>
            <w:tcW w:w="2235" w:type="dxa"/>
            <w:shd w:val="clear" w:color="auto" w:fill="auto"/>
            <w:noWrap/>
          </w:tcPr>
          <w:p w14:paraId="65B0BD9B" w14:textId="77777777" w:rsidR="00371176" w:rsidRPr="00BF073E" w:rsidRDefault="00371176" w:rsidP="004410CA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Central laboratory analyzer</w:t>
            </w:r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1-7,10,11,13-18,20-26,28-30,32</w:t>
            </w:r>
          </w:p>
        </w:tc>
        <w:tc>
          <w:tcPr>
            <w:tcW w:w="1253" w:type="dxa"/>
            <w:shd w:val="clear" w:color="auto" w:fill="auto"/>
            <w:noWrap/>
          </w:tcPr>
          <w:p w14:paraId="4866CBD5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4101</w:t>
            </w:r>
          </w:p>
        </w:tc>
        <w:tc>
          <w:tcPr>
            <w:tcW w:w="1015" w:type="dxa"/>
            <w:shd w:val="clear" w:color="auto" w:fill="auto"/>
            <w:noWrap/>
          </w:tcPr>
          <w:p w14:paraId="2AA69321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26</w:t>
            </w:r>
          </w:p>
        </w:tc>
        <w:tc>
          <w:tcPr>
            <w:tcW w:w="1417" w:type="dxa"/>
            <w:shd w:val="clear" w:color="auto" w:fill="auto"/>
            <w:noWrap/>
          </w:tcPr>
          <w:p w14:paraId="53673047" w14:textId="77777777" w:rsidR="00371176" w:rsidRPr="00BF073E" w:rsidRDefault="00371176" w:rsidP="000B56AB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 xml:space="preserve">0.10 ± 1.35 </w:t>
            </w:r>
          </w:p>
        </w:tc>
        <w:tc>
          <w:tcPr>
            <w:tcW w:w="1701" w:type="dxa"/>
            <w:shd w:val="clear" w:color="auto" w:fill="auto"/>
            <w:noWrap/>
          </w:tcPr>
          <w:p w14:paraId="38B40516" w14:textId="77777777" w:rsidR="00371176" w:rsidRPr="00BF073E" w:rsidRDefault="00371176" w:rsidP="000B56AB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−2.54 to 2.74</w:t>
            </w:r>
          </w:p>
        </w:tc>
        <w:tc>
          <w:tcPr>
            <w:tcW w:w="709" w:type="dxa"/>
            <w:shd w:val="clear" w:color="auto" w:fill="auto"/>
            <w:noWrap/>
          </w:tcPr>
          <w:p w14:paraId="6D33E90B" w14:textId="77777777" w:rsidR="00371176" w:rsidRPr="00BF073E" w:rsidRDefault="00371176" w:rsidP="000B56AB">
            <w:pPr>
              <w:rPr>
                <w:rFonts w:ascii="Arial" w:hAnsi="Arial"/>
                <w:szCs w:val="20"/>
              </w:rPr>
            </w:pPr>
            <w:r w:rsidRPr="00BF073E">
              <w:rPr>
                <w:rFonts w:ascii="Arial" w:hAnsi="Arial"/>
                <w:szCs w:val="20"/>
              </w:rPr>
              <w:t>96.4</w:t>
            </w:r>
          </w:p>
        </w:tc>
        <w:tc>
          <w:tcPr>
            <w:tcW w:w="709" w:type="dxa"/>
            <w:shd w:val="clear" w:color="auto" w:fill="auto"/>
            <w:noWrap/>
          </w:tcPr>
          <w:p w14:paraId="7B8032D8" w14:textId="77777777" w:rsidR="00371176" w:rsidRPr="00BF073E" w:rsidRDefault="00371176" w:rsidP="000B56AB">
            <w:pPr>
              <w:rPr>
                <w:rFonts w:ascii="Arial" w:hAnsi="Arial"/>
                <w:szCs w:val="20"/>
              </w:rPr>
            </w:pPr>
            <w:r w:rsidRPr="00BF073E">
              <w:rPr>
                <w:rFonts w:ascii="Arial" w:hAnsi="Arial"/>
                <w:szCs w:val="20"/>
              </w:rPr>
              <w:t>95.3</w:t>
            </w:r>
          </w:p>
        </w:tc>
      </w:tr>
      <w:tr w:rsidR="00371176" w:rsidRPr="00FF7218" w14:paraId="674B64A0" w14:textId="77777777" w:rsidTr="00371176">
        <w:trPr>
          <w:trHeight w:val="300"/>
        </w:trPr>
        <w:tc>
          <w:tcPr>
            <w:tcW w:w="2235" w:type="dxa"/>
            <w:shd w:val="clear" w:color="auto" w:fill="auto"/>
            <w:noWrap/>
          </w:tcPr>
          <w:p w14:paraId="1FC29045" w14:textId="77777777" w:rsidR="00371176" w:rsidRPr="00BF073E" w:rsidRDefault="00371176" w:rsidP="004410CA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Satellite Co-oximetry</w:t>
            </w:r>
            <w:r w:rsidRPr="00BF073E">
              <w:rPr>
                <w:rFonts w:ascii="Arial" w:eastAsia="Times New Roman" w:hAnsi="Arial" w:cs="Arial"/>
                <w:noProof/>
                <w:vertAlign w:val="superscript"/>
                <w:lang w:eastAsia="en-US"/>
              </w:rPr>
              <w:t>8,9,12,19,27,31</w:t>
            </w:r>
          </w:p>
        </w:tc>
        <w:tc>
          <w:tcPr>
            <w:tcW w:w="1253" w:type="dxa"/>
            <w:shd w:val="clear" w:color="auto" w:fill="auto"/>
            <w:noWrap/>
          </w:tcPr>
          <w:p w14:paraId="06256D5B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324</w:t>
            </w:r>
          </w:p>
        </w:tc>
        <w:tc>
          <w:tcPr>
            <w:tcW w:w="1015" w:type="dxa"/>
            <w:shd w:val="clear" w:color="auto" w:fill="auto"/>
            <w:noWrap/>
          </w:tcPr>
          <w:p w14:paraId="64E0E617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</w:tcPr>
          <w:p w14:paraId="22E7FCBD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 xml:space="preserve">−0.44 ± 1.57 </w:t>
            </w:r>
          </w:p>
        </w:tc>
        <w:tc>
          <w:tcPr>
            <w:tcW w:w="1701" w:type="dxa"/>
            <w:shd w:val="clear" w:color="auto" w:fill="auto"/>
            <w:noWrap/>
          </w:tcPr>
          <w:p w14:paraId="38D7A638" w14:textId="77777777" w:rsidR="00371176" w:rsidRPr="00BF073E" w:rsidRDefault="00371176" w:rsidP="00394683">
            <w:pPr>
              <w:rPr>
                <w:rFonts w:ascii="Arial" w:eastAsia="Times New Roman" w:hAnsi="Arial" w:cs="Arial"/>
                <w:lang w:eastAsia="en-US"/>
              </w:rPr>
            </w:pPr>
            <w:r w:rsidRPr="00BF073E">
              <w:rPr>
                <w:rFonts w:ascii="Arial" w:eastAsia="Times New Roman" w:hAnsi="Arial" w:cs="Arial"/>
                <w:lang w:eastAsia="en-US"/>
              </w:rPr>
              <w:t>−3.52 to 2.64</w:t>
            </w:r>
          </w:p>
        </w:tc>
        <w:tc>
          <w:tcPr>
            <w:tcW w:w="709" w:type="dxa"/>
            <w:shd w:val="clear" w:color="auto" w:fill="auto"/>
            <w:noWrap/>
          </w:tcPr>
          <w:p w14:paraId="441077BA" w14:textId="77777777" w:rsidR="00371176" w:rsidRPr="00BF073E" w:rsidRDefault="00371176" w:rsidP="00394683">
            <w:pPr>
              <w:rPr>
                <w:rFonts w:ascii="Arial" w:hAnsi="Arial"/>
                <w:szCs w:val="20"/>
              </w:rPr>
            </w:pPr>
            <w:r w:rsidRPr="00BF073E">
              <w:rPr>
                <w:rFonts w:ascii="Arial" w:hAnsi="Arial"/>
                <w:szCs w:val="20"/>
              </w:rPr>
              <w:t>85.7</w:t>
            </w:r>
          </w:p>
        </w:tc>
        <w:tc>
          <w:tcPr>
            <w:tcW w:w="709" w:type="dxa"/>
            <w:shd w:val="clear" w:color="auto" w:fill="auto"/>
            <w:noWrap/>
          </w:tcPr>
          <w:p w14:paraId="46CDFC0D" w14:textId="77777777" w:rsidR="00371176" w:rsidRPr="00FF7218" w:rsidRDefault="00371176" w:rsidP="00394683">
            <w:pPr>
              <w:rPr>
                <w:rFonts w:ascii="Arial" w:hAnsi="Arial"/>
                <w:szCs w:val="20"/>
              </w:rPr>
            </w:pPr>
            <w:r w:rsidRPr="00BF073E">
              <w:rPr>
                <w:rFonts w:ascii="Arial" w:hAnsi="Arial"/>
                <w:szCs w:val="20"/>
              </w:rPr>
              <w:t>88.1</w:t>
            </w:r>
          </w:p>
        </w:tc>
      </w:tr>
    </w:tbl>
    <w:p w14:paraId="52602929" w14:textId="77777777" w:rsidR="00371176" w:rsidRDefault="00371176" w:rsidP="00D809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*, Bias and SD from Causey study performed in the OR was included; **, Causey study was regarded as two studies which were performed in OR and ICU; ***, </w:t>
      </w:r>
      <w:r>
        <w:rPr>
          <w:rFonts w:ascii="Arial" w:eastAsia="Times New Roman" w:hAnsi="Arial" w:cs="Arial"/>
          <w:lang w:eastAsia="en-US"/>
        </w:rPr>
        <w:t>Berkow 2011</w:t>
      </w:r>
      <w:r w:rsidRPr="009F7D23">
        <w:rPr>
          <w:rFonts w:ascii="Arial" w:eastAsia="Times New Roman" w:hAnsi="Arial" w:cs="Arial"/>
          <w:noProof/>
          <w:vertAlign w:val="superscript"/>
          <w:lang w:eastAsia="en-US"/>
        </w:rPr>
        <w:t>5</w:t>
      </w:r>
      <w:r>
        <w:rPr>
          <w:rFonts w:ascii="Arial" w:eastAsia="Times New Roman" w:hAnsi="Arial" w:cs="Arial"/>
          <w:lang w:eastAsia="en-US"/>
        </w:rPr>
        <w:t xml:space="preserve"> used both central venous and arterial and is not included.</w:t>
      </w:r>
    </w:p>
    <w:p w14:paraId="4E17FE55" w14:textId="77777777" w:rsidR="00371176" w:rsidRDefault="00371176">
      <w:pPr>
        <w:rPr>
          <w:rFonts w:ascii="Arial" w:hAnsi="Arial" w:cs="Arial"/>
        </w:rPr>
      </w:pPr>
      <w:r>
        <w:rPr>
          <w:rFonts w:ascii="Arial" w:hAnsi="Arial" w:cs="Arial"/>
        </w:rPr>
        <w:t xml:space="preserve">BD = blood donation; ED = emergency department; ICU = intensive care unit; LOA = limits of agreement; OPD = outpatient department; OR = operating room; QUADAS = </w:t>
      </w:r>
      <w:r w:rsidRPr="00450C90">
        <w:rPr>
          <w:rFonts w:ascii="Arial" w:hAnsi="Arial" w:cs="Arial"/>
        </w:rPr>
        <w:t>Quality Assessment of Diagnostic Accuracy Studies</w:t>
      </w:r>
      <w:r>
        <w:rPr>
          <w:rFonts w:ascii="Arial" w:hAnsi="Arial" w:cs="Arial"/>
        </w:rPr>
        <w:t>; SD = standard deviation; SE = standard error</w:t>
      </w:r>
    </w:p>
    <w:p w14:paraId="0984E710" w14:textId="77777777" w:rsidR="00371176" w:rsidRPr="000E477A" w:rsidRDefault="00371176" w:rsidP="00C50DFB">
      <w:pPr>
        <w:tabs>
          <w:tab w:val="left" w:pos="684"/>
        </w:tabs>
        <w:spacing w:line="360" w:lineRule="auto"/>
      </w:pPr>
      <w:r>
        <w:rPr>
          <w:rFonts w:ascii="Arial" w:hAnsi="Arial" w:cs="Arial"/>
        </w:rPr>
        <w:br w:type="column"/>
        <w:t xml:space="preserve">B. </w:t>
      </w:r>
      <w:r w:rsidRPr="000E477A">
        <w:rPr>
          <w:rFonts w:ascii="Arial" w:hAnsi="Arial" w:cs="Arial"/>
        </w:rPr>
        <w:t>Meta-regression analysis.</w:t>
      </w:r>
    </w:p>
    <w:p w14:paraId="4AA0FEAB" w14:textId="77777777" w:rsidR="00371176" w:rsidRDefault="00371176" w:rsidP="00C50DFB">
      <w:pPr>
        <w:pStyle w:val="Caption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879325" wp14:editId="1D24D3DA">
            <wp:extent cx="5278120" cy="5270500"/>
            <wp:effectExtent l="0" t="0" r="508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C642" w14:textId="77777777" w:rsidR="00371176" w:rsidRPr="005027A1" w:rsidRDefault="00371176" w:rsidP="00C50DFB">
      <w:pPr>
        <w:pStyle w:val="Caption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5027A1">
        <w:rPr>
          <w:rFonts w:ascii="Arial" w:hAnsi="Arial" w:cs="Arial"/>
          <w:sz w:val="24"/>
          <w:szCs w:val="24"/>
        </w:rPr>
        <w:t>efigure</w:t>
      </w:r>
      <w:proofErr w:type="spellEnd"/>
      <w:proofErr w:type="gramEnd"/>
      <w:r w:rsidRPr="005027A1">
        <w:rPr>
          <w:rFonts w:ascii="Arial" w:hAnsi="Arial" w:cs="Arial"/>
          <w:sz w:val="24"/>
          <w:szCs w:val="24"/>
        </w:rPr>
        <w:t xml:space="preserve"> </w:t>
      </w:r>
      <w:r w:rsidRPr="005027A1">
        <w:rPr>
          <w:rFonts w:ascii="Arial" w:hAnsi="Arial" w:cs="Arial"/>
          <w:sz w:val="24"/>
          <w:szCs w:val="24"/>
        </w:rPr>
        <w:fldChar w:fldCharType="begin"/>
      </w:r>
      <w:r w:rsidRPr="005027A1">
        <w:rPr>
          <w:rFonts w:ascii="Arial" w:hAnsi="Arial" w:cs="Arial"/>
          <w:sz w:val="24"/>
          <w:szCs w:val="24"/>
        </w:rPr>
        <w:instrText xml:space="preserve"> SEQ efigure \* ARABIC </w:instrText>
      </w:r>
      <w:r w:rsidRPr="005027A1">
        <w:rPr>
          <w:rFonts w:ascii="Arial" w:hAnsi="Arial" w:cs="Arial"/>
          <w:sz w:val="24"/>
          <w:szCs w:val="24"/>
        </w:rPr>
        <w:fldChar w:fldCharType="separate"/>
      </w:r>
      <w:r>
        <w:rPr>
          <w:rFonts w:ascii="Arial" w:hAnsi="Arial" w:cs="Arial"/>
          <w:noProof/>
          <w:sz w:val="24"/>
          <w:szCs w:val="24"/>
        </w:rPr>
        <w:t>1</w:t>
      </w:r>
      <w:r w:rsidRPr="005027A1">
        <w:rPr>
          <w:rFonts w:ascii="Arial" w:hAnsi="Arial" w:cs="Arial"/>
          <w:sz w:val="24"/>
          <w:szCs w:val="24"/>
        </w:rPr>
        <w:fldChar w:fldCharType="end"/>
      </w:r>
      <w:r w:rsidRPr="005027A1">
        <w:rPr>
          <w:rFonts w:ascii="Arial" w:hAnsi="Arial" w:cs="Arial"/>
          <w:sz w:val="24"/>
          <w:szCs w:val="24"/>
        </w:rPr>
        <w:t xml:space="preserve"> Meta-regression by publication year.</w:t>
      </w:r>
    </w:p>
    <w:p w14:paraId="2500872D" w14:textId="77777777" w:rsidR="00371176" w:rsidRPr="005027A1" w:rsidRDefault="00371176" w:rsidP="00C50DFB">
      <w:pPr>
        <w:rPr>
          <w:rFonts w:ascii="Arial" w:hAnsi="Arial" w:cs="Arial"/>
        </w:rPr>
      </w:pPr>
      <w:r w:rsidRPr="005027A1">
        <w:rPr>
          <w:rFonts w:ascii="Arial" w:hAnsi="Arial" w:cs="Arial"/>
        </w:rPr>
        <w:t xml:space="preserve">Bias </w:t>
      </w:r>
      <w:r>
        <w:rPr>
          <w:rFonts w:ascii="Arial" w:hAnsi="Arial" w:cs="Arial"/>
        </w:rPr>
        <w:t>tends to be</w:t>
      </w:r>
      <w:r w:rsidRPr="005027A1">
        <w:rPr>
          <w:rFonts w:ascii="Arial" w:hAnsi="Arial" w:cs="Arial"/>
        </w:rPr>
        <w:t xml:space="preserve"> positive direction as publication year progress.</w:t>
      </w:r>
    </w:p>
    <w:p w14:paraId="204EA1D7" w14:textId="77777777" w:rsidR="00371176" w:rsidRPr="005027A1" w:rsidRDefault="00371176" w:rsidP="00C50DFB">
      <w:pPr>
        <w:rPr>
          <w:rFonts w:ascii="Arial" w:hAnsi="Arial" w:cs="Arial"/>
        </w:rPr>
      </w:pPr>
      <w:r w:rsidRPr="005027A1">
        <w:rPr>
          <w:rFonts w:ascii="Arial" w:hAnsi="Arial" w:cs="Arial"/>
        </w:rPr>
        <w:t>Each bubble indicates individual study. Bubble size is weight of the individual study in the analysis.</w:t>
      </w:r>
    </w:p>
    <w:p w14:paraId="03A37C71" w14:textId="77777777" w:rsidR="00371176" w:rsidRPr="005027A1" w:rsidRDefault="00371176" w:rsidP="00C50DFB"/>
    <w:p w14:paraId="31E9AB88" w14:textId="77777777" w:rsidR="00371176" w:rsidRDefault="00371176" w:rsidP="0008547C">
      <w:pPr>
        <w:keepNext/>
        <w:tabs>
          <w:tab w:val="left" w:pos="684"/>
        </w:tabs>
        <w:spacing w:line="360" w:lineRule="auto"/>
      </w:pPr>
      <w:r>
        <w:rPr>
          <w:rFonts w:ascii="Times New Roman" w:eastAsia="Times New Roman" w:hAnsi="Times New Roman"/>
          <w:sz w:val="20"/>
          <w:lang w:eastAsia="en-US" w:bidi="x-none"/>
        </w:rPr>
        <w:br w:type="column"/>
      </w:r>
      <w:r>
        <w:t>References</w:t>
      </w:r>
    </w:p>
    <w:p w14:paraId="6C6647E3" w14:textId="77777777" w:rsidR="00371176" w:rsidRDefault="00371176" w:rsidP="00C93514">
      <w:pPr>
        <w:spacing w:line="276" w:lineRule="auto"/>
        <w:ind w:left="720" w:hanging="720"/>
      </w:pPr>
    </w:p>
    <w:p w14:paraId="2AE0B43F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1" w:name="_ENREF_1"/>
      <w:r w:rsidRPr="004410CA">
        <w:rPr>
          <w:rFonts w:ascii="Cambria" w:hAnsi="Cambria"/>
          <w:noProof/>
        </w:rPr>
        <w:t>1.</w:t>
      </w:r>
      <w:r w:rsidRPr="004410CA">
        <w:rPr>
          <w:rFonts w:ascii="Cambria" w:hAnsi="Cambria"/>
          <w:noProof/>
        </w:rPr>
        <w:tab/>
        <w:t>Al-Khabori M, Al-Hashim A, Jabeen Z, Al-Farsi K, Al-Huneini M, Al-Riyami A, Al-Kemyani N, Daar S: Validation of a noninvasive pulse CO-oximetry-based hemoglobin estimation in patients with sickle cell disease. Int J Lab Hematol 2013</w:t>
      </w:r>
      <w:bookmarkEnd w:id="1"/>
    </w:p>
    <w:p w14:paraId="096F9434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2" w:name="_ENREF_2"/>
      <w:r w:rsidRPr="004410CA">
        <w:rPr>
          <w:rFonts w:ascii="Cambria" w:hAnsi="Cambria"/>
          <w:noProof/>
        </w:rPr>
        <w:t>2.</w:t>
      </w:r>
      <w:r w:rsidRPr="004410CA">
        <w:rPr>
          <w:rFonts w:ascii="Cambria" w:hAnsi="Cambria"/>
          <w:noProof/>
        </w:rPr>
        <w:tab/>
        <w:t>Applegate RL, 2nd, Barr SJ, Collier CE, Rook JL, Mangus DB, Allard MW: Evaluation of pulse cooximetry in patients undergoing abdominal or pelvic surgery. Anesthesiology 2012; 116:65-72</w:t>
      </w:r>
      <w:bookmarkEnd w:id="2"/>
    </w:p>
    <w:p w14:paraId="18955507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3" w:name="_ENREF_3"/>
      <w:r w:rsidRPr="004410CA">
        <w:rPr>
          <w:rFonts w:ascii="Cambria" w:hAnsi="Cambria"/>
          <w:noProof/>
        </w:rPr>
        <w:t>3.</w:t>
      </w:r>
      <w:r w:rsidRPr="004410CA">
        <w:rPr>
          <w:rFonts w:ascii="Cambria" w:hAnsi="Cambria"/>
          <w:noProof/>
        </w:rPr>
        <w:tab/>
        <w:t>Belardinelli A, Benni M, Tazzari PL, Pagliaro P: Noninvasive methods for haemoglobin screening in prospective blood donors. Vox Sang 2013</w:t>
      </w:r>
      <w:bookmarkEnd w:id="3"/>
    </w:p>
    <w:p w14:paraId="33EBA19F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4" w:name="_ENREF_4"/>
      <w:r w:rsidRPr="004410CA">
        <w:rPr>
          <w:rFonts w:ascii="Cambria" w:hAnsi="Cambria"/>
          <w:noProof/>
        </w:rPr>
        <w:t>4.</w:t>
      </w:r>
      <w:r w:rsidRPr="004410CA">
        <w:rPr>
          <w:rFonts w:ascii="Cambria" w:hAnsi="Cambria"/>
          <w:noProof/>
        </w:rPr>
        <w:tab/>
        <w:t>Bergek C, Zdolsek JH, Hahn RG: Accuracy of noninvasive haemoglobin measurement by pulse oximetry depends on the type of infusion fluid. Eur J Anaesthesiol 2013; 30:73-9</w:t>
      </w:r>
      <w:bookmarkEnd w:id="4"/>
    </w:p>
    <w:p w14:paraId="71A40D73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5" w:name="_ENREF_5"/>
      <w:r w:rsidRPr="004410CA">
        <w:rPr>
          <w:rFonts w:ascii="Cambria" w:hAnsi="Cambria"/>
          <w:noProof/>
        </w:rPr>
        <w:t>5.</w:t>
      </w:r>
      <w:r w:rsidRPr="004410CA">
        <w:rPr>
          <w:rFonts w:ascii="Cambria" w:hAnsi="Cambria"/>
          <w:noProof/>
        </w:rPr>
        <w:tab/>
        <w:t>Berkow L, Rotolo S, Mirski E: Continuous noninvasive hemoglobin monitoring during complex spine surgery. Anesth Analg 2011; 113:1396-402</w:t>
      </w:r>
      <w:bookmarkEnd w:id="5"/>
    </w:p>
    <w:p w14:paraId="3DA4F9ED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6" w:name="_ENREF_6"/>
      <w:r w:rsidRPr="004410CA">
        <w:rPr>
          <w:rFonts w:ascii="Cambria" w:hAnsi="Cambria"/>
          <w:noProof/>
        </w:rPr>
        <w:t>6.</w:t>
      </w:r>
      <w:r w:rsidRPr="004410CA">
        <w:rPr>
          <w:rFonts w:ascii="Cambria" w:hAnsi="Cambria"/>
          <w:noProof/>
        </w:rPr>
        <w:tab/>
        <w:t>Bruells CS, Menon AK, Rossaint R, Goetzenich A, Czaplik M, Zoremba N, Autschbach R, Schaelte G: Accuracy of the Masimo Pronto-7(R) system in patients with left ventricular assist device. J Cardiothorac Surg 2013; 8:159</w:t>
      </w:r>
      <w:bookmarkEnd w:id="6"/>
    </w:p>
    <w:p w14:paraId="7D14CA64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7" w:name="_ENREF_7"/>
      <w:r w:rsidRPr="004410CA">
        <w:rPr>
          <w:rFonts w:ascii="Cambria" w:hAnsi="Cambria"/>
          <w:noProof/>
        </w:rPr>
        <w:t>7.</w:t>
      </w:r>
      <w:r w:rsidRPr="004410CA">
        <w:rPr>
          <w:rFonts w:ascii="Cambria" w:hAnsi="Cambria"/>
          <w:noProof/>
        </w:rPr>
        <w:tab/>
        <w:t>Butwick A, Hilton G, Carvalho B: Non-invasive haemoglobin measurement in patients undergoing elective Caesarean section. Br J Anaesth 2012; 108:271-7</w:t>
      </w:r>
      <w:bookmarkEnd w:id="7"/>
    </w:p>
    <w:p w14:paraId="21A5619B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8" w:name="_ENREF_8"/>
      <w:r w:rsidRPr="004410CA">
        <w:rPr>
          <w:rFonts w:ascii="Cambria" w:hAnsi="Cambria"/>
          <w:noProof/>
        </w:rPr>
        <w:t>8.</w:t>
      </w:r>
      <w:r w:rsidRPr="004410CA">
        <w:rPr>
          <w:rFonts w:ascii="Cambria" w:hAnsi="Cambria"/>
          <w:noProof/>
        </w:rPr>
        <w:tab/>
        <w:t>Causey MW, Miller S, Foster A, Beekley A, Zenger D, Martin M: Validation of noninvasive hemoglobin measurements using the Masimo Radical-7 SpHb Station. Am J Surg 2011; 201:592-8</w:t>
      </w:r>
      <w:bookmarkEnd w:id="8"/>
    </w:p>
    <w:p w14:paraId="609E33C6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9" w:name="_ENREF_9"/>
      <w:r w:rsidRPr="004410CA">
        <w:rPr>
          <w:rFonts w:ascii="Cambria" w:hAnsi="Cambria"/>
          <w:noProof/>
        </w:rPr>
        <w:t>9.</w:t>
      </w:r>
      <w:r w:rsidRPr="004410CA">
        <w:rPr>
          <w:rFonts w:ascii="Cambria" w:hAnsi="Cambria"/>
          <w:noProof/>
        </w:rPr>
        <w:tab/>
        <w:t>Colquhoun DA, Forkin KT, Durieux ME, Thiele RH: Ability of the Masimo pulse CO-Oximeter to detect changes in hemoglobin. J Clin Monit Comput 2012; 26:69-73</w:t>
      </w:r>
      <w:bookmarkEnd w:id="9"/>
    </w:p>
    <w:p w14:paraId="3035232C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10" w:name="_ENREF_10"/>
      <w:r w:rsidRPr="004410CA">
        <w:rPr>
          <w:rFonts w:ascii="Cambria" w:hAnsi="Cambria"/>
          <w:noProof/>
        </w:rPr>
        <w:t>10.</w:t>
      </w:r>
      <w:r w:rsidRPr="004410CA">
        <w:rPr>
          <w:rFonts w:ascii="Cambria" w:hAnsi="Cambria"/>
          <w:noProof/>
        </w:rPr>
        <w:tab/>
        <w:t>Coquin J, Bertarrex A, Dewitte A, Lefevre L, Joannes-Boyau O, Fleureau C, Winnock S, Leuillet S, Janvier G, Ouattara A: Accuracy of determining hemoglobin level using occlusion spectroscopy in patients with severe gastrointestinal bleeding. Anesthesiology 2013; 118:640-8</w:t>
      </w:r>
      <w:bookmarkEnd w:id="10"/>
    </w:p>
    <w:p w14:paraId="01932C93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11" w:name="_ENREF_11"/>
      <w:r w:rsidRPr="004410CA">
        <w:rPr>
          <w:rFonts w:ascii="Cambria" w:hAnsi="Cambria"/>
          <w:noProof/>
        </w:rPr>
        <w:t>11.</w:t>
      </w:r>
      <w:r w:rsidRPr="004410CA">
        <w:rPr>
          <w:rFonts w:ascii="Cambria" w:hAnsi="Cambria"/>
          <w:noProof/>
        </w:rPr>
        <w:tab/>
        <w:t>Coquin J, Dewitte A, Manach YL, Caujolle M, Joannes-Boyau O, Fleureau C, Janvier G, Ouattara A: Precision of noninvasive hemoglobin-level measurement by pulse co-oximetry in patients admitted to intensive care units for severe gastrointestinal bleeds. Crit Care Med 2012; 40:2576-82</w:t>
      </w:r>
      <w:bookmarkEnd w:id="11"/>
    </w:p>
    <w:p w14:paraId="0621B1DD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12" w:name="_ENREF_12"/>
      <w:r w:rsidRPr="004410CA">
        <w:rPr>
          <w:rFonts w:ascii="Cambria" w:hAnsi="Cambria"/>
          <w:noProof/>
        </w:rPr>
        <w:t>12.</w:t>
      </w:r>
      <w:r w:rsidRPr="004410CA">
        <w:rPr>
          <w:rFonts w:ascii="Cambria" w:hAnsi="Cambria"/>
          <w:noProof/>
        </w:rPr>
        <w:tab/>
        <w:t>Dewhirst E, Naguib A, Winch P, Rice J, Galantowicz M, McConnell P, Tobias JD: Accuracy of Noninvasive and Continuous Hemoglobin Measurement by Pulse Co-Oximetry During Preoperative Phlebotomy. J Intensive Care Med 2013</w:t>
      </w:r>
      <w:bookmarkEnd w:id="12"/>
    </w:p>
    <w:p w14:paraId="55B11013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13" w:name="_ENREF_13"/>
      <w:r w:rsidRPr="004410CA">
        <w:rPr>
          <w:rFonts w:ascii="Cambria" w:hAnsi="Cambria"/>
          <w:noProof/>
        </w:rPr>
        <w:t>13.</w:t>
      </w:r>
      <w:r w:rsidRPr="004410CA">
        <w:rPr>
          <w:rFonts w:ascii="Cambria" w:hAnsi="Cambria"/>
          <w:noProof/>
        </w:rPr>
        <w:tab/>
        <w:t>Frasca D, Dahyot-Fizelier C, Catherine K, Levrat Q, Debaene B, Mimoz O: Accuracy of a continuous noninvasive hemoglobin monitor in intensive care unit patients. Crit Care Med 2011; 39:2277-82</w:t>
      </w:r>
      <w:bookmarkEnd w:id="13"/>
    </w:p>
    <w:p w14:paraId="04C2955C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14" w:name="_ENREF_14"/>
      <w:r w:rsidRPr="004410CA">
        <w:rPr>
          <w:rFonts w:ascii="Cambria" w:hAnsi="Cambria"/>
          <w:noProof/>
        </w:rPr>
        <w:t>14.</w:t>
      </w:r>
      <w:r w:rsidRPr="004410CA">
        <w:rPr>
          <w:rFonts w:ascii="Cambria" w:hAnsi="Cambria"/>
          <w:noProof/>
        </w:rPr>
        <w:tab/>
        <w:t>Gayat E, Aulagnier J, Matthieu E, Boisson M, Fischler M: Non-invasive measurement of hemoglobin: assessment of two different point-of-care technologies. PLoS One 2012; 7:e30065</w:t>
      </w:r>
      <w:bookmarkEnd w:id="14"/>
    </w:p>
    <w:p w14:paraId="37E8A697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15" w:name="_ENREF_15"/>
      <w:r w:rsidRPr="004410CA">
        <w:rPr>
          <w:rFonts w:ascii="Cambria" w:hAnsi="Cambria"/>
          <w:noProof/>
        </w:rPr>
        <w:t>15.</w:t>
      </w:r>
      <w:r w:rsidRPr="004410CA">
        <w:rPr>
          <w:rFonts w:ascii="Cambria" w:hAnsi="Cambria"/>
          <w:noProof/>
        </w:rPr>
        <w:tab/>
        <w:t>Gayat E, Bodin A, Sportiello C, Boisson M, Dreyfus JF, Mathieu E, Fischler M: Performance evaluation of a noninvasive hemoglobin monitoring device. Ann Emerg Med 2011; 57:330-3</w:t>
      </w:r>
      <w:bookmarkEnd w:id="15"/>
    </w:p>
    <w:p w14:paraId="734BC339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16" w:name="_ENREF_16"/>
      <w:r w:rsidRPr="004410CA">
        <w:rPr>
          <w:rFonts w:ascii="Cambria" w:hAnsi="Cambria"/>
          <w:noProof/>
        </w:rPr>
        <w:t>16.</w:t>
      </w:r>
      <w:r w:rsidRPr="004410CA">
        <w:rPr>
          <w:rFonts w:ascii="Cambria" w:hAnsi="Cambria"/>
          <w:noProof/>
        </w:rPr>
        <w:tab/>
        <w:t>Giraud B, Frasca D, Debaene B, Mimoz O: Comparison of haemoglobin measurement methods in the operating theatre. Br J Anaesth 2013</w:t>
      </w:r>
      <w:bookmarkEnd w:id="16"/>
    </w:p>
    <w:p w14:paraId="3C8D4FC7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17" w:name="_ENREF_17"/>
      <w:r w:rsidRPr="004410CA">
        <w:rPr>
          <w:rFonts w:ascii="Cambria" w:hAnsi="Cambria"/>
          <w:noProof/>
        </w:rPr>
        <w:t>17.</w:t>
      </w:r>
      <w:r w:rsidRPr="004410CA">
        <w:rPr>
          <w:rFonts w:ascii="Cambria" w:hAnsi="Cambria"/>
          <w:noProof/>
        </w:rPr>
        <w:tab/>
        <w:t>Hadar E, Raban O, Bouganim T, Tenenbaum-Gavish K, Hod M: Precision and accuracy of noninvasive hemoglobin measurements during pregnancy. J Matern Fetal Neonatal Med 2012; 25:2503-6</w:t>
      </w:r>
      <w:bookmarkEnd w:id="17"/>
    </w:p>
    <w:p w14:paraId="143A58B1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18" w:name="_ENREF_18"/>
      <w:r w:rsidRPr="004410CA">
        <w:rPr>
          <w:rFonts w:ascii="Cambria" w:hAnsi="Cambria"/>
          <w:noProof/>
        </w:rPr>
        <w:t>18.</w:t>
      </w:r>
      <w:r w:rsidRPr="004410CA">
        <w:rPr>
          <w:rFonts w:ascii="Cambria" w:hAnsi="Cambria"/>
          <w:noProof/>
        </w:rPr>
        <w:tab/>
        <w:t>Hahn RG, Li Y, Zdolsek J: Non-invasive monitoring of blood haemoglobin for analysis of fluid volume kinetics. Acta Anaesthesiol Scand 2010; 54:1233-40</w:t>
      </w:r>
      <w:bookmarkEnd w:id="18"/>
    </w:p>
    <w:p w14:paraId="1D693826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19" w:name="_ENREF_19"/>
      <w:r w:rsidRPr="004410CA">
        <w:rPr>
          <w:rFonts w:ascii="Cambria" w:hAnsi="Cambria"/>
          <w:noProof/>
        </w:rPr>
        <w:t>19.</w:t>
      </w:r>
      <w:r w:rsidRPr="004410CA">
        <w:rPr>
          <w:rFonts w:ascii="Cambria" w:hAnsi="Cambria"/>
          <w:noProof/>
        </w:rPr>
        <w:tab/>
        <w:t>Isosu T, Obara S, Hosono A, Ohashi S, Nakano Y, Imaizumi T, Mogami M, Murakawa M: Validation of continuous and noninvasive hemoglobin monitoring by pulse CO-oximetry in Japanese surgical patients. J Clin Monit Comput 2013; 27:55-60</w:t>
      </w:r>
      <w:bookmarkEnd w:id="19"/>
    </w:p>
    <w:p w14:paraId="689BC5F8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20" w:name="_ENREF_20"/>
      <w:r w:rsidRPr="004410CA">
        <w:rPr>
          <w:rFonts w:ascii="Cambria" w:hAnsi="Cambria"/>
          <w:noProof/>
        </w:rPr>
        <w:t>20.</w:t>
      </w:r>
      <w:r w:rsidRPr="004410CA">
        <w:rPr>
          <w:rFonts w:ascii="Cambria" w:hAnsi="Cambria"/>
          <w:noProof/>
        </w:rPr>
        <w:tab/>
        <w:t>Kim MJ, Park Q, Kim MH, Shin JW, Kim HO: Comparison of the Accuracy of Noninvasive Hemoglobin Sensor (NBM-200) and Portable Hemoglobinometer (HemoCue) with an Automated Hematology Analyzer (LH500) in Blood Donor Screening. Ann Lab Med 2013; 33:261-7</w:t>
      </w:r>
      <w:bookmarkEnd w:id="20"/>
    </w:p>
    <w:p w14:paraId="3B06B5D4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21" w:name="_ENREF_21"/>
      <w:r w:rsidRPr="004410CA">
        <w:rPr>
          <w:rFonts w:ascii="Cambria" w:hAnsi="Cambria"/>
          <w:noProof/>
        </w:rPr>
        <w:t>21.</w:t>
      </w:r>
      <w:r w:rsidRPr="004410CA">
        <w:rPr>
          <w:rFonts w:ascii="Cambria" w:hAnsi="Cambria"/>
          <w:noProof/>
        </w:rPr>
        <w:tab/>
        <w:t>Knutson T, Della-Giustina D, Tomich E, Wills B, Luerssen E, Reynolds P: Evaluation of a new nonnvasive device in determining hemoglobin levels in emergency department patients. West J Emerg Med 2013; 14:283-6</w:t>
      </w:r>
      <w:bookmarkEnd w:id="21"/>
    </w:p>
    <w:p w14:paraId="0B7A4DBA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22" w:name="_ENREF_22"/>
      <w:r w:rsidRPr="004410CA">
        <w:rPr>
          <w:rFonts w:ascii="Cambria" w:hAnsi="Cambria"/>
          <w:noProof/>
        </w:rPr>
        <w:t>22.</w:t>
      </w:r>
      <w:r w:rsidRPr="004410CA">
        <w:rPr>
          <w:rFonts w:ascii="Cambria" w:hAnsi="Cambria"/>
          <w:noProof/>
        </w:rPr>
        <w:tab/>
        <w:t>Lamhaut L, Apriotesei R, Combes X, Lejay M, Carli P, Vivien B: Comparison of the accuracy of noninvasive hemoglobin monitoring by spectrophotometry (SpHb) and HemoCue(R) with automated laboratory hemoglobin measurement. Anesthesiology 2011; 115:548-54</w:t>
      </w:r>
      <w:bookmarkEnd w:id="22"/>
    </w:p>
    <w:p w14:paraId="6E048586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23" w:name="_ENREF_23"/>
      <w:r w:rsidRPr="004410CA">
        <w:rPr>
          <w:rFonts w:ascii="Cambria" w:hAnsi="Cambria"/>
          <w:noProof/>
        </w:rPr>
        <w:t>23.</w:t>
      </w:r>
      <w:r w:rsidRPr="004410CA">
        <w:rPr>
          <w:rFonts w:ascii="Cambria" w:hAnsi="Cambria"/>
          <w:noProof/>
        </w:rPr>
        <w:tab/>
        <w:t>Macknet MR, Allard M, Applegate RL, 2nd, Rook J: The accuracy of noninvasive and continuous total hemoglobin measurement by pulse CO-Oximetry in human subjects undergoing hemodilution. Anesth Analg 2010; 111:1424-6</w:t>
      </w:r>
      <w:bookmarkEnd w:id="23"/>
    </w:p>
    <w:p w14:paraId="3E836548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24" w:name="_ENREF_24"/>
      <w:r w:rsidRPr="004410CA">
        <w:rPr>
          <w:rFonts w:ascii="Cambria" w:hAnsi="Cambria"/>
          <w:noProof/>
        </w:rPr>
        <w:t>24.</w:t>
      </w:r>
      <w:r w:rsidRPr="004410CA">
        <w:rPr>
          <w:rFonts w:ascii="Cambria" w:hAnsi="Cambria"/>
          <w:noProof/>
        </w:rPr>
        <w:tab/>
        <w:t>Miller RD, Ward TA, Shiboski SC, Cohen NH: A comparison of three methods of hemoglobin monitoring in patients undergoing spine surgery. Anesth Analg 2011; 112:858-63</w:t>
      </w:r>
      <w:bookmarkEnd w:id="24"/>
    </w:p>
    <w:p w14:paraId="51D161E2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25" w:name="_ENREF_25"/>
      <w:r w:rsidRPr="004410CA">
        <w:rPr>
          <w:rFonts w:ascii="Cambria" w:hAnsi="Cambria"/>
          <w:noProof/>
        </w:rPr>
        <w:t>25.</w:t>
      </w:r>
      <w:r w:rsidRPr="004410CA">
        <w:rPr>
          <w:rFonts w:ascii="Cambria" w:hAnsi="Cambria"/>
          <w:noProof/>
        </w:rPr>
        <w:tab/>
        <w:t>Park YH, Lee JH, Song HG, Byon HJ, Kim HS, Kim JT: The accuracy of noninvasive hemoglobin monitoring using the radical-7 pulse CO-Oximeter in children undergoing neurosurgery. Anesth Analg 2012; 115:1302-7</w:t>
      </w:r>
      <w:bookmarkEnd w:id="25"/>
    </w:p>
    <w:p w14:paraId="68A4F610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26" w:name="_ENREF_26"/>
      <w:r w:rsidRPr="004410CA">
        <w:rPr>
          <w:rFonts w:ascii="Cambria" w:hAnsi="Cambria"/>
          <w:noProof/>
        </w:rPr>
        <w:t>26.</w:t>
      </w:r>
      <w:r w:rsidRPr="004410CA">
        <w:rPr>
          <w:rFonts w:ascii="Cambria" w:hAnsi="Cambria"/>
          <w:noProof/>
        </w:rPr>
        <w:tab/>
        <w:t>Raikhel M: Accuracy of noninvasive and invasive point-of-care total blood hemoglobin measurement in an outpatient setting. Postgrad Med 2012; 124:250-5</w:t>
      </w:r>
      <w:bookmarkEnd w:id="26"/>
    </w:p>
    <w:p w14:paraId="1B80B149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27" w:name="_ENREF_27"/>
      <w:r w:rsidRPr="004410CA">
        <w:rPr>
          <w:rFonts w:ascii="Cambria" w:hAnsi="Cambria"/>
          <w:noProof/>
        </w:rPr>
        <w:t>27.</w:t>
      </w:r>
      <w:r w:rsidRPr="004410CA">
        <w:rPr>
          <w:rFonts w:ascii="Cambria" w:hAnsi="Cambria"/>
          <w:noProof/>
        </w:rPr>
        <w:tab/>
        <w:t>Ruppel GL, Wilson HA, Gall VK, Hempkens JA: Multi-wavelength pulse oximeter is not suitable for adjusting D(LCO) measurements. Respir Care 2011; 56:1115-21</w:t>
      </w:r>
      <w:bookmarkEnd w:id="27"/>
    </w:p>
    <w:p w14:paraId="331DFF75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28" w:name="_ENREF_28"/>
      <w:r w:rsidRPr="004410CA">
        <w:rPr>
          <w:rFonts w:ascii="Cambria" w:hAnsi="Cambria"/>
          <w:noProof/>
        </w:rPr>
        <w:t>28.</w:t>
      </w:r>
      <w:r w:rsidRPr="004410CA">
        <w:rPr>
          <w:rFonts w:ascii="Cambria" w:hAnsi="Cambria"/>
          <w:noProof/>
        </w:rPr>
        <w:tab/>
        <w:t>Shah N, Osea EA, Martinez GJ: Accuracy of noninvasive hemoglobin and invasive point-of-care hemoglobin testing compared with a laboratory analyzer. Int J Lab Hematol 2013</w:t>
      </w:r>
      <w:bookmarkEnd w:id="28"/>
    </w:p>
    <w:p w14:paraId="20DDFF5A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29" w:name="_ENREF_29"/>
      <w:r w:rsidRPr="004410CA">
        <w:rPr>
          <w:rFonts w:ascii="Cambria" w:hAnsi="Cambria"/>
          <w:noProof/>
        </w:rPr>
        <w:t>29.</w:t>
      </w:r>
      <w:r w:rsidRPr="004410CA">
        <w:rPr>
          <w:rFonts w:ascii="Cambria" w:hAnsi="Cambria"/>
          <w:noProof/>
        </w:rPr>
        <w:tab/>
        <w:t>Sjostrand F, Rodhe P, Berglund E, Lundstrom N, Svensen C: The use of a noninvasive hemoglobin monitor for volume kinetic analysis in an emergency room setting. Anesth Analg 2013; 116:337-42</w:t>
      </w:r>
      <w:bookmarkEnd w:id="29"/>
    </w:p>
    <w:p w14:paraId="7F99DCFC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30" w:name="_ENREF_30"/>
      <w:r w:rsidRPr="004410CA">
        <w:rPr>
          <w:rFonts w:ascii="Cambria" w:hAnsi="Cambria"/>
          <w:noProof/>
        </w:rPr>
        <w:t>30.</w:t>
      </w:r>
      <w:r w:rsidRPr="004410CA">
        <w:rPr>
          <w:rFonts w:ascii="Cambria" w:hAnsi="Cambria"/>
          <w:noProof/>
        </w:rPr>
        <w:tab/>
        <w:t>Skelton VA, Wijayasinghe N, Sharafudeen S, Sange A, Parry NS, Junghans C: Evaluation of point-of-care haemoglobin measuring devices: a comparison of Radical-7 pulse co-oximetry, HemoCue((R)) and laboratory haemoglobin measurements in obstetric patients*. Anaesthesia 2013; 68:40-5</w:t>
      </w:r>
      <w:bookmarkEnd w:id="30"/>
    </w:p>
    <w:p w14:paraId="4CBF9FB7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31" w:name="_ENREF_31"/>
      <w:r w:rsidRPr="004410CA">
        <w:rPr>
          <w:rFonts w:ascii="Cambria" w:hAnsi="Cambria"/>
          <w:noProof/>
        </w:rPr>
        <w:t>31.</w:t>
      </w:r>
      <w:r w:rsidRPr="004410CA">
        <w:rPr>
          <w:rFonts w:ascii="Cambria" w:hAnsi="Cambria"/>
          <w:noProof/>
        </w:rPr>
        <w:tab/>
        <w:t>Vos JJ, Kalmar AF, Struys MM, Porte RJ, Wietasch JK, Scheeren TW, Hendriks HG: Accuracy of non-invasive measurement of haemoglobin concentration by pulse co-oximetry during steady-state and dynamic conditions in liver surgery. Br J Anaesth 2012; 109:522-8</w:t>
      </w:r>
      <w:bookmarkEnd w:id="31"/>
    </w:p>
    <w:p w14:paraId="6E5F062C" w14:textId="77777777" w:rsidR="00371176" w:rsidRPr="004410CA" w:rsidRDefault="00371176" w:rsidP="004410CA">
      <w:pPr>
        <w:ind w:left="720" w:hanging="720"/>
        <w:rPr>
          <w:rFonts w:ascii="Cambria" w:hAnsi="Cambria"/>
          <w:noProof/>
        </w:rPr>
      </w:pPr>
      <w:bookmarkStart w:id="32" w:name="_ENREF_32"/>
      <w:r w:rsidRPr="004410CA">
        <w:rPr>
          <w:rFonts w:ascii="Cambria" w:hAnsi="Cambria"/>
          <w:noProof/>
        </w:rPr>
        <w:t>32.</w:t>
      </w:r>
      <w:r w:rsidRPr="004410CA">
        <w:rPr>
          <w:rFonts w:ascii="Cambria" w:hAnsi="Cambria"/>
          <w:noProof/>
        </w:rPr>
        <w:tab/>
        <w:t>Nguyen BV, Vincent JL, Nowak E, Coat M, Paleiron N, Gouny P, Ould-Ahmed M, Guillouet M, Arvieux CC, Gueret G: The accuracy of noninvasive hemoglobin measurement by multiwavelength pulse oximetry after cardiac surgery. Anesth Analg 2011; 113:1052-7</w:t>
      </w:r>
      <w:bookmarkEnd w:id="32"/>
    </w:p>
    <w:p w14:paraId="4E7CA5E4" w14:textId="77777777" w:rsidR="00371176" w:rsidRDefault="00371176" w:rsidP="004410CA">
      <w:pPr>
        <w:rPr>
          <w:rFonts w:ascii="Cambria" w:hAnsi="Cambria"/>
          <w:noProof/>
        </w:rPr>
      </w:pPr>
    </w:p>
    <w:p w14:paraId="1EF508DA" w14:textId="77777777" w:rsidR="00371176" w:rsidRDefault="00371176" w:rsidP="00C93514">
      <w:pPr>
        <w:spacing w:line="276" w:lineRule="auto"/>
      </w:pPr>
    </w:p>
    <w:p w14:paraId="396151B0" w14:textId="77777777" w:rsidR="00DC6723" w:rsidRDefault="00DC6723"/>
    <w:sectPr w:rsidR="00DC6723" w:rsidSect="00A5511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71176"/>
    <w:rsid w:val="0008547C"/>
    <w:rsid w:val="00371176"/>
    <w:rsid w:val="00901786"/>
    <w:rsid w:val="00DC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609E0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1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11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71176"/>
    <w:rPr>
      <w:color w:val="0000FF" w:themeColor="hyperlink"/>
      <w:u w:val="single"/>
    </w:rPr>
  </w:style>
  <w:style w:type="paragraph" w:styleId="Caption">
    <w:name w:val="caption"/>
    <w:basedOn w:val="Normal"/>
    <w:next w:val="Normal"/>
    <w:unhideWhenUsed/>
    <w:qFormat/>
    <w:rsid w:val="00371176"/>
    <w:rPr>
      <w:rFonts w:ascii="Lucida Grande" w:eastAsia="ヒラギノ角ゴ Pro W3" w:hAnsi="Lucida Grande" w:cs="Times New Roman"/>
      <w:b/>
      <w:bCs/>
      <w:color w:val="000000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1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17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1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11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71176"/>
    <w:rPr>
      <w:color w:val="0000FF" w:themeColor="hyperlink"/>
      <w:u w:val="single"/>
    </w:rPr>
  </w:style>
  <w:style w:type="paragraph" w:styleId="Caption">
    <w:name w:val="caption"/>
    <w:basedOn w:val="Normal"/>
    <w:next w:val="Normal"/>
    <w:unhideWhenUsed/>
    <w:qFormat/>
    <w:rsid w:val="00371176"/>
    <w:rPr>
      <w:rFonts w:ascii="Lucida Grande" w:eastAsia="ヒラギノ角ゴ Pro W3" w:hAnsi="Lucida Grande" w:cs="Times New Roman"/>
      <w:b/>
      <w:bCs/>
      <w:color w:val="000000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117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17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1399</Words>
  <Characters>7978</Characters>
  <Application>Microsoft Macintosh Word</Application>
  <DocSecurity>0</DocSecurity>
  <Lines>66</Lines>
  <Paragraphs>18</Paragraphs>
  <ScaleCrop>false</ScaleCrop>
  <Company/>
  <LinksUpToDate>false</LinksUpToDate>
  <CharactersWithSpaces>9359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Sanghyun Kim</dc:creator>
  <cp:keywords/>
  <dc:description/>
  <cp:lastModifiedBy>Sang-Hyun Kim</cp:lastModifiedBy>
  <cp:revision>2</cp:revision>
  <dcterms:created xsi:type="dcterms:W3CDTF">2014-01-29T05:22:00Z</dcterms:created>
  <dcterms:modified xsi:type="dcterms:W3CDTF">2014-01-29T05:22:00Z</dcterms:modified>
</cp:coreProperties>
</file>