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C" w:rsidRPr="00007D0F" w:rsidRDefault="00962B5A">
      <w:pPr>
        <w:rPr>
          <w:color w:val="4F81BD" w:themeColor="accent1"/>
          <w:sz w:val="32"/>
          <w:lang w:val="en-US"/>
        </w:rPr>
      </w:pPr>
      <w:r w:rsidRPr="00007D0F">
        <w:rPr>
          <w:color w:val="4F81BD" w:themeColor="accent1"/>
          <w:sz w:val="32"/>
          <w:lang w:val="en-US"/>
        </w:rPr>
        <w:t xml:space="preserve">Electronic supplement to </w:t>
      </w:r>
      <w:r w:rsidR="004D6A5E">
        <w:rPr>
          <w:color w:val="4F81BD" w:themeColor="accent1"/>
          <w:sz w:val="32"/>
          <w:lang w:val="en-US"/>
        </w:rPr>
        <w:t>manuscript AA-D-12-00529 R4</w:t>
      </w:r>
    </w:p>
    <w:p w:rsidR="00962B5A" w:rsidRPr="00007D0F" w:rsidRDefault="00962B5A" w:rsidP="00962B5A">
      <w:pPr>
        <w:pStyle w:val="BodyText1"/>
        <w:rPr>
          <w:b/>
          <w:sz w:val="28"/>
        </w:rPr>
      </w:pPr>
      <w:r w:rsidRPr="00007D0F">
        <w:rPr>
          <w:b/>
          <w:sz w:val="28"/>
        </w:rPr>
        <w:t>Non-compartm</w:t>
      </w:r>
      <w:r w:rsidR="00007D0F">
        <w:rPr>
          <w:b/>
          <w:sz w:val="28"/>
        </w:rPr>
        <w:t>en</w:t>
      </w:r>
      <w:r w:rsidRPr="00007D0F">
        <w:rPr>
          <w:b/>
          <w:sz w:val="28"/>
        </w:rPr>
        <w:t>tal analysis of AZD3043 and THRX-</w:t>
      </w:r>
      <w:r w:rsidR="00007D0F">
        <w:rPr>
          <w:b/>
          <w:sz w:val="28"/>
        </w:rPr>
        <w:t>108893</w:t>
      </w:r>
    </w:p>
    <w:p w:rsidR="00962B5A" w:rsidRDefault="00007D0F" w:rsidP="00962B5A">
      <w:pPr>
        <w:pStyle w:val="BodyText1"/>
      </w:pPr>
      <w:r w:rsidRPr="00007D0F">
        <w:rPr>
          <w:b/>
        </w:rPr>
        <w:t>Statistics</w:t>
      </w:r>
      <w:r w:rsidR="00962B5A" w:rsidRPr="00007D0F">
        <w:t xml:space="preserve">: </w:t>
      </w:r>
      <w:r>
        <w:t xml:space="preserve">Pharmacokinetic parameters </w:t>
      </w:r>
      <w:r w:rsidRPr="00007D0F">
        <w:rPr>
          <w:rFonts w:eastAsia="AdvTimes" w:cs="Arial"/>
          <w:szCs w:val="24"/>
          <w:lang w:eastAsia="zh-CN" w:bidi="ar-SA"/>
        </w:rPr>
        <w:t xml:space="preserve">were calculated non-compartmentally using </w:t>
      </w:r>
      <w:proofErr w:type="spellStart"/>
      <w:r w:rsidRPr="00007D0F">
        <w:rPr>
          <w:rFonts w:eastAsia="AdvTimes" w:cs="Arial"/>
          <w:szCs w:val="24"/>
          <w:lang w:eastAsia="zh-CN" w:bidi="ar-SA"/>
        </w:rPr>
        <w:t>WinNonlin</w:t>
      </w:r>
      <w:proofErr w:type="spellEnd"/>
      <w:r w:rsidRPr="00007D0F">
        <w:rPr>
          <w:rFonts w:eastAsia="AdvTimes" w:cs="Arial"/>
          <w:szCs w:val="24"/>
          <w:lang w:eastAsia="zh-CN" w:bidi="ar-SA"/>
        </w:rPr>
        <w:t xml:space="preserve"> Professional (</w:t>
      </w:r>
      <w:proofErr w:type="spellStart"/>
      <w:r w:rsidRPr="00007D0F">
        <w:rPr>
          <w:rFonts w:eastAsia="AdvTimes" w:cs="Arial"/>
          <w:szCs w:val="24"/>
          <w:lang w:eastAsia="zh-CN" w:bidi="ar-SA"/>
        </w:rPr>
        <w:t>Pharsight</w:t>
      </w:r>
      <w:proofErr w:type="spellEnd"/>
      <w:r w:rsidRPr="00007D0F">
        <w:rPr>
          <w:rFonts w:eastAsia="AdvTimes" w:cs="Arial"/>
          <w:szCs w:val="24"/>
          <w:lang w:eastAsia="zh-CN" w:bidi="ar-SA"/>
        </w:rPr>
        <w:t xml:space="preserve"> </w:t>
      </w:r>
      <w:r>
        <w:rPr>
          <w:rFonts w:eastAsia="AdvTimes" w:cs="Arial"/>
          <w:szCs w:val="24"/>
          <w:lang w:eastAsia="zh-CN" w:bidi="ar-SA"/>
        </w:rPr>
        <w:t xml:space="preserve">Corporation, Mountain View, CA) and presented as </w:t>
      </w:r>
      <w:r w:rsidR="00962B5A" w:rsidRPr="00007D0F">
        <w:t>geometric mean. Variability is expressed as coefficient of variation (</w:t>
      </w:r>
      <w:proofErr w:type="gramStart"/>
      <w:r w:rsidR="00962B5A" w:rsidRPr="00007D0F">
        <w:t>CV%</w:t>
      </w:r>
      <w:proofErr w:type="gramEnd"/>
      <w:r w:rsidR="00962B5A" w:rsidRPr="00007D0F">
        <w:t xml:space="preserve">), being the ratio of the standard deviation to the mean, expressed as a percentage. The area under the curve from zero to infinity, AUC, was calculated by means of the linear-up/log-down method, with extrapolation from time of the last observed concentration to infinity if the extrapolated portion of the </w:t>
      </w:r>
      <w:proofErr w:type="spellStart"/>
      <w:r w:rsidR="00962B5A" w:rsidRPr="00007D0F">
        <w:t>AUC</w:t>
      </w:r>
      <w:r w:rsidR="00962B5A" w:rsidRPr="00007D0F">
        <w:rPr>
          <w:vertAlign w:val="subscript"/>
        </w:rPr>
        <w:t>extr</w:t>
      </w:r>
      <w:proofErr w:type="spellEnd"/>
      <w:r w:rsidR="00962B5A" w:rsidRPr="00007D0F">
        <w:t xml:space="preserve"> was &lt;25%. As the </w:t>
      </w:r>
      <w:proofErr w:type="spellStart"/>
      <w:r w:rsidR="00962B5A" w:rsidRPr="00007D0F">
        <w:t>AUC</w:t>
      </w:r>
      <w:r w:rsidR="00962B5A" w:rsidRPr="00007D0F">
        <w:rPr>
          <w:vertAlign w:val="subscript"/>
        </w:rPr>
        <w:t>extr</w:t>
      </w:r>
      <w:proofErr w:type="spellEnd"/>
      <w:r w:rsidR="00962B5A" w:rsidRPr="00007D0F">
        <w:t xml:space="preserve"> was low (&lt;10%) across all doses, the AUC is reported.</w:t>
      </w:r>
      <w:r>
        <w:t xml:space="preserve"> </w:t>
      </w:r>
    </w:p>
    <w:p w:rsidR="00007D0F" w:rsidRPr="00007D0F" w:rsidRDefault="00007D0F" w:rsidP="00007D0F">
      <w:pPr>
        <w:pStyle w:val="BodyText1"/>
        <w:spacing w:after="0"/>
      </w:pPr>
      <w:r w:rsidRPr="00007D0F">
        <w:rPr>
          <w:b/>
        </w:rPr>
        <w:t>Results pharmacokinetics</w:t>
      </w:r>
      <w:r w:rsidRPr="00007D0F">
        <w:t xml:space="preserve">: Summary arterial pharmacokinetic parameters for AZD3043 are presented in Table </w:t>
      </w:r>
      <w:r>
        <w:t>ES1</w:t>
      </w:r>
      <w:r w:rsidRPr="00007D0F">
        <w:t>. For the carboxylate metabolite, THRX-108893, overall geometric mean (</w:t>
      </w:r>
      <w:proofErr w:type="gramStart"/>
      <w:r w:rsidRPr="00007D0F">
        <w:t>CV%</w:t>
      </w:r>
      <w:proofErr w:type="gramEnd"/>
      <w:r w:rsidRPr="00007D0F">
        <w:t xml:space="preserve">) arterial pharmacokinetic parameters were: AUC/dose 1.39 min/L (26%), </w:t>
      </w:r>
      <w:proofErr w:type="spellStart"/>
      <w:r w:rsidRPr="00007D0F">
        <w:t>C</w:t>
      </w:r>
      <w:r w:rsidRPr="00007D0F">
        <w:rPr>
          <w:vertAlign w:val="subscript"/>
        </w:rPr>
        <w:t>max</w:t>
      </w:r>
      <w:proofErr w:type="spellEnd"/>
      <w:r w:rsidRPr="00007D0F">
        <w:t>/dose 0.017 L</w:t>
      </w:r>
      <w:r w:rsidRPr="00007D0F">
        <w:rPr>
          <w:rFonts w:cs="Arial"/>
          <w:vertAlign w:val="superscript"/>
        </w:rPr>
        <w:t>−</w:t>
      </w:r>
      <w:r w:rsidRPr="00007D0F">
        <w:rPr>
          <w:vertAlign w:val="superscript"/>
        </w:rPr>
        <w:t xml:space="preserve">1 </w:t>
      </w:r>
      <w:r w:rsidRPr="00007D0F">
        <w:t>(17%) and terminal half-life (t</w:t>
      </w:r>
      <w:r w:rsidRPr="00007D0F">
        <w:rPr>
          <w:vertAlign w:val="subscript"/>
        </w:rPr>
        <w:t>½λz</w:t>
      </w:r>
      <w:r w:rsidRPr="00007D0F">
        <w:t xml:space="preserve">) 34 minutes (17%). </w:t>
      </w:r>
      <w:r>
        <w:t xml:space="preserve">Data for the different groups are presented in Table ES2. </w:t>
      </w:r>
      <w:r w:rsidRPr="00007D0F">
        <w:t>Exposure to AZD3043 and THRX-108893 increased approximately proportionally w</w:t>
      </w:r>
      <w:bookmarkStart w:id="0" w:name="_GoBack"/>
      <w:bookmarkEnd w:id="0"/>
      <w:r w:rsidRPr="00007D0F">
        <w:t xml:space="preserve">ith dose (Table </w:t>
      </w:r>
      <w:r w:rsidR="008867BA">
        <w:t>ES1 an</w:t>
      </w:r>
      <w:r>
        <w:t>d</w:t>
      </w:r>
      <w:r w:rsidR="008867BA">
        <w:t xml:space="preserve"> </w:t>
      </w:r>
      <w:r>
        <w:t>ES2</w:t>
      </w:r>
      <w:r w:rsidRPr="00007D0F">
        <w:t xml:space="preserve">). An analysis of dose proportionality </w:t>
      </w:r>
      <w:r>
        <w:t xml:space="preserve">of AZD3043 </w:t>
      </w:r>
      <w:r w:rsidRPr="00007D0F">
        <w:t>is presented in the accompanying paper.</w:t>
      </w:r>
      <w:r w:rsidRPr="00007D0F">
        <w:rPr>
          <w:vertAlign w:val="superscript"/>
        </w:rPr>
        <w:t>13</w:t>
      </w:r>
    </w:p>
    <w:p w:rsidR="00962B5A" w:rsidRDefault="004D6A5E" w:rsidP="004D6A5E">
      <w:pPr>
        <w:pStyle w:val="BodyText1"/>
        <w:rPr>
          <w:b/>
        </w:rPr>
      </w:pPr>
      <w:r w:rsidRPr="004D6A5E">
        <w:rPr>
          <w:b/>
        </w:rPr>
        <w:t>Discussion pharmacokinetics:</w:t>
      </w:r>
      <w:r>
        <w:t xml:space="preserve"> </w:t>
      </w:r>
      <w:r w:rsidR="00007D0F" w:rsidRPr="00007D0F">
        <w:t>Overall, the non-compartmental pharmacokinetics of AZD3043 in humans reported here were as predicted from preclinical studies. The plasma clearance of AZD3043 exceeded the typical liver blood flow rate observed in non-sedated subjects by nearly 2-fold, and the renal contribution was negligible, which indicates that elimination via liver and kidneys contributes less than half of the total clearance.</w:t>
      </w:r>
      <w:r w:rsidR="00962B5A" w:rsidRPr="00007D0F">
        <w:rPr>
          <w:b/>
        </w:rPr>
        <w:br w:type="page"/>
      </w:r>
    </w:p>
    <w:p w:rsidR="00962B5A" w:rsidRPr="00962B5A" w:rsidRDefault="00962B5A" w:rsidP="00962B5A">
      <w:pPr>
        <w:pStyle w:val="BodyText1"/>
        <w:keepNext/>
        <w:spacing w:after="0"/>
        <w:rPr>
          <w:b/>
        </w:rPr>
      </w:pPr>
      <w:r w:rsidRPr="00962B5A">
        <w:rPr>
          <w:b/>
        </w:rPr>
        <w:lastRenderedPageBreak/>
        <w:t xml:space="preserve">Table ES1. </w:t>
      </w:r>
      <w:r>
        <w:rPr>
          <w:b/>
        </w:rPr>
        <w:br/>
      </w:r>
      <w:r w:rsidRPr="00962B5A">
        <w:rPr>
          <w:b/>
        </w:rPr>
        <w:t>Summary of AZD3043 pharmacokinetic parameters in arterial plasma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8"/>
        <w:gridCol w:w="1179"/>
        <w:gridCol w:w="1180"/>
        <w:gridCol w:w="1180"/>
        <w:gridCol w:w="1179"/>
        <w:gridCol w:w="1180"/>
        <w:gridCol w:w="1180"/>
        <w:gridCol w:w="1179"/>
        <w:gridCol w:w="1180"/>
        <w:gridCol w:w="1180"/>
      </w:tblGrid>
      <w:tr w:rsidR="00962B5A" w:rsidRPr="00962B5A" w:rsidTr="0070598D">
        <w:tc>
          <w:tcPr>
            <w:tcW w:w="2508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 xml:space="preserve">Geometric mean </w:t>
            </w:r>
            <w:r w:rsidRPr="00962B5A">
              <w:rPr>
                <w:rFonts w:ascii="Arial" w:hAnsi="Arial" w:cs="Arial"/>
                <w:sz w:val="20"/>
              </w:rPr>
              <w:br/>
              <w:t>(CV%)</w:t>
            </w:r>
          </w:p>
        </w:tc>
        <w:tc>
          <w:tcPr>
            <w:tcW w:w="10617" w:type="dxa"/>
            <w:gridSpan w:val="9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962B5A">
              <w:rPr>
                <w:rFonts w:ascii="Arial" w:hAnsi="Arial" w:cs="Arial"/>
                <w:sz w:val="20"/>
                <w:lang w:val="de-DE"/>
              </w:rPr>
              <w:t>AZD3043 dose, mg/kg/h (30-minute infusion)</w:t>
            </w:r>
          </w:p>
        </w:tc>
      </w:tr>
      <w:tr w:rsidR="00962B5A" w:rsidRPr="00962B5A" w:rsidTr="0070598D">
        <w:tc>
          <w:tcPr>
            <w:tcW w:w="250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(n=5)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Default="00962B5A" w:rsidP="00962B5A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</w:t>
            </w:r>
          </w:p>
          <w:p w:rsidR="00962B5A" w:rsidRPr="00962B5A" w:rsidRDefault="00962B5A" w:rsidP="00962B5A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6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12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18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27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36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54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81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</w:tr>
      <w:tr w:rsidR="00962B5A" w:rsidRPr="00962B5A" w:rsidTr="0070598D"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 xml:space="preserve"> AUC, µg•min/mL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21.0 (11)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57.2 (15)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97.9 (15)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205 (21)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318 (15)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485 (20)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638 (12)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939 (7)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1450 (18)</w:t>
            </w:r>
          </w:p>
        </w:tc>
      </w:tr>
      <w:tr w:rsidR="00962B5A" w:rsidRPr="00962B5A" w:rsidTr="0070598D">
        <w:tc>
          <w:tcPr>
            <w:tcW w:w="2508" w:type="dxa"/>
            <w:vAlign w:val="center"/>
          </w:tcPr>
          <w:p w:rsidR="00962B5A" w:rsidRPr="00962B5A" w:rsidRDefault="00962B5A" w:rsidP="0070598D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C</w:t>
            </w:r>
            <w:r w:rsidRPr="00962B5A">
              <w:rPr>
                <w:rFonts w:ascii="Arial" w:hAnsi="Arial" w:cs="Arial"/>
                <w:sz w:val="20"/>
                <w:vertAlign w:val="subscript"/>
              </w:rPr>
              <w:t>max</w:t>
            </w:r>
            <w:r w:rsidRPr="00962B5A">
              <w:rPr>
                <w:rFonts w:ascii="Arial" w:hAnsi="Arial" w:cs="Arial"/>
                <w:sz w:val="20"/>
              </w:rPr>
              <w:t>, µg/mL</w:t>
            </w:r>
          </w:p>
        </w:tc>
        <w:tc>
          <w:tcPr>
            <w:tcW w:w="1179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0.7 (14)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1.9 (14)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3.1 (22)</w:t>
            </w:r>
          </w:p>
        </w:tc>
        <w:tc>
          <w:tcPr>
            <w:tcW w:w="1179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6.6 (13)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9.9 (10)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14.2 (19)</w:t>
            </w:r>
          </w:p>
        </w:tc>
        <w:tc>
          <w:tcPr>
            <w:tcW w:w="1179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19.7 (12)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24.3 (8)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39.1 (12)</w:t>
            </w:r>
          </w:p>
        </w:tc>
      </w:tr>
      <w:tr w:rsidR="00962B5A" w:rsidRPr="00962B5A" w:rsidTr="0070598D">
        <w:tc>
          <w:tcPr>
            <w:tcW w:w="2508" w:type="dxa"/>
            <w:vAlign w:val="center"/>
          </w:tcPr>
          <w:p w:rsidR="00962B5A" w:rsidRPr="00962B5A" w:rsidRDefault="00962B5A" w:rsidP="0070598D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CL, L/min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1.75 (4)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2.00 (11)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2.28 (17)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2.23 (19)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2.29 (15)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2.18 (7)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2.12 (7)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2.46 (5)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2.19 (23)</w:t>
            </w:r>
          </w:p>
        </w:tc>
      </w:tr>
      <w:tr w:rsidR="00962B5A" w:rsidRPr="00962B5A" w:rsidTr="0070598D">
        <w:tc>
          <w:tcPr>
            <w:tcW w:w="2508" w:type="dxa"/>
            <w:vAlign w:val="center"/>
          </w:tcPr>
          <w:p w:rsidR="00962B5A" w:rsidRPr="00962B5A" w:rsidRDefault="00962B5A" w:rsidP="00F65D33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t</w:t>
            </w:r>
            <w:r w:rsidRPr="00962B5A">
              <w:rPr>
                <w:rFonts w:ascii="Arial" w:hAnsi="Arial" w:cs="Arial"/>
                <w:sz w:val="20"/>
                <w:vertAlign w:val="subscript"/>
              </w:rPr>
              <w:t>½λz</w:t>
            </w:r>
            <w:r w:rsidRPr="00962B5A">
              <w:rPr>
                <w:rFonts w:ascii="Arial" w:hAnsi="Arial" w:cs="Arial"/>
                <w:sz w:val="20"/>
              </w:rPr>
              <w:t>, min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9.8 (25)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9.9 (10)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11.2 (13)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13.1 (32)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13.2 (30)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15.5 (10)</w:t>
            </w:r>
          </w:p>
        </w:tc>
        <w:tc>
          <w:tcPr>
            <w:tcW w:w="1179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16.9 (11)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16.4 (19)</w:t>
            </w:r>
          </w:p>
        </w:tc>
        <w:tc>
          <w:tcPr>
            <w:tcW w:w="1180" w:type="dxa"/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13.6 (26)</w:t>
            </w:r>
          </w:p>
        </w:tc>
      </w:tr>
      <w:tr w:rsidR="00962B5A" w:rsidRPr="00962B5A" w:rsidTr="0070598D"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62B5A" w:rsidRPr="00962B5A" w:rsidRDefault="00962B5A" w:rsidP="00F65D33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V</w:t>
            </w:r>
            <w:r w:rsidRPr="00962B5A">
              <w:rPr>
                <w:rFonts w:ascii="Arial" w:hAnsi="Arial" w:cs="Arial"/>
                <w:sz w:val="20"/>
                <w:vertAlign w:val="subscript"/>
              </w:rPr>
              <w:t>z</w:t>
            </w:r>
            <w:r w:rsidRPr="00962B5A">
              <w:rPr>
                <w:rFonts w:ascii="Arial" w:hAnsi="Arial" w:cs="Arial"/>
                <w:sz w:val="20"/>
              </w:rPr>
              <w:t>, 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24.8 (24)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28.4 (16)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36.8 (24)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42.2 (42)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43.4 (28)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48.8 (12)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51.7 (13)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58.3 (21)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42.8 (23)</w:t>
            </w:r>
          </w:p>
        </w:tc>
      </w:tr>
    </w:tbl>
    <w:p w:rsidR="00962B5A" w:rsidRPr="00962B5A" w:rsidRDefault="00962B5A" w:rsidP="00962B5A">
      <w:pPr>
        <w:pStyle w:val="BodyText1"/>
        <w:spacing w:after="0"/>
        <w:jc w:val="both"/>
        <w:rPr>
          <w:sz w:val="20"/>
        </w:rPr>
      </w:pPr>
      <w:r w:rsidRPr="00962B5A">
        <w:rPr>
          <w:sz w:val="20"/>
        </w:rPr>
        <w:t xml:space="preserve">AUC, area under the concentration–time curve; </w:t>
      </w:r>
      <w:proofErr w:type="spellStart"/>
      <w:r w:rsidRPr="00962B5A">
        <w:rPr>
          <w:sz w:val="20"/>
        </w:rPr>
        <w:t>C</w:t>
      </w:r>
      <w:r w:rsidRPr="00962B5A">
        <w:rPr>
          <w:sz w:val="20"/>
          <w:vertAlign w:val="subscript"/>
        </w:rPr>
        <w:t>max</w:t>
      </w:r>
      <w:proofErr w:type="spellEnd"/>
      <w:r w:rsidRPr="00962B5A">
        <w:rPr>
          <w:sz w:val="20"/>
        </w:rPr>
        <w:t xml:space="preserve">, maximum plasma drug concentration; CL, clearance; </w:t>
      </w:r>
      <w:r w:rsidRPr="00962B5A">
        <w:rPr>
          <w:rFonts w:cs="Arial"/>
          <w:sz w:val="20"/>
          <w:lang w:bidi="ar-SA"/>
        </w:rPr>
        <w:t>t</w:t>
      </w:r>
      <w:r w:rsidRPr="00962B5A">
        <w:rPr>
          <w:rFonts w:cs="Arial"/>
          <w:sz w:val="20"/>
          <w:vertAlign w:val="subscript"/>
          <w:lang w:bidi="ar-SA"/>
        </w:rPr>
        <w:t>½λz</w:t>
      </w:r>
      <w:r w:rsidRPr="00962B5A">
        <w:rPr>
          <w:rFonts w:cs="Arial"/>
          <w:sz w:val="20"/>
          <w:lang w:bidi="ar-SA"/>
        </w:rPr>
        <w:t xml:space="preserve">, terminal half-life; </w:t>
      </w:r>
      <w:proofErr w:type="spellStart"/>
      <w:r w:rsidRPr="00962B5A">
        <w:rPr>
          <w:rFonts w:cs="Arial"/>
          <w:sz w:val="20"/>
          <w:lang w:bidi="ar-SA"/>
        </w:rPr>
        <w:t>V</w:t>
      </w:r>
      <w:r w:rsidRPr="00962B5A">
        <w:rPr>
          <w:rFonts w:cs="Arial"/>
          <w:sz w:val="20"/>
          <w:vertAlign w:val="subscript"/>
          <w:lang w:bidi="ar-SA"/>
        </w:rPr>
        <w:t>z</w:t>
      </w:r>
      <w:proofErr w:type="spellEnd"/>
      <w:r w:rsidRPr="00962B5A">
        <w:rPr>
          <w:rFonts w:cs="Arial"/>
          <w:sz w:val="20"/>
          <w:lang w:bidi="ar-SA"/>
        </w:rPr>
        <w:t>, volume of distribution during terminal phase</w:t>
      </w:r>
    </w:p>
    <w:p w:rsidR="00962B5A" w:rsidRDefault="00962B5A">
      <w:pPr>
        <w:rPr>
          <w:rFonts w:ascii="Arial" w:eastAsia="Times" w:hAnsi="Arial" w:cs="Times New Roman"/>
          <w:b/>
          <w:sz w:val="24"/>
          <w:szCs w:val="20"/>
          <w:lang w:val="en-US" w:bidi="bn-IN"/>
        </w:rPr>
      </w:pPr>
      <w:r w:rsidRPr="00EC133E">
        <w:rPr>
          <w:b/>
          <w:lang w:val="en-US"/>
        </w:rPr>
        <w:br w:type="page"/>
      </w:r>
    </w:p>
    <w:p w:rsidR="00264D7E" w:rsidRDefault="00962B5A" w:rsidP="00962B5A">
      <w:pPr>
        <w:pStyle w:val="BodyText1"/>
        <w:keepNext/>
        <w:spacing w:after="0"/>
        <w:rPr>
          <w:b/>
        </w:rPr>
      </w:pPr>
      <w:r w:rsidRPr="00962B5A">
        <w:rPr>
          <w:b/>
        </w:rPr>
        <w:lastRenderedPageBreak/>
        <w:t>Table ES</w:t>
      </w:r>
      <w:r>
        <w:rPr>
          <w:b/>
        </w:rPr>
        <w:t>2</w:t>
      </w:r>
      <w:r w:rsidRPr="00962B5A">
        <w:rPr>
          <w:b/>
        </w:rPr>
        <w:t xml:space="preserve">. </w:t>
      </w:r>
    </w:p>
    <w:p w:rsidR="00962B5A" w:rsidRPr="00962B5A" w:rsidRDefault="00962B5A" w:rsidP="00962B5A">
      <w:pPr>
        <w:pStyle w:val="BodyText1"/>
        <w:keepNext/>
        <w:spacing w:after="0"/>
        <w:rPr>
          <w:b/>
        </w:rPr>
      </w:pPr>
      <w:r w:rsidRPr="00962B5A">
        <w:rPr>
          <w:b/>
        </w:rPr>
        <w:t xml:space="preserve">Summary of </w:t>
      </w:r>
      <w:r w:rsidR="00264D7E">
        <w:rPr>
          <w:b/>
        </w:rPr>
        <w:t>THRX-108893</w:t>
      </w:r>
      <w:r w:rsidRPr="00962B5A">
        <w:rPr>
          <w:b/>
        </w:rPr>
        <w:t xml:space="preserve"> pharmacokinetic parameters in arterial plasma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8"/>
        <w:gridCol w:w="1179"/>
        <w:gridCol w:w="1180"/>
        <w:gridCol w:w="1180"/>
        <w:gridCol w:w="1179"/>
        <w:gridCol w:w="1180"/>
        <w:gridCol w:w="1180"/>
        <w:gridCol w:w="1179"/>
        <w:gridCol w:w="1180"/>
        <w:gridCol w:w="1180"/>
      </w:tblGrid>
      <w:tr w:rsidR="00962B5A" w:rsidRPr="00962B5A" w:rsidTr="0070598D">
        <w:tc>
          <w:tcPr>
            <w:tcW w:w="2508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 xml:space="preserve">Geometric mean </w:t>
            </w:r>
            <w:r w:rsidRPr="00962B5A">
              <w:rPr>
                <w:rFonts w:ascii="Arial" w:hAnsi="Arial" w:cs="Arial"/>
                <w:sz w:val="20"/>
              </w:rPr>
              <w:br/>
              <w:t>(CV%)</w:t>
            </w:r>
          </w:p>
        </w:tc>
        <w:tc>
          <w:tcPr>
            <w:tcW w:w="10617" w:type="dxa"/>
            <w:gridSpan w:val="9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962B5A">
              <w:rPr>
                <w:rFonts w:ascii="Arial" w:hAnsi="Arial" w:cs="Arial"/>
                <w:sz w:val="20"/>
                <w:lang w:val="de-DE"/>
              </w:rPr>
              <w:t>AZD3043 dose, mg/kg/h (30-minute infusion)</w:t>
            </w:r>
          </w:p>
        </w:tc>
      </w:tr>
      <w:tr w:rsidR="00962B5A" w:rsidRPr="00962B5A" w:rsidTr="0070598D">
        <w:tc>
          <w:tcPr>
            <w:tcW w:w="250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62B5A" w:rsidRPr="00962B5A" w:rsidRDefault="00962B5A" w:rsidP="0070598D">
            <w:pPr>
              <w:spacing w:before="120" w:after="0" w:line="48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(n=5)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340FEC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</w:t>
            </w:r>
          </w:p>
          <w:p w:rsidR="00962B5A" w:rsidRPr="00962B5A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6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12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18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27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36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54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81</w:t>
            </w:r>
          </w:p>
          <w:p w:rsidR="00962B5A" w:rsidRPr="00962B5A" w:rsidRDefault="00962B5A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(n=6)</w:t>
            </w:r>
          </w:p>
        </w:tc>
      </w:tr>
      <w:tr w:rsidR="00962B5A" w:rsidRPr="00962B5A" w:rsidTr="0070598D"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962B5A" w:rsidRPr="00962B5A" w:rsidRDefault="00962B5A" w:rsidP="0070598D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 xml:space="preserve"> AUC, µg•min/mL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51.8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5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7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4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13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781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1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1249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15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3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3120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43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62B5A" w:rsidRPr="00962B5A" w:rsidRDefault="00264D7E" w:rsidP="00264D7E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5820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9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</w:tr>
      <w:tr w:rsidR="00962B5A" w:rsidRPr="00962B5A" w:rsidTr="0070598D">
        <w:tc>
          <w:tcPr>
            <w:tcW w:w="2508" w:type="dxa"/>
            <w:vAlign w:val="center"/>
          </w:tcPr>
          <w:p w:rsidR="00962B5A" w:rsidRPr="00962B5A" w:rsidRDefault="00962B5A" w:rsidP="0070598D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C</w:t>
            </w:r>
            <w:r w:rsidRPr="00962B5A">
              <w:rPr>
                <w:rFonts w:ascii="Arial" w:hAnsi="Arial" w:cs="Arial"/>
                <w:sz w:val="20"/>
                <w:vertAlign w:val="subscript"/>
              </w:rPr>
              <w:t>max</w:t>
            </w:r>
            <w:r w:rsidRPr="00962B5A">
              <w:rPr>
                <w:rFonts w:ascii="Arial" w:hAnsi="Arial" w:cs="Arial"/>
                <w:sz w:val="20"/>
              </w:rPr>
              <w:t>, µg/mL</w:t>
            </w:r>
          </w:p>
        </w:tc>
        <w:tc>
          <w:tcPr>
            <w:tcW w:w="1179" w:type="dxa"/>
            <w:vAlign w:val="center"/>
          </w:tcPr>
          <w:p w:rsidR="00962B5A" w:rsidRPr="00962B5A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0.7</w:t>
            </w:r>
            <w:r w:rsidR="00340FEC">
              <w:rPr>
                <w:rFonts w:ascii="Arial" w:hAnsi="Arial" w:cs="Arial"/>
                <w:sz w:val="20"/>
              </w:rPr>
              <w:t xml:space="preserve"> </w:t>
            </w:r>
            <w:r w:rsidRPr="00962B5A">
              <w:rPr>
                <w:rFonts w:ascii="Arial" w:hAnsi="Arial" w:cs="Arial"/>
                <w:sz w:val="20"/>
              </w:rPr>
              <w:t>(</w:t>
            </w:r>
            <w:r w:rsidR="00340FEC">
              <w:rPr>
                <w:rFonts w:ascii="Arial" w:hAnsi="Arial" w:cs="Arial"/>
                <w:sz w:val="20"/>
              </w:rPr>
              <w:t>6</w:t>
            </w:r>
            <w:r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1.</w:t>
            </w:r>
            <w:r w:rsidR="00340FEC">
              <w:rPr>
                <w:rFonts w:ascii="Arial" w:hAnsi="Arial" w:cs="Arial"/>
                <w:sz w:val="20"/>
              </w:rPr>
              <w:t xml:space="preserve">8 </w:t>
            </w:r>
            <w:r w:rsidRPr="00962B5A">
              <w:rPr>
                <w:rFonts w:ascii="Arial" w:hAnsi="Arial" w:cs="Arial"/>
                <w:sz w:val="20"/>
              </w:rPr>
              <w:t>(</w:t>
            </w:r>
            <w:r w:rsidR="00340FEC">
              <w:rPr>
                <w:rFonts w:ascii="Arial" w:hAnsi="Arial" w:cs="Arial"/>
                <w:sz w:val="20"/>
              </w:rPr>
              <w:t>6</w:t>
            </w:r>
            <w:r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3.</w:t>
            </w:r>
            <w:r w:rsidR="00340FEC">
              <w:rPr>
                <w:rFonts w:ascii="Arial" w:hAnsi="Arial" w:cs="Arial"/>
                <w:sz w:val="20"/>
              </w:rPr>
              <w:t xml:space="preserve">4 </w:t>
            </w:r>
            <w:r w:rsidRPr="00962B5A">
              <w:rPr>
                <w:rFonts w:ascii="Arial" w:hAnsi="Arial" w:cs="Arial"/>
                <w:sz w:val="20"/>
              </w:rPr>
              <w:t>(</w:t>
            </w:r>
            <w:r w:rsidR="00340FEC">
              <w:rPr>
                <w:rFonts w:ascii="Arial" w:hAnsi="Arial" w:cs="Arial"/>
                <w:sz w:val="20"/>
              </w:rPr>
              <w:t>4</w:t>
            </w:r>
            <w:r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vAlign w:val="center"/>
          </w:tcPr>
          <w:p w:rsidR="00962B5A" w:rsidRPr="00962B5A" w:rsidRDefault="00340FEC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6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340FEC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10.7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5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962B5A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>1</w:t>
            </w:r>
            <w:r w:rsidR="00340FEC">
              <w:rPr>
                <w:rFonts w:ascii="Arial" w:hAnsi="Arial" w:cs="Arial"/>
                <w:sz w:val="20"/>
              </w:rPr>
              <w:t>7</w:t>
            </w:r>
            <w:r w:rsidRPr="00962B5A">
              <w:rPr>
                <w:rFonts w:ascii="Arial" w:hAnsi="Arial" w:cs="Arial"/>
                <w:sz w:val="20"/>
              </w:rPr>
              <w:t>.2 (</w:t>
            </w:r>
            <w:r w:rsidR="00340FEC">
              <w:rPr>
                <w:rFonts w:ascii="Arial" w:hAnsi="Arial" w:cs="Arial"/>
                <w:sz w:val="20"/>
              </w:rPr>
              <w:t>6</w:t>
            </w:r>
            <w:r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vAlign w:val="center"/>
          </w:tcPr>
          <w:p w:rsidR="00962B5A" w:rsidRPr="00962B5A" w:rsidRDefault="00340FEC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962B5A" w:rsidRPr="00962B5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1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340FEC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62B5A" w:rsidRPr="00962B5A">
              <w:rPr>
                <w:rFonts w:ascii="Arial" w:hAnsi="Arial" w:cs="Arial"/>
                <w:sz w:val="20"/>
              </w:rPr>
              <w:t>4.3 (</w:t>
            </w:r>
            <w:r>
              <w:rPr>
                <w:rFonts w:ascii="Arial" w:hAnsi="Arial" w:cs="Arial"/>
                <w:sz w:val="20"/>
              </w:rPr>
              <w:t>25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center"/>
          </w:tcPr>
          <w:p w:rsidR="00962B5A" w:rsidRPr="00962B5A" w:rsidRDefault="00340FEC" w:rsidP="00340FEC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962B5A" w:rsidRPr="00962B5A">
              <w:rPr>
                <w:rFonts w:ascii="Arial" w:hAnsi="Arial" w:cs="Arial"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>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6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</w:tr>
      <w:tr w:rsidR="00962B5A" w:rsidRPr="00962B5A" w:rsidTr="0070598D">
        <w:tc>
          <w:tcPr>
            <w:tcW w:w="2508" w:type="dxa"/>
            <w:vAlign w:val="center"/>
          </w:tcPr>
          <w:p w:rsidR="00962B5A" w:rsidRPr="00962B5A" w:rsidRDefault="00962B5A" w:rsidP="00340FEC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  <w:t>t</w:t>
            </w:r>
            <w:r w:rsidRPr="00340FEC">
              <w:rPr>
                <w:rFonts w:ascii="Arial" w:hAnsi="Arial" w:cs="Arial"/>
                <w:sz w:val="20"/>
              </w:rPr>
              <w:t>½λz</w:t>
            </w:r>
            <w:r w:rsidRPr="00962B5A">
              <w:rPr>
                <w:rFonts w:ascii="Arial" w:hAnsi="Arial" w:cs="Arial"/>
                <w:sz w:val="20"/>
              </w:rPr>
              <w:t>, min</w:t>
            </w:r>
          </w:p>
        </w:tc>
        <w:tc>
          <w:tcPr>
            <w:tcW w:w="1179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13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6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70598D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(13)</w:t>
            </w:r>
          </w:p>
        </w:tc>
        <w:tc>
          <w:tcPr>
            <w:tcW w:w="1179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</w:t>
            </w:r>
            <w:r w:rsidR="00962B5A" w:rsidRPr="00962B5A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8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8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3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20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37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</w:tr>
      <w:tr w:rsidR="00962B5A" w:rsidRPr="00962B5A" w:rsidTr="0070598D"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62B5A" w:rsidRPr="00962B5A" w:rsidRDefault="00962B5A" w:rsidP="00F65D33">
            <w:pPr>
              <w:tabs>
                <w:tab w:val="left" w:pos="285"/>
              </w:tabs>
              <w:spacing w:before="120" w:after="0" w:line="480" w:lineRule="auto"/>
              <w:rPr>
                <w:rFonts w:ascii="Arial" w:hAnsi="Arial" w:cs="Arial"/>
                <w:sz w:val="20"/>
              </w:rPr>
            </w:pPr>
            <w:r w:rsidRPr="00962B5A">
              <w:rPr>
                <w:rFonts w:ascii="Arial" w:hAnsi="Arial" w:cs="Arial"/>
                <w:sz w:val="20"/>
              </w:rPr>
              <w:tab/>
            </w:r>
            <w:r w:rsidR="00F65D33">
              <w:rPr>
                <w:rFonts w:ascii="Arial" w:hAnsi="Arial" w:cs="Arial"/>
                <w:sz w:val="20"/>
              </w:rPr>
              <w:t>MRT, min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69 </w:t>
            </w:r>
            <w:r w:rsidR="00962B5A" w:rsidRPr="00962B5A">
              <w:rPr>
                <w:rFonts w:ascii="Arial" w:hAnsi="Arial" w:cs="Arial"/>
                <w:sz w:val="20"/>
              </w:rPr>
              <w:t>(1</w:t>
            </w:r>
            <w:r>
              <w:rPr>
                <w:rFonts w:ascii="Arial" w:hAnsi="Arial" w:cs="Arial"/>
                <w:sz w:val="20"/>
              </w:rPr>
              <w:t>2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8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9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4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962B5A" w:rsidRPr="00962B5A">
              <w:rPr>
                <w:rFonts w:ascii="Arial" w:hAnsi="Arial" w:cs="Arial"/>
                <w:sz w:val="20"/>
              </w:rPr>
              <w:t xml:space="preserve"> (1</w:t>
            </w:r>
            <w:r>
              <w:rPr>
                <w:rFonts w:ascii="Arial" w:hAnsi="Arial" w:cs="Arial"/>
                <w:sz w:val="20"/>
              </w:rPr>
              <w:t>1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15</w:t>
            </w:r>
            <w:r w:rsidR="00962B5A" w:rsidRPr="00962B5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62B5A" w:rsidRPr="00962B5A" w:rsidRDefault="00F65D33" w:rsidP="00F65D33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  <w:r w:rsidR="00962B5A" w:rsidRPr="00962B5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</w:t>
            </w:r>
            <w:r w:rsidR="00962B5A" w:rsidRPr="00962B5A">
              <w:rPr>
                <w:rFonts w:ascii="Arial" w:hAnsi="Arial" w:cs="Arial"/>
                <w:sz w:val="20"/>
              </w:rPr>
              <w:t>3)</w:t>
            </w:r>
          </w:p>
        </w:tc>
      </w:tr>
    </w:tbl>
    <w:p w:rsidR="00962B5A" w:rsidRPr="00962B5A" w:rsidRDefault="00962B5A" w:rsidP="00962B5A">
      <w:pPr>
        <w:pStyle w:val="BodyText1"/>
        <w:spacing w:after="0"/>
        <w:jc w:val="both"/>
        <w:rPr>
          <w:sz w:val="20"/>
        </w:rPr>
      </w:pPr>
      <w:r w:rsidRPr="00962B5A">
        <w:rPr>
          <w:sz w:val="20"/>
        </w:rPr>
        <w:t xml:space="preserve">AUC, area under the concentration–time curve; </w:t>
      </w:r>
      <w:proofErr w:type="spellStart"/>
      <w:r w:rsidRPr="00962B5A">
        <w:rPr>
          <w:sz w:val="20"/>
        </w:rPr>
        <w:t>C</w:t>
      </w:r>
      <w:r w:rsidRPr="00962B5A">
        <w:rPr>
          <w:sz w:val="20"/>
          <w:vertAlign w:val="subscript"/>
        </w:rPr>
        <w:t>max</w:t>
      </w:r>
      <w:proofErr w:type="spellEnd"/>
      <w:r w:rsidRPr="00962B5A">
        <w:rPr>
          <w:sz w:val="20"/>
        </w:rPr>
        <w:t xml:space="preserve">, maximum plasma </w:t>
      </w:r>
      <w:r w:rsidR="00EC133E">
        <w:rPr>
          <w:sz w:val="20"/>
        </w:rPr>
        <w:t>metabolite</w:t>
      </w:r>
      <w:r w:rsidRPr="00962B5A">
        <w:rPr>
          <w:sz w:val="20"/>
        </w:rPr>
        <w:t xml:space="preserve"> concentration; </w:t>
      </w:r>
      <w:r w:rsidRPr="00962B5A">
        <w:rPr>
          <w:rFonts w:cs="Arial"/>
          <w:sz w:val="20"/>
          <w:lang w:bidi="ar-SA"/>
        </w:rPr>
        <w:t>t</w:t>
      </w:r>
      <w:r w:rsidRPr="00962B5A">
        <w:rPr>
          <w:rFonts w:cs="Arial"/>
          <w:sz w:val="20"/>
          <w:vertAlign w:val="subscript"/>
          <w:lang w:bidi="ar-SA"/>
        </w:rPr>
        <w:t>½λz</w:t>
      </w:r>
      <w:r w:rsidRPr="00962B5A">
        <w:rPr>
          <w:rFonts w:cs="Arial"/>
          <w:sz w:val="20"/>
          <w:lang w:bidi="ar-SA"/>
        </w:rPr>
        <w:t xml:space="preserve">, terminal half-life; </w:t>
      </w:r>
      <w:r w:rsidR="00F65D33">
        <w:rPr>
          <w:rFonts w:cs="Arial"/>
          <w:sz w:val="20"/>
          <w:lang w:bidi="ar-SA"/>
        </w:rPr>
        <w:t>MRT</w:t>
      </w:r>
      <w:r w:rsidRPr="00962B5A">
        <w:rPr>
          <w:rFonts w:cs="Arial"/>
          <w:sz w:val="20"/>
          <w:lang w:bidi="ar-SA"/>
        </w:rPr>
        <w:t xml:space="preserve">, </w:t>
      </w:r>
      <w:r w:rsidR="00F65D33">
        <w:rPr>
          <w:rFonts w:cs="Arial"/>
          <w:sz w:val="20"/>
          <w:lang w:bidi="ar-SA"/>
        </w:rPr>
        <w:t>mean residence time</w:t>
      </w:r>
    </w:p>
    <w:p w:rsidR="00962B5A" w:rsidRPr="00962B5A" w:rsidRDefault="00962B5A">
      <w:pPr>
        <w:rPr>
          <w:lang w:val="en-US"/>
        </w:rPr>
      </w:pPr>
    </w:p>
    <w:sectPr w:rsidR="00962B5A" w:rsidRPr="00962B5A" w:rsidSect="004D6A5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A"/>
    <w:rsid w:val="00007D0F"/>
    <w:rsid w:val="00264D7E"/>
    <w:rsid w:val="00340FEC"/>
    <w:rsid w:val="00487EF0"/>
    <w:rsid w:val="004D6A5E"/>
    <w:rsid w:val="00510154"/>
    <w:rsid w:val="005B6639"/>
    <w:rsid w:val="007A47B1"/>
    <w:rsid w:val="00815E5A"/>
    <w:rsid w:val="008867BA"/>
    <w:rsid w:val="009048D4"/>
    <w:rsid w:val="00962B5A"/>
    <w:rsid w:val="00B4284A"/>
    <w:rsid w:val="00EC133E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D11E6-9AF8-4A4F-B663-50982741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62B5A"/>
    <w:pPr>
      <w:spacing w:before="120" w:after="120" w:line="480" w:lineRule="auto"/>
    </w:pPr>
    <w:rPr>
      <w:rFonts w:ascii="Arial" w:eastAsia="Times" w:hAnsi="Arial" w:cs="Times New Roman"/>
      <w:sz w:val="24"/>
      <w:szCs w:val="20"/>
      <w:lang w:val="en-US" w:bidi="bn-IN"/>
    </w:rPr>
  </w:style>
  <w:style w:type="paragraph" w:styleId="BalloonText">
    <w:name w:val="Balloon Text"/>
    <w:basedOn w:val="Normal"/>
    <w:link w:val="BalloonTextChar"/>
    <w:semiHidden/>
    <w:rsid w:val="00007D0F"/>
    <w:pPr>
      <w:spacing w:after="120" w:line="240" w:lineRule="auto"/>
    </w:pPr>
    <w:rPr>
      <w:rFonts w:ascii="Tahoma" w:eastAsia="Times" w:hAnsi="Tahoma" w:cs="Tahoma"/>
      <w:sz w:val="16"/>
      <w:szCs w:val="16"/>
      <w:lang w:val="en-US" w:bidi="bn-IN"/>
    </w:rPr>
  </w:style>
  <w:style w:type="character" w:customStyle="1" w:styleId="BalloonTextChar">
    <w:name w:val="Balloon Text Char"/>
    <w:basedOn w:val="DefaultParagraphFont"/>
    <w:link w:val="BalloonText"/>
    <w:semiHidden/>
    <w:rsid w:val="00007D0F"/>
    <w:rPr>
      <w:rFonts w:ascii="Tahoma" w:eastAsia="Times" w:hAnsi="Tahoma" w:cs="Tahoma"/>
      <w:sz w:val="16"/>
      <w:szCs w:val="16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 IT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1dwx</dc:creator>
  <cp:keywords/>
  <dc:description/>
  <cp:lastModifiedBy>Matt Lewis</cp:lastModifiedBy>
  <cp:revision>2</cp:revision>
  <dcterms:created xsi:type="dcterms:W3CDTF">2014-11-25T18:34:00Z</dcterms:created>
  <dcterms:modified xsi:type="dcterms:W3CDTF">2014-11-25T18:34:00Z</dcterms:modified>
</cp:coreProperties>
</file>