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5D3DE" w14:textId="77777777" w:rsidR="00743DAB" w:rsidRDefault="000E107A">
      <w:pPr>
        <w:pStyle w:val="Body"/>
        <w:rPr>
          <w:b/>
          <w:bCs/>
          <w:i/>
          <w:iCs/>
        </w:rPr>
      </w:pPr>
      <w:r>
        <w:rPr>
          <w:rFonts w:ascii="Times New Roman Bold"/>
        </w:rPr>
        <w:t>APPENDIX 4:</w:t>
      </w:r>
      <w:r>
        <w:rPr>
          <w:rFonts w:ascii="Times New Roman Bold"/>
          <w:u w:val="single"/>
        </w:rPr>
        <w:t xml:space="preserve"> Example of a Fundamentals of Ultrasound Program </w:t>
      </w:r>
    </w:p>
    <w:p w14:paraId="530DD692" w14:textId="77777777" w:rsidR="00743DAB" w:rsidRDefault="000E107A">
      <w:pPr>
        <w:pStyle w:val="Body"/>
        <w:rPr>
          <w:b/>
          <w:bCs/>
          <w:i/>
          <w:iCs/>
        </w:rPr>
      </w:pPr>
      <w:r>
        <w:rPr>
          <w:b/>
          <w:bCs/>
          <w:i/>
          <w:iCs/>
        </w:rPr>
        <w:t>Main Objective</w:t>
      </w:r>
    </w:p>
    <w:p w14:paraId="54ED8098" w14:textId="77777777" w:rsidR="00743DAB" w:rsidRDefault="000E107A">
      <w:pPr>
        <w:pStyle w:val="Body"/>
      </w:pPr>
      <w:r>
        <w:rPr>
          <w:rFonts w:ascii="Times New Roman Bold"/>
        </w:rPr>
        <w:t>The main objective of this training program is to impart and verify proficiency in performance of perioperative ultrasound (US) during anesthesiology residency.</w:t>
      </w:r>
      <w:r>
        <w:t xml:space="preserve"> This multi-modal Fundamentals of Ultrasound (FUS) program includes web-based interactive didactics and integrated hands-on training sessions. Additionally, FUS program is designed to verify proficiency before clinical use of ultrasound (Figure 1).</w:t>
      </w:r>
    </w:p>
    <w:p w14:paraId="366B3417" w14:textId="77777777" w:rsidR="00743DAB" w:rsidRDefault="000E107A">
      <w:pPr>
        <w:pStyle w:val="Body"/>
      </w:pPr>
      <w:r>
        <w:rPr>
          <w:noProof/>
        </w:rPr>
        <w:drawing>
          <wp:anchor distT="57150" distB="57150" distL="57150" distR="57150" simplePos="0" relativeHeight="251659264" behindDoc="0" locked="0" layoutInCell="1" allowOverlap="1" wp14:anchorId="6F969E56" wp14:editId="00452CE7">
            <wp:simplePos x="0" y="0"/>
            <wp:positionH relativeFrom="column">
              <wp:posOffset>571500</wp:posOffset>
            </wp:positionH>
            <wp:positionV relativeFrom="line">
              <wp:posOffset>137160</wp:posOffset>
            </wp:positionV>
            <wp:extent cx="4686300" cy="2752090"/>
            <wp:effectExtent l="0" t="0" r="0" b="0"/>
            <wp:wrapSquare wrapText="bothSides" distT="57150" distB="57150" distL="57150" distR="57150"/>
            <wp:docPr id="1073741825" name="officeArt object" descr="Macintosh HD:Users:mariomontealegre:Dropbox:SCA Position PAPER:Manuscript:FINAL SUBMISSION:Appendix:FUS PROGRAM.tiff"/>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mariomontealegre:Dropbox:SCA Position PAPER:Manuscript:FINAL SUBMISSION:Appendix:FUS PROGRAM.tiff"/>
                    <pic:cNvPicPr/>
                  </pic:nvPicPr>
                  <pic:blipFill>
                    <a:blip r:embed="rId7">
                      <a:extLst/>
                    </a:blip>
                    <a:srcRect/>
                    <a:stretch>
                      <a:fillRect/>
                    </a:stretch>
                  </pic:blipFill>
                  <pic:spPr>
                    <a:xfrm>
                      <a:off x="0" y="0"/>
                      <a:ext cx="4686300" cy="2752090"/>
                    </a:xfrm>
                    <a:prstGeom prst="rect">
                      <a:avLst/>
                    </a:prstGeom>
                    <a:ln w="12700" cap="flat">
                      <a:noFill/>
                      <a:miter lim="400000"/>
                    </a:ln>
                    <a:effectLst/>
                  </pic:spPr>
                </pic:pic>
              </a:graphicData>
            </a:graphic>
          </wp:anchor>
        </w:drawing>
      </w:r>
    </w:p>
    <w:p w14:paraId="49BA2D46" w14:textId="77777777" w:rsidR="00743DAB" w:rsidRDefault="000E107A">
      <w:pPr>
        <w:pStyle w:val="Body"/>
      </w:pPr>
      <w:r>
        <w:t xml:space="preserve"> </w:t>
      </w:r>
    </w:p>
    <w:p w14:paraId="0667A4E2" w14:textId="77777777" w:rsidR="00743DAB" w:rsidRDefault="00743DAB">
      <w:pPr>
        <w:pStyle w:val="Body"/>
        <w:rPr>
          <w:rFonts w:ascii="Times New Roman" w:eastAsia="Times New Roman" w:hAnsi="Times New Roman" w:cs="Times New Roman"/>
        </w:rPr>
      </w:pPr>
    </w:p>
    <w:p w14:paraId="512D2C65" w14:textId="77777777" w:rsidR="00743DAB" w:rsidRDefault="00743DAB">
      <w:pPr>
        <w:pStyle w:val="Body"/>
        <w:rPr>
          <w:rFonts w:ascii="Times New Roman" w:eastAsia="Times New Roman" w:hAnsi="Times New Roman" w:cs="Times New Roman"/>
        </w:rPr>
      </w:pPr>
    </w:p>
    <w:p w14:paraId="4D0D04AB" w14:textId="77777777" w:rsidR="00743DAB" w:rsidRDefault="00743DAB">
      <w:pPr>
        <w:pStyle w:val="Body"/>
        <w:rPr>
          <w:rFonts w:ascii="Times New Roman" w:eastAsia="Times New Roman" w:hAnsi="Times New Roman" w:cs="Times New Roman"/>
        </w:rPr>
      </w:pPr>
    </w:p>
    <w:p w14:paraId="0778F622" w14:textId="77777777" w:rsidR="00743DAB" w:rsidRDefault="00743DAB">
      <w:pPr>
        <w:pStyle w:val="Body"/>
        <w:rPr>
          <w:rFonts w:ascii="Times New Roman" w:eastAsia="Times New Roman" w:hAnsi="Times New Roman" w:cs="Times New Roman"/>
        </w:rPr>
      </w:pPr>
    </w:p>
    <w:p w14:paraId="468719F1" w14:textId="77777777" w:rsidR="00743DAB" w:rsidRDefault="00743DAB">
      <w:pPr>
        <w:pStyle w:val="Body"/>
        <w:rPr>
          <w:rFonts w:ascii="Times New Roman" w:eastAsia="Times New Roman" w:hAnsi="Times New Roman" w:cs="Times New Roman"/>
        </w:rPr>
      </w:pPr>
    </w:p>
    <w:p w14:paraId="47FB171B" w14:textId="77777777" w:rsidR="00743DAB" w:rsidRDefault="00743DAB">
      <w:pPr>
        <w:pStyle w:val="Body"/>
        <w:rPr>
          <w:rFonts w:ascii="Times New Roman" w:eastAsia="Times New Roman" w:hAnsi="Times New Roman" w:cs="Times New Roman"/>
        </w:rPr>
      </w:pPr>
    </w:p>
    <w:p w14:paraId="06B23783" w14:textId="77777777" w:rsidR="00743DAB" w:rsidRDefault="00743DAB">
      <w:pPr>
        <w:pStyle w:val="Body"/>
        <w:rPr>
          <w:rFonts w:ascii="Times New Roman" w:eastAsia="Times New Roman" w:hAnsi="Times New Roman" w:cs="Times New Roman"/>
        </w:rPr>
      </w:pPr>
    </w:p>
    <w:p w14:paraId="7E0841C0" w14:textId="77777777" w:rsidR="00743DAB" w:rsidRDefault="00743DAB">
      <w:pPr>
        <w:pStyle w:val="Body"/>
        <w:rPr>
          <w:rFonts w:ascii="Times New Roman" w:eastAsia="Times New Roman" w:hAnsi="Times New Roman" w:cs="Times New Roman"/>
        </w:rPr>
      </w:pPr>
    </w:p>
    <w:p w14:paraId="1DCF668D" w14:textId="77777777" w:rsidR="00743DAB" w:rsidRDefault="00743DAB">
      <w:pPr>
        <w:pStyle w:val="Body"/>
        <w:rPr>
          <w:rFonts w:ascii="Times New Roman" w:eastAsia="Times New Roman" w:hAnsi="Times New Roman" w:cs="Times New Roman"/>
        </w:rPr>
      </w:pPr>
    </w:p>
    <w:p w14:paraId="389DF62E" w14:textId="77777777" w:rsidR="00743DAB" w:rsidRDefault="00743DAB">
      <w:pPr>
        <w:pStyle w:val="Body"/>
        <w:rPr>
          <w:rFonts w:ascii="Times New Roman" w:eastAsia="Times New Roman" w:hAnsi="Times New Roman" w:cs="Times New Roman"/>
        </w:rPr>
      </w:pPr>
    </w:p>
    <w:p w14:paraId="1EFA1D14" w14:textId="77777777" w:rsidR="00743DAB" w:rsidRDefault="00743DAB">
      <w:pPr>
        <w:pStyle w:val="Body"/>
        <w:rPr>
          <w:rFonts w:ascii="Times New Roman" w:eastAsia="Times New Roman" w:hAnsi="Times New Roman" w:cs="Times New Roman"/>
        </w:rPr>
      </w:pPr>
    </w:p>
    <w:p w14:paraId="7C3A3DFC" w14:textId="77777777" w:rsidR="00743DAB" w:rsidRDefault="00743DAB">
      <w:pPr>
        <w:pStyle w:val="Body"/>
        <w:rPr>
          <w:rFonts w:ascii="Times New Roman" w:eastAsia="Times New Roman" w:hAnsi="Times New Roman" w:cs="Times New Roman"/>
        </w:rPr>
      </w:pPr>
    </w:p>
    <w:p w14:paraId="6168F5D0" w14:textId="77777777" w:rsidR="00743DAB" w:rsidRDefault="00743DAB">
      <w:pPr>
        <w:pStyle w:val="Body"/>
        <w:rPr>
          <w:rFonts w:ascii="Times New Roman" w:eastAsia="Times New Roman" w:hAnsi="Times New Roman" w:cs="Times New Roman"/>
        </w:rPr>
      </w:pPr>
    </w:p>
    <w:p w14:paraId="12AB23C7" w14:textId="77777777" w:rsidR="00743DAB" w:rsidRDefault="00743DAB">
      <w:pPr>
        <w:pStyle w:val="Body"/>
        <w:rPr>
          <w:rFonts w:ascii="Times New Roman" w:eastAsia="Times New Roman" w:hAnsi="Times New Roman" w:cs="Times New Roman"/>
        </w:rPr>
      </w:pPr>
    </w:p>
    <w:p w14:paraId="4A883C65" w14:textId="77777777" w:rsidR="00743DAB" w:rsidRDefault="00743DAB">
      <w:pPr>
        <w:pStyle w:val="Body"/>
        <w:rPr>
          <w:rFonts w:ascii="Times New Roman" w:eastAsia="Times New Roman" w:hAnsi="Times New Roman" w:cs="Times New Roman"/>
        </w:rPr>
      </w:pPr>
    </w:p>
    <w:p w14:paraId="6781C3E2" w14:textId="77777777" w:rsidR="00743DAB" w:rsidRDefault="000E107A">
      <w:pPr>
        <w:pStyle w:val="Body"/>
        <w:rPr>
          <w:rFonts w:ascii="Times New Roman Bold" w:eastAsia="Times New Roman Bold" w:hAnsi="Times New Roman Bold" w:cs="Times New Roman Bold"/>
        </w:rPr>
      </w:pPr>
      <w:r>
        <w:t xml:space="preserve">Figure 1. </w:t>
      </w:r>
      <w:proofErr w:type="gramStart"/>
      <w:r>
        <w:rPr>
          <w:rFonts w:ascii="Times New Roman Bold"/>
        </w:rPr>
        <w:t>General Organization of the Fundamentals of Ultrasound Training Program.</w:t>
      </w:r>
      <w:proofErr w:type="gramEnd"/>
      <w:r>
        <w:rPr>
          <w:rFonts w:ascii="Times New Roman Bold"/>
        </w:rPr>
        <w:t xml:space="preserve"> </w:t>
      </w:r>
    </w:p>
    <w:p w14:paraId="7844A318" w14:textId="77777777" w:rsidR="00743DAB" w:rsidRDefault="00743DAB">
      <w:pPr>
        <w:pStyle w:val="Body"/>
        <w:rPr>
          <w:rFonts w:ascii="Times New Roman Bold" w:eastAsia="Times New Roman Bold" w:hAnsi="Times New Roman Bold" w:cs="Times New Roman Bold"/>
        </w:rPr>
      </w:pPr>
    </w:p>
    <w:p w14:paraId="7C31C26E" w14:textId="77777777" w:rsidR="00743DAB" w:rsidRDefault="000E107A">
      <w:pPr>
        <w:pStyle w:val="Body"/>
      </w:pPr>
      <w:r>
        <w:t>The course is designed to impart proficiency in performance of perioperative ultrasound.</w:t>
      </w:r>
    </w:p>
    <w:p w14:paraId="1BFCF9C3" w14:textId="3B74CB3A" w:rsidR="00743DAB" w:rsidRDefault="000E107A">
      <w:pPr>
        <w:pStyle w:val="Body"/>
        <w:rPr>
          <w:b/>
          <w:bCs/>
          <w:color w:val="6DC037"/>
        </w:rPr>
      </w:pPr>
      <w:r>
        <w:t xml:space="preserve">We define proficiency in perioperative ultrasound as a composite of cognitive knowledge, </w:t>
      </w:r>
      <w:r w:rsidR="008352BD">
        <w:t>psychomotor skills</w:t>
      </w:r>
      <w:r>
        <w:t xml:space="preserve"> and workflow understanding (Figure 2).  </w:t>
      </w:r>
    </w:p>
    <w:p w14:paraId="530674CC" w14:textId="0AA53263" w:rsidR="00743DAB" w:rsidRDefault="00743DAB">
      <w:pPr>
        <w:pStyle w:val="Body"/>
      </w:pPr>
    </w:p>
    <w:p w14:paraId="39BB9079" w14:textId="77777777" w:rsidR="00743DAB" w:rsidRDefault="00743DAB">
      <w:pPr>
        <w:pStyle w:val="Body"/>
        <w:rPr>
          <w:rFonts w:ascii="Times New Roman" w:eastAsia="Times New Roman" w:hAnsi="Times New Roman" w:cs="Times New Roman"/>
        </w:rPr>
      </w:pPr>
    </w:p>
    <w:p w14:paraId="6BA24E0B" w14:textId="77777777" w:rsidR="00743DAB" w:rsidRDefault="00743DAB">
      <w:pPr>
        <w:pStyle w:val="Body"/>
        <w:rPr>
          <w:rFonts w:ascii="Times New Roman" w:eastAsia="Times New Roman" w:hAnsi="Times New Roman" w:cs="Times New Roman"/>
        </w:rPr>
      </w:pPr>
    </w:p>
    <w:p w14:paraId="3051B439" w14:textId="77777777" w:rsidR="008352BD" w:rsidRDefault="008352BD" w:rsidP="008352BD">
      <w:pPr>
        <w:pStyle w:val="Body"/>
        <w:jc w:val="center"/>
        <w:rPr>
          <w:rFonts w:ascii="Times New Roman" w:eastAsia="Times New Roman" w:hAnsi="Times New Roman" w:cs="Times New Roman"/>
        </w:rPr>
      </w:pPr>
      <w:r w:rsidRPr="008352BD">
        <w:rPr>
          <w:rFonts w:ascii="Times New Roman" w:eastAsia="Times New Roman" w:hAnsi="Times New Roman" w:cs="Times New Roman"/>
        </w:rPr>
        <w:drawing>
          <wp:inline distT="0" distB="0" distL="0" distR="0" wp14:anchorId="0A754F65" wp14:editId="5DD907E2">
            <wp:extent cx="2978785" cy="2250348"/>
            <wp:effectExtent l="0" t="0" r="0" b="10795"/>
            <wp:docPr id="1" name="Picture 1" descr="Macintosh HD:Users:mariomontealegre:Desktop:Screen Shot 2015-10-21 at 11.3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montealegre:Desktop:Screen Shot 2015-10-21 at 11.32.3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467" cy="2250863"/>
                    </a:xfrm>
                    <a:prstGeom prst="rect">
                      <a:avLst/>
                    </a:prstGeom>
                    <a:noFill/>
                    <a:ln>
                      <a:noFill/>
                    </a:ln>
                  </pic:spPr>
                </pic:pic>
              </a:graphicData>
            </a:graphic>
          </wp:inline>
        </w:drawing>
      </w:r>
    </w:p>
    <w:p w14:paraId="0B1D6424" w14:textId="497BB178" w:rsidR="00743DAB" w:rsidRPr="008352BD" w:rsidRDefault="000E107A" w:rsidP="008352BD">
      <w:pPr>
        <w:pStyle w:val="Body"/>
        <w:jc w:val="center"/>
        <w:rPr>
          <w:rFonts w:ascii="Times New Roman" w:eastAsia="Times New Roman" w:hAnsi="Times New Roman" w:cs="Times New Roman"/>
        </w:rPr>
      </w:pPr>
      <w:r>
        <w:t xml:space="preserve">Figure 2. </w:t>
      </w:r>
      <w:proofErr w:type="gramStart"/>
      <w:r>
        <w:rPr>
          <w:rFonts w:ascii="Times New Roman Bold"/>
        </w:rPr>
        <w:t>Components of proficiency in perioperative ultrasound</w:t>
      </w:r>
      <w:r>
        <w:t>.</w:t>
      </w:r>
      <w:proofErr w:type="gramEnd"/>
    </w:p>
    <w:p w14:paraId="019780DD" w14:textId="77777777" w:rsidR="00743DAB" w:rsidRDefault="00743DAB">
      <w:pPr>
        <w:pStyle w:val="Body"/>
        <w:rPr>
          <w:rFonts w:ascii="Times New Roman" w:eastAsia="Times New Roman" w:hAnsi="Times New Roman" w:cs="Times New Roman"/>
        </w:rPr>
      </w:pPr>
    </w:p>
    <w:p w14:paraId="2C375236" w14:textId="7D213A4F" w:rsidR="00743DAB" w:rsidRDefault="000E107A">
      <w:pPr>
        <w:pStyle w:val="Body"/>
        <w:ind w:firstLine="720"/>
        <w:rPr>
          <w:rFonts w:ascii="Times New Roman"/>
        </w:rPr>
      </w:pPr>
      <w:r>
        <w:rPr>
          <w:rFonts w:ascii="Times New Roman"/>
        </w:rPr>
        <w:t>Following completion of the FUS program, the resident is expected to have the following cognitive and technical skills (Table 1).</w:t>
      </w:r>
      <w:r>
        <w:rPr>
          <w:rFonts w:ascii="Times New Roman"/>
          <w:b/>
          <w:bCs/>
          <w:color w:val="6DC037"/>
        </w:rPr>
        <w:t xml:space="preserve"> </w:t>
      </w:r>
      <w:r>
        <w:rPr>
          <w:rFonts w:ascii="Times New Roman"/>
        </w:rPr>
        <w:t xml:space="preserve">These skills are </w:t>
      </w:r>
      <w:r w:rsidR="008352BD">
        <w:rPr>
          <w:rFonts w:ascii="Times New Roman"/>
        </w:rPr>
        <w:t>important</w:t>
      </w:r>
      <w:r>
        <w:rPr>
          <w:rFonts w:ascii="Times New Roman"/>
        </w:rPr>
        <w:t xml:space="preserve"> components of proficiency</w:t>
      </w:r>
      <w:r>
        <w:rPr>
          <w:rFonts w:ascii="Times New Roman"/>
          <w:b/>
          <w:bCs/>
          <w:color w:val="6DC037"/>
        </w:rPr>
        <w:t xml:space="preserve"> </w:t>
      </w:r>
      <w:r>
        <w:rPr>
          <w:rFonts w:ascii="Times New Roman"/>
        </w:rPr>
        <w:t>and will be objectively demonstrated as pre-requisites for clinical performance. (Table 1)</w:t>
      </w:r>
    </w:p>
    <w:p w14:paraId="339BA609" w14:textId="77777777" w:rsidR="00C848DB" w:rsidRDefault="00C848DB">
      <w:pPr>
        <w:pStyle w:val="Body"/>
        <w:ind w:firstLine="720"/>
      </w:pPr>
    </w:p>
    <w:p w14:paraId="6159B6BC" w14:textId="31CE4C82" w:rsidR="00743DAB" w:rsidRDefault="00C848DB">
      <w:pPr>
        <w:pStyle w:val="Body"/>
        <w:rPr>
          <w:rFonts w:ascii="Times New Roman" w:eastAsia="Times New Roman" w:hAnsi="Times New Roman" w:cs="Times New Roman"/>
          <w:b/>
          <w:bCs/>
          <w:i/>
          <w:iCs/>
        </w:rPr>
      </w:pPr>
      <w:r w:rsidRPr="00E439E1">
        <w:rPr>
          <w:rFonts w:ascii="Times New Roman" w:hAnsi="Times New Roman" w:cs="Times New Roman"/>
          <w:noProof/>
        </w:rPr>
        <w:drawing>
          <wp:inline distT="0" distB="0" distL="0" distR="0" wp14:anchorId="5259F290" wp14:editId="5FBB6842">
            <wp:extent cx="4153960" cy="2546350"/>
            <wp:effectExtent l="0" t="0" r="12065" b="0"/>
            <wp:docPr id="12" name="Picture 12" descr="Macintosh HD:Users:ferozemahmood:Dropbox:US GRANT APPLICATION:FAER SUBMISSION FOLDER:FINAL SUBMISSION:Tabl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erozemahmood:Dropbox:US GRANT APPLICATION:FAER SUBMISSION FOLDER:FINAL SUBMISSION:Table 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5387" cy="2547225"/>
                    </a:xfrm>
                    <a:prstGeom prst="rect">
                      <a:avLst/>
                    </a:prstGeom>
                    <a:noFill/>
                    <a:ln>
                      <a:noFill/>
                    </a:ln>
                  </pic:spPr>
                </pic:pic>
              </a:graphicData>
            </a:graphic>
          </wp:inline>
        </w:drawing>
      </w:r>
    </w:p>
    <w:p w14:paraId="49C43CD3" w14:textId="0C5AEF6F" w:rsidR="00743DAB" w:rsidRDefault="00743DAB">
      <w:pPr>
        <w:pStyle w:val="Body"/>
      </w:pPr>
    </w:p>
    <w:p w14:paraId="085E49D1" w14:textId="753D7CFC" w:rsidR="00743DAB" w:rsidRPr="00C848DB" w:rsidRDefault="000E107A">
      <w:pPr>
        <w:pStyle w:val="Body"/>
      </w:pPr>
      <w:r>
        <w:t xml:space="preserve"> </w:t>
      </w:r>
      <w:r>
        <w:rPr>
          <w:rFonts w:ascii="Times New Roman Bold"/>
          <w:lang w:val="fr-FR"/>
        </w:rPr>
        <w:t>Course Description</w:t>
      </w:r>
      <w:r>
        <w:rPr>
          <w:rFonts w:ascii="Times New Roman Bold"/>
          <w:color w:val="6DC037"/>
        </w:rPr>
        <w:t xml:space="preserve"> </w:t>
      </w:r>
    </w:p>
    <w:p w14:paraId="24427E44" w14:textId="77777777" w:rsidR="00743DAB" w:rsidRDefault="000E107A">
      <w:pPr>
        <w:pStyle w:val="Body"/>
      </w:pPr>
      <w:r>
        <w:tab/>
        <w:t xml:space="preserve">Basic ultrasound education could be made available as 2 separate programs: one course for categorical anesthesiology interns and the 1-year FUS course for clinical anesthesia (CA)- 1 </w:t>
      </w:r>
      <w:proofErr w:type="gramStart"/>
      <w:r>
        <w:t>residents</w:t>
      </w:r>
      <w:proofErr w:type="gramEnd"/>
      <w:r>
        <w:t>. Additionally, CA-2 residents have a 1-month mandatory ultrasound guided regional anesthesia rotation, and CA-3 residents have 1 month for an elective rotation in perioperative TEE and 1 month for an elective ultrasound guided regional anesthesia rotation.</w:t>
      </w:r>
    </w:p>
    <w:p w14:paraId="25F2B80B" w14:textId="5725D8E0" w:rsidR="00743DAB" w:rsidRDefault="000E107A">
      <w:pPr>
        <w:pStyle w:val="Body"/>
      </w:pPr>
      <w:proofErr w:type="spellStart"/>
      <w:r>
        <w:rPr>
          <w:i/>
          <w:iCs/>
          <w:lang w:val="fr-FR"/>
        </w:rPr>
        <w:t>Intern</w:t>
      </w:r>
      <w:proofErr w:type="spellEnd"/>
      <w:r>
        <w:rPr>
          <w:i/>
          <w:iCs/>
          <w:lang w:val="fr-FR"/>
        </w:rPr>
        <w:t xml:space="preserve"> Course:</w:t>
      </w:r>
      <w:r>
        <w:t xml:space="preserve">This course is a 13-day (8 hours per day) dedicated ultrasound training program for </w:t>
      </w:r>
      <w:r w:rsidR="00A524E7" w:rsidRPr="00A524E7">
        <w:rPr>
          <w:bCs/>
          <w:color w:val="auto"/>
          <w:lang w:val="fr-FR"/>
        </w:rPr>
        <w:t>our</w:t>
      </w:r>
      <w:r>
        <w:t xml:space="preserve"> categorical anesthesiology interns, in which </w:t>
      </w:r>
      <w:r w:rsidRPr="00A524E7">
        <w:rPr>
          <w:bCs/>
          <w:color w:val="auto"/>
        </w:rPr>
        <w:t>we</w:t>
      </w:r>
      <w:r>
        <w:t xml:space="preserve"> cover the basic concepts of ultrasound imaging and their broad perioperative use. Table 2 describes the contents covered during this course.</w:t>
      </w:r>
    </w:p>
    <w:p w14:paraId="6B8B4075" w14:textId="77777777" w:rsidR="00743DAB" w:rsidRDefault="000E107A">
      <w:pPr>
        <w:pStyle w:val="Body"/>
      </w:pPr>
      <w:r>
        <w:t xml:space="preserve">Table 2. </w:t>
      </w:r>
      <w:proofErr w:type="gramStart"/>
      <w:r>
        <w:t>Intern ultrasound course schedule.</w:t>
      </w:r>
      <w:proofErr w:type="gramEnd"/>
    </w:p>
    <w:p w14:paraId="5834A6C3" w14:textId="77777777" w:rsidR="00743DAB" w:rsidRDefault="000E107A">
      <w:pPr>
        <w:pStyle w:val="Body"/>
      </w:pPr>
      <w:r>
        <w:rPr>
          <w:noProof/>
        </w:rPr>
        <w:drawing>
          <wp:anchor distT="57150" distB="57150" distL="57150" distR="57150" simplePos="0" relativeHeight="251661312" behindDoc="0" locked="0" layoutInCell="1" allowOverlap="1" wp14:anchorId="5ECC31EF" wp14:editId="5AA48659">
            <wp:simplePos x="0" y="0"/>
            <wp:positionH relativeFrom="column">
              <wp:posOffset>0</wp:posOffset>
            </wp:positionH>
            <wp:positionV relativeFrom="line">
              <wp:posOffset>242570</wp:posOffset>
            </wp:positionV>
            <wp:extent cx="5829300" cy="2228850"/>
            <wp:effectExtent l="0" t="0" r="0" b="0"/>
            <wp:wrapSquare wrapText="bothSides" distT="57150" distB="57150" distL="57150" distR="57150"/>
            <wp:docPr id="1073741828" name="officeArt object" descr="Macintosh HD:Users:mariomontealegre:Dropbox:BasicUltrasound:AACR:Figure2.tif"/>
            <wp:cNvGraphicFramePr/>
            <a:graphic xmlns:a="http://schemas.openxmlformats.org/drawingml/2006/main">
              <a:graphicData uri="http://schemas.openxmlformats.org/drawingml/2006/picture">
                <pic:pic xmlns:pic="http://schemas.openxmlformats.org/drawingml/2006/picture">
                  <pic:nvPicPr>
                    <pic:cNvPr id="1073741828" name="image4.png" descr="Macintosh HD:Users:mariomontealegre:Dropbox:BasicUltrasound:AACR:Figure2.tif"/>
                    <pic:cNvPicPr/>
                  </pic:nvPicPr>
                  <pic:blipFill>
                    <a:blip r:embed="rId10">
                      <a:extLst/>
                    </a:blip>
                    <a:stretch>
                      <a:fillRect/>
                    </a:stretch>
                  </pic:blipFill>
                  <pic:spPr>
                    <a:xfrm>
                      <a:off x="0" y="0"/>
                      <a:ext cx="5829300" cy="2228850"/>
                    </a:xfrm>
                    <a:prstGeom prst="rect">
                      <a:avLst/>
                    </a:prstGeom>
                    <a:ln w="12700" cap="flat">
                      <a:noFill/>
                      <a:miter lim="400000"/>
                    </a:ln>
                    <a:effectLst/>
                  </pic:spPr>
                </pic:pic>
              </a:graphicData>
            </a:graphic>
          </wp:anchor>
        </w:drawing>
      </w:r>
    </w:p>
    <w:p w14:paraId="76EE7428" w14:textId="77777777" w:rsidR="00743DAB" w:rsidRDefault="00743DAB">
      <w:pPr>
        <w:pStyle w:val="Body"/>
        <w:rPr>
          <w:rFonts w:ascii="Times New Roman" w:eastAsia="Times New Roman" w:hAnsi="Times New Roman" w:cs="Times New Roman"/>
        </w:rPr>
      </w:pPr>
    </w:p>
    <w:p w14:paraId="34EB2342" w14:textId="77777777" w:rsidR="00743DAB" w:rsidRDefault="00743DAB">
      <w:pPr>
        <w:pStyle w:val="Body"/>
        <w:rPr>
          <w:rFonts w:ascii="Times New Roman" w:eastAsia="Times New Roman" w:hAnsi="Times New Roman" w:cs="Times New Roman"/>
        </w:rPr>
      </w:pPr>
    </w:p>
    <w:p w14:paraId="3BB47737" w14:textId="77777777" w:rsidR="00743DAB" w:rsidRDefault="00743DAB">
      <w:pPr>
        <w:pStyle w:val="Body"/>
        <w:rPr>
          <w:rFonts w:ascii="Times New Roman" w:eastAsia="Times New Roman" w:hAnsi="Times New Roman" w:cs="Times New Roman"/>
          <w:i/>
          <w:iCs/>
        </w:rPr>
      </w:pPr>
    </w:p>
    <w:p w14:paraId="154E4376" w14:textId="77777777" w:rsidR="00743DAB" w:rsidRDefault="000E107A">
      <w:pPr>
        <w:pStyle w:val="Body"/>
        <w:ind w:firstLine="720"/>
      </w:pPr>
      <w:r>
        <w:rPr>
          <w:rFonts w:ascii="Times New Roman"/>
        </w:rPr>
        <w:t xml:space="preserve">The CA-1 FUS course consists of an initial intensive phase, with twice a week, 3-hour hands-on sessions that take place during the first month of CA-1 training (8 total sessions). This initial training is followed by a longitudinal 11-month phase, in which 2-hour hands-on sessions are imparted once every 3 weeks, for a total of 14 training sessions, in addition to 3 remedial sessions (Table 3). </w:t>
      </w:r>
    </w:p>
    <w:p w14:paraId="767ECE78" w14:textId="77777777" w:rsidR="00743DAB" w:rsidRDefault="000E107A">
      <w:pPr>
        <w:pStyle w:val="Body"/>
      </w:pPr>
      <w:r>
        <w:t>Table 3. FUS course schedule</w:t>
      </w:r>
    </w:p>
    <w:p w14:paraId="79C3D22B" w14:textId="77777777" w:rsidR="00743DAB" w:rsidRDefault="000E107A">
      <w:pPr>
        <w:pStyle w:val="Body"/>
        <w:ind w:right="180"/>
      </w:pPr>
      <w:r>
        <w:rPr>
          <w:noProof/>
        </w:rPr>
        <w:drawing>
          <wp:inline distT="0" distB="0" distL="0" distR="0" wp14:anchorId="74C2ED14" wp14:editId="750E15EB">
            <wp:extent cx="5930851" cy="2882900"/>
            <wp:effectExtent l="0" t="0" r="0" b="0"/>
            <wp:docPr id="1073741829" name="officeArt object" descr="Macintosh HD:Users:mariomontealegre:Desktop:Screen Shot 2015-03-02 at 1.48.39 PM.png"/>
            <wp:cNvGraphicFramePr/>
            <a:graphic xmlns:a="http://schemas.openxmlformats.org/drawingml/2006/main">
              <a:graphicData uri="http://schemas.openxmlformats.org/drawingml/2006/picture">
                <pic:pic xmlns:pic="http://schemas.openxmlformats.org/drawingml/2006/picture">
                  <pic:nvPicPr>
                    <pic:cNvPr id="1073741829" name="image5.png" descr="Macintosh HD:Users:mariomontealegre:Desktop:Screen Shot 2015-03-02 at 1.48.39 PM.png"/>
                    <pic:cNvPicPr/>
                  </pic:nvPicPr>
                  <pic:blipFill>
                    <a:blip r:embed="rId11">
                      <a:extLst/>
                    </a:blip>
                    <a:stretch>
                      <a:fillRect/>
                    </a:stretch>
                  </pic:blipFill>
                  <pic:spPr>
                    <a:xfrm>
                      <a:off x="0" y="0"/>
                      <a:ext cx="5930851" cy="2882900"/>
                    </a:xfrm>
                    <a:prstGeom prst="rect">
                      <a:avLst/>
                    </a:prstGeom>
                    <a:ln w="12700" cap="flat">
                      <a:noFill/>
                      <a:miter lim="400000"/>
                    </a:ln>
                    <a:effectLst/>
                  </pic:spPr>
                </pic:pic>
              </a:graphicData>
            </a:graphic>
          </wp:inline>
        </w:drawing>
      </w:r>
    </w:p>
    <w:p w14:paraId="6862B022" w14:textId="77777777" w:rsidR="00743DAB" w:rsidRDefault="00743DAB">
      <w:pPr>
        <w:pStyle w:val="Body"/>
        <w:rPr>
          <w:rFonts w:ascii="Times New Roman" w:eastAsia="Times New Roman" w:hAnsi="Times New Roman" w:cs="Times New Roman"/>
          <w:i/>
          <w:iCs/>
        </w:rPr>
      </w:pPr>
    </w:p>
    <w:p w14:paraId="2D0BF393" w14:textId="77777777" w:rsidR="00743DAB" w:rsidRDefault="000E107A">
      <w:pPr>
        <w:pStyle w:val="Body"/>
        <w:ind w:firstLine="720"/>
      </w:pPr>
      <w:r>
        <w:rPr>
          <w:rFonts w:ascii="Times New Roman"/>
        </w:rPr>
        <w:t>Didactics are largely web-based at anesthesiaeducation.net/</w:t>
      </w:r>
      <w:proofErr w:type="spellStart"/>
      <w:r>
        <w:rPr>
          <w:rFonts w:ascii="Times New Roman"/>
        </w:rPr>
        <w:t>moodle</w:t>
      </w:r>
      <w:proofErr w:type="spellEnd"/>
      <w:r>
        <w:rPr>
          <w:rFonts w:ascii="Times New Roman"/>
        </w:rPr>
        <w:t xml:space="preserve">, with each module being between 10 and 30 minutes in duration. Trainees are expected to view the online module and answer the pre-test before the hands-on session, and answer the post-test questionnaire after completing the hands-on session. </w:t>
      </w:r>
    </w:p>
    <w:p w14:paraId="3E8C2578" w14:textId="77777777" w:rsidR="00743DAB" w:rsidRDefault="00743DAB">
      <w:pPr>
        <w:pStyle w:val="Body"/>
        <w:rPr>
          <w:rFonts w:ascii="Times New Roman" w:eastAsia="Times New Roman" w:hAnsi="Times New Roman" w:cs="Times New Roman"/>
        </w:rPr>
      </w:pPr>
    </w:p>
    <w:p w14:paraId="218648FC" w14:textId="77777777" w:rsidR="00743DAB" w:rsidRDefault="000E107A">
      <w:pPr>
        <w:pStyle w:val="Body"/>
      </w:pPr>
      <w:r>
        <w:t xml:space="preserve">Additionally, department-created electronic </w:t>
      </w:r>
      <w:proofErr w:type="spellStart"/>
      <w:r>
        <w:t>iBooks</w:t>
      </w:r>
      <w:proofErr w:type="spellEnd"/>
      <w:r>
        <w:t>® (Apple Inc., Cupertino, CA) on Ultrasound Physics and Hemodynamics, Ultrasound Guided Regional Anesthesia, TTE, and TEE are available to the trainees for additional review.</w:t>
      </w:r>
    </w:p>
    <w:p w14:paraId="37AA9D9A" w14:textId="77777777" w:rsidR="00743DAB" w:rsidRDefault="00743DAB">
      <w:pPr>
        <w:pStyle w:val="Body"/>
        <w:rPr>
          <w:rFonts w:ascii="Times New Roman" w:eastAsia="Times New Roman" w:hAnsi="Times New Roman" w:cs="Times New Roman"/>
        </w:rPr>
      </w:pPr>
    </w:p>
    <w:p w14:paraId="276CDD4F" w14:textId="77777777" w:rsidR="00743DAB" w:rsidRDefault="000E107A">
      <w:pPr>
        <w:pStyle w:val="Body"/>
        <w:ind w:firstLine="720"/>
      </w:pPr>
      <w:r>
        <w:rPr>
          <w:rFonts w:ascii="Times New Roman"/>
        </w:rPr>
        <w:t xml:space="preserve">Hands-on sessions vary according to the ultrasound modality studied, and include various teaching modalities, such as commercially available simulators, phantom models (commercial and </w:t>
      </w:r>
      <w:r>
        <w:rPr>
          <w:rFonts w:hAnsi="Times New Roman"/>
        </w:rPr>
        <w:t>‘</w:t>
      </w:r>
      <w:r>
        <w:rPr>
          <w:rFonts w:ascii="Times New Roman"/>
        </w:rPr>
        <w:t>home-made</w:t>
      </w:r>
      <w:r>
        <w:rPr>
          <w:rFonts w:hAnsi="Times New Roman"/>
        </w:rPr>
        <w:t>’</w:t>
      </w:r>
      <w:r>
        <w:rPr>
          <w:rFonts w:ascii="Times New Roman"/>
        </w:rPr>
        <w:t xml:space="preserve">), live scanning on human models, and discussion of case scenarios. </w:t>
      </w:r>
    </w:p>
    <w:p w14:paraId="1672FAAA" w14:textId="77777777" w:rsidR="00743DAB" w:rsidRDefault="00743DAB">
      <w:pPr>
        <w:pStyle w:val="Body"/>
        <w:rPr>
          <w:rFonts w:ascii="Times New Roman" w:eastAsia="Times New Roman" w:hAnsi="Times New Roman" w:cs="Times New Roman"/>
          <w:i/>
          <w:iCs/>
        </w:rPr>
      </w:pPr>
    </w:p>
    <w:p w14:paraId="540712DD" w14:textId="77777777" w:rsidR="00743DAB" w:rsidRDefault="000E107A">
      <w:pPr>
        <w:pStyle w:val="Body"/>
        <w:ind w:firstLine="720"/>
      </w:pPr>
      <w:r>
        <w:rPr>
          <w:rFonts w:ascii="Times New Roman"/>
        </w:rPr>
        <w:t>Clinical proficiency is defined as the possession of a cognitive background and psychomotor skills for safe execution of a procedure. Specific to ultrasound, there is also a requirement of understanding of the workflow of an ultrasound exam. For the FUS program, we have defined workflow understanding as a trainee</w:t>
      </w:r>
      <w:r>
        <w:rPr>
          <w:rFonts w:hAnsi="Times New Roman"/>
        </w:rPr>
        <w:t>’</w:t>
      </w:r>
      <w:r>
        <w:rPr>
          <w:rFonts w:ascii="Times New Roman"/>
        </w:rPr>
        <w:t xml:space="preserve">s ability to integrate their cognitive knowledge with the available information to select, prepare and operate the ultrasound equipment most appropriate for the indicated examination. We have included this skill set as a </w:t>
      </w:r>
      <w:r>
        <w:rPr>
          <w:rFonts w:ascii="Times New Roman"/>
        </w:rPr>
        <w:lastRenderedPageBreak/>
        <w:t>component of clinical proficiency (Figure 5). For evaluation of proficiency, cognitive knowl</w:t>
      </w:r>
      <w:bookmarkStart w:id="0" w:name="_GoBack"/>
      <w:bookmarkEnd w:id="0"/>
      <w:r>
        <w:rPr>
          <w:rFonts w:ascii="Times New Roman"/>
        </w:rPr>
        <w:t xml:space="preserve">edge will be tested through multiple-choice exams, workflow understanding with completion of simulated tasks related to the conduct of an ultrasound exam and psychomotor skills with kinematic analyses to objectify progression and individualize training. </w:t>
      </w:r>
    </w:p>
    <w:p w14:paraId="2E6B9096" w14:textId="77777777" w:rsidR="00743DAB" w:rsidRDefault="00743DAB">
      <w:pPr>
        <w:pStyle w:val="Body"/>
      </w:pPr>
    </w:p>
    <w:sectPr w:rsidR="00743DAB">
      <w:headerReference w:type="default" r:id="rId12"/>
      <w:footerReference w:type="default" r:id="rId13"/>
      <w:pgSz w:w="12240" w:h="15840"/>
      <w:pgMar w:top="1440" w:right="1800" w:bottom="1440" w:left="12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900EE" w14:textId="77777777" w:rsidR="00745860" w:rsidRDefault="000E107A">
      <w:r>
        <w:separator/>
      </w:r>
    </w:p>
  </w:endnote>
  <w:endnote w:type="continuationSeparator" w:id="0">
    <w:p w14:paraId="7B548CAF" w14:textId="77777777" w:rsidR="00745860" w:rsidRDefault="000E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EA4A" w14:textId="77777777" w:rsidR="00743DAB" w:rsidRDefault="000E107A">
    <w:pPr>
      <w:pStyle w:val="Footer"/>
      <w:jc w:val="right"/>
    </w:pPr>
    <w:r>
      <w:fldChar w:fldCharType="begin"/>
    </w:r>
    <w:r>
      <w:instrText xml:space="preserve"> PAGE </w:instrText>
    </w:r>
    <w:r>
      <w:fldChar w:fldCharType="separate"/>
    </w:r>
    <w:r w:rsidR="007D6CFE">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BC9BD" w14:textId="77777777" w:rsidR="00745860" w:rsidRDefault="000E107A">
      <w:r>
        <w:separator/>
      </w:r>
    </w:p>
  </w:footnote>
  <w:footnote w:type="continuationSeparator" w:id="0">
    <w:p w14:paraId="6BA018CF" w14:textId="77777777" w:rsidR="00745860" w:rsidRDefault="000E10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81978" w14:textId="77777777" w:rsidR="00743DAB" w:rsidRDefault="00743DA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43DAB"/>
    <w:rsid w:val="000E107A"/>
    <w:rsid w:val="001E691E"/>
    <w:rsid w:val="00743DAB"/>
    <w:rsid w:val="00745860"/>
    <w:rsid w:val="007D6CFE"/>
    <w:rsid w:val="008352BD"/>
    <w:rsid w:val="00A524E7"/>
    <w:rsid w:val="00C848DB"/>
    <w:rsid w:val="00EF6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37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paragraph" w:styleId="BalloonText">
    <w:name w:val="Balloon Text"/>
    <w:basedOn w:val="Normal"/>
    <w:link w:val="BalloonTextChar"/>
    <w:uiPriority w:val="99"/>
    <w:semiHidden/>
    <w:unhideWhenUsed/>
    <w:rsid w:val="000E10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07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paragraph" w:styleId="BalloonText">
    <w:name w:val="Balloon Text"/>
    <w:basedOn w:val="Normal"/>
    <w:link w:val="BalloonTextChar"/>
    <w:uiPriority w:val="99"/>
    <w:semiHidden/>
    <w:unhideWhenUsed/>
    <w:rsid w:val="000E10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07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612</Words>
  <Characters>3492</Characters>
  <Application>Microsoft Macintosh Word</Application>
  <DocSecurity>0</DocSecurity>
  <Lines>29</Lines>
  <Paragraphs>8</Paragraphs>
  <ScaleCrop>false</ScaleCrop>
  <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 Montealegre</cp:lastModifiedBy>
  <cp:revision>8</cp:revision>
  <dcterms:created xsi:type="dcterms:W3CDTF">2015-10-21T15:25:00Z</dcterms:created>
  <dcterms:modified xsi:type="dcterms:W3CDTF">2015-10-21T16:03:00Z</dcterms:modified>
</cp:coreProperties>
</file>