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9C044" w14:textId="140FE53A" w:rsidR="00E14130" w:rsidRPr="00B35FC0" w:rsidRDefault="00335985" w:rsidP="00B35FC0">
      <w:pPr>
        <w:spacing w:line="480" w:lineRule="auto"/>
        <w:contextualSpacing/>
        <w:rPr>
          <w:b/>
        </w:rPr>
      </w:pPr>
      <w:r w:rsidRPr="00B35FC0">
        <w:rPr>
          <w:b/>
        </w:rPr>
        <w:t>Supplemental Digital Content 2</w:t>
      </w:r>
    </w:p>
    <w:p w14:paraId="3671C6A6" w14:textId="77777777" w:rsidR="00E14130" w:rsidRPr="00B35FC0" w:rsidRDefault="00E14130" w:rsidP="00B35FC0">
      <w:pPr>
        <w:spacing w:line="480" w:lineRule="auto"/>
        <w:contextualSpacing/>
        <w:rPr>
          <w:b/>
        </w:rPr>
      </w:pPr>
    </w:p>
    <w:p w14:paraId="7EB8B1C7" w14:textId="74568DFE" w:rsidR="00812F82" w:rsidRPr="00B35FC0" w:rsidRDefault="00812F82" w:rsidP="00B35FC0">
      <w:pPr>
        <w:spacing w:line="480" w:lineRule="auto"/>
        <w:contextualSpacing/>
        <w:rPr>
          <w:b/>
        </w:rPr>
      </w:pPr>
      <w:r w:rsidRPr="00B35FC0">
        <w:rPr>
          <w:b/>
        </w:rPr>
        <w:t xml:space="preserve">Bootstrap method for estimation of </w:t>
      </w:r>
      <w:r w:rsidR="00997CDE" w:rsidRPr="00B35FC0">
        <w:rPr>
          <w:b/>
        </w:rPr>
        <w:t>M</w:t>
      </w:r>
      <w:r w:rsidRPr="00B35FC0">
        <w:rPr>
          <w:b/>
        </w:rPr>
        <w:t>ED50</w:t>
      </w:r>
      <w:r w:rsidR="00997CDE" w:rsidRPr="00B35FC0">
        <w:rPr>
          <w:b/>
          <w:vertAlign w:val="subscript"/>
        </w:rPr>
        <w:t>ECT</w:t>
      </w:r>
      <w:r w:rsidRPr="00B35FC0">
        <w:rPr>
          <w:b/>
        </w:rPr>
        <w:t xml:space="preserve"> confidence intervals (CI) and resampling for evaluating the effect of sample size on estimated confidence limit</w:t>
      </w:r>
    </w:p>
    <w:p w14:paraId="0E89298A" w14:textId="77777777" w:rsidR="00812F82" w:rsidRPr="00B35FC0" w:rsidRDefault="00812F82" w:rsidP="00B35FC0">
      <w:pPr>
        <w:spacing w:line="480" w:lineRule="auto"/>
        <w:contextualSpacing/>
        <w:rPr>
          <w:b/>
        </w:rPr>
      </w:pPr>
    </w:p>
    <w:p w14:paraId="3F0B4B8E" w14:textId="60265F37" w:rsidR="00812F82" w:rsidRPr="00B22F59" w:rsidRDefault="00812F82" w:rsidP="00B35FC0">
      <w:pPr>
        <w:widowControl w:val="0"/>
        <w:autoSpaceDE w:val="0"/>
        <w:autoSpaceDN w:val="0"/>
        <w:adjustRightInd w:val="0"/>
        <w:spacing w:line="480" w:lineRule="auto"/>
        <w:contextualSpacing/>
        <w:rPr>
          <w:color w:val="000000" w:themeColor="text1"/>
        </w:rPr>
      </w:pPr>
      <w:r w:rsidRPr="00B35FC0">
        <w:t xml:space="preserve">The data from of 31 subjects who were evaluated in our randomized crossover trial for application of </w:t>
      </w:r>
      <w:proofErr w:type="spellStart"/>
      <w:r w:rsidRPr="00B35FC0">
        <w:t>rocuronium</w:t>
      </w:r>
      <w:proofErr w:type="spellEnd"/>
      <w:r w:rsidRPr="00B35FC0">
        <w:t xml:space="preserve"> and succinylcholine in ECT were used for analysis. This approach resulted in 31 minimum effective doses of </w:t>
      </w:r>
      <w:proofErr w:type="spellStart"/>
      <w:r w:rsidRPr="00B35FC0">
        <w:t>rocuronium</w:t>
      </w:r>
      <w:proofErr w:type="spellEnd"/>
      <w:r w:rsidRPr="00B35FC0">
        <w:t xml:space="preserve"> and 31 minimum effective doses of succinylcholine resulted in acceptable induced seizures among subjects. Using “boot” package in R statistical software, 10000 bootstrap replications, bias corrected 95%</w:t>
      </w:r>
      <w:r w:rsidR="00433242" w:rsidRPr="00B35FC0">
        <w:t xml:space="preserve"> and 99%</w:t>
      </w:r>
      <w:r w:rsidRPr="00B35FC0">
        <w:t xml:space="preserve"> confidence intervals (CIs) for the median</w:t>
      </w:r>
      <w:r w:rsidR="00067BD3">
        <w:t>s</w:t>
      </w:r>
      <w:r w:rsidRPr="00B35FC0">
        <w:t xml:space="preserve"> of the </w:t>
      </w:r>
      <w:r w:rsidR="00070016" w:rsidRPr="00B35FC0">
        <w:t>minimu</w:t>
      </w:r>
      <w:r w:rsidR="00D341C9">
        <w:t>m</w:t>
      </w:r>
      <w:r w:rsidR="00070016" w:rsidRPr="00B35FC0">
        <w:t xml:space="preserve"> </w:t>
      </w:r>
      <w:r w:rsidRPr="00B35FC0">
        <w:t>effective doses (</w:t>
      </w:r>
      <w:r w:rsidR="00070016" w:rsidRPr="00B35FC0">
        <w:t>M</w:t>
      </w:r>
      <w:r w:rsidRPr="00B35FC0">
        <w:t>ED</w:t>
      </w:r>
      <w:r w:rsidR="00997CDE" w:rsidRPr="00B35FC0">
        <w:t>50</w:t>
      </w:r>
      <w:r w:rsidR="00997CDE" w:rsidRPr="00B35FC0">
        <w:rPr>
          <w:vertAlign w:val="subscript"/>
        </w:rPr>
        <w:t>ECT</w:t>
      </w:r>
      <w:r w:rsidRPr="00B35FC0">
        <w:t xml:space="preserve">) of </w:t>
      </w:r>
      <w:proofErr w:type="spellStart"/>
      <w:r w:rsidRPr="00B35FC0">
        <w:t>rocuronium</w:t>
      </w:r>
      <w:proofErr w:type="spellEnd"/>
      <w:r w:rsidRPr="00B35FC0">
        <w:t xml:space="preserve"> and succinylcholine were esti</w:t>
      </w:r>
      <w:r w:rsidR="00433242" w:rsidRPr="00B35FC0">
        <w:t xml:space="preserve">mated. Similarly, CIs of 90 and </w:t>
      </w:r>
      <w:r w:rsidRPr="00B35FC0">
        <w:t xml:space="preserve">95 percentiles of the </w:t>
      </w:r>
      <w:r w:rsidR="00D341C9">
        <w:t>minimum (</w:t>
      </w:r>
      <w:r w:rsidRPr="00B35FC0">
        <w:t>optimal</w:t>
      </w:r>
      <w:r w:rsidR="00D341C9">
        <w:t>)</w:t>
      </w:r>
      <w:r w:rsidRPr="00B35FC0">
        <w:t xml:space="preserve"> effective doses of </w:t>
      </w:r>
      <w:proofErr w:type="spellStart"/>
      <w:r w:rsidRPr="00B35FC0">
        <w:t>rocuronium</w:t>
      </w:r>
      <w:proofErr w:type="spellEnd"/>
      <w:r w:rsidRPr="00B35FC0">
        <w:t xml:space="preserve"> and succinylcholine were calculated (</w:t>
      </w:r>
      <w:r w:rsidR="00070016" w:rsidRPr="00B22F59">
        <w:rPr>
          <w:color w:val="000000" w:themeColor="text1"/>
        </w:rPr>
        <w:t>M</w:t>
      </w:r>
      <w:r w:rsidRPr="00B22F59">
        <w:rPr>
          <w:color w:val="000000" w:themeColor="text1"/>
        </w:rPr>
        <w:t>ED90</w:t>
      </w:r>
      <w:r w:rsidR="00997CDE" w:rsidRPr="00B22F59">
        <w:rPr>
          <w:color w:val="000000" w:themeColor="text1"/>
          <w:vertAlign w:val="subscript"/>
        </w:rPr>
        <w:t>ECT</w:t>
      </w:r>
      <w:r w:rsidRPr="00B22F59">
        <w:rPr>
          <w:color w:val="000000" w:themeColor="text1"/>
        </w:rPr>
        <w:t xml:space="preserve"> and </w:t>
      </w:r>
      <w:r w:rsidR="00070016" w:rsidRPr="00B22F59">
        <w:rPr>
          <w:color w:val="000000" w:themeColor="text1"/>
        </w:rPr>
        <w:t>M</w:t>
      </w:r>
      <w:r w:rsidRPr="00B22F59">
        <w:rPr>
          <w:color w:val="000000" w:themeColor="text1"/>
        </w:rPr>
        <w:t>ED95</w:t>
      </w:r>
      <w:r w:rsidR="00997CDE" w:rsidRPr="00B22F59">
        <w:rPr>
          <w:color w:val="000000" w:themeColor="text1"/>
          <w:vertAlign w:val="subscript"/>
        </w:rPr>
        <w:t>ECT</w:t>
      </w:r>
      <w:r w:rsidRPr="00B22F59">
        <w:rPr>
          <w:color w:val="000000" w:themeColor="text1"/>
        </w:rPr>
        <w:t>).</w:t>
      </w:r>
    </w:p>
    <w:p w14:paraId="2F5E57CF" w14:textId="77777777" w:rsidR="00812F82" w:rsidRPr="00B35FC0" w:rsidRDefault="00812F82" w:rsidP="00B35FC0">
      <w:pPr>
        <w:widowControl w:val="0"/>
        <w:autoSpaceDE w:val="0"/>
        <w:autoSpaceDN w:val="0"/>
        <w:adjustRightInd w:val="0"/>
        <w:spacing w:line="480" w:lineRule="auto"/>
        <w:contextualSpacing/>
      </w:pPr>
    </w:p>
    <w:p w14:paraId="515B7624" w14:textId="3B1FBB30" w:rsidR="00812F82" w:rsidRPr="00B35FC0" w:rsidRDefault="00812F82" w:rsidP="00B35FC0">
      <w:pPr>
        <w:widowControl w:val="0"/>
        <w:autoSpaceDE w:val="0"/>
        <w:autoSpaceDN w:val="0"/>
        <w:adjustRightInd w:val="0"/>
        <w:spacing w:line="480" w:lineRule="auto"/>
        <w:contextualSpacing/>
      </w:pPr>
      <w:r w:rsidRPr="00B35FC0">
        <w:t>To confirm that 31 subjects were sufficient to obtain reasonable 95%</w:t>
      </w:r>
      <w:r w:rsidR="002F6568" w:rsidRPr="00B35FC0">
        <w:t xml:space="preserve"> and 99%</w:t>
      </w:r>
      <w:r w:rsidRPr="00B35FC0">
        <w:t xml:space="preserve"> confidence limits of </w:t>
      </w:r>
      <w:r w:rsidR="00D341C9">
        <w:t>minimum</w:t>
      </w:r>
      <w:r w:rsidRPr="00B35FC0">
        <w:t xml:space="preserve"> effective doses of succinylcholine and </w:t>
      </w:r>
      <w:proofErr w:type="spellStart"/>
      <w:r w:rsidRPr="00B35FC0">
        <w:t>rocuronium</w:t>
      </w:r>
      <w:proofErr w:type="spellEnd"/>
      <w:r w:rsidRPr="00B35FC0">
        <w:t>, 10, 15, 20, 25</w:t>
      </w:r>
      <w:r w:rsidR="00C77A5E" w:rsidRPr="00B35FC0">
        <w:t xml:space="preserve"> and 30</w:t>
      </w:r>
      <w:r w:rsidRPr="00B35FC0">
        <w:t xml:space="preserve"> subjects were separately resampled from the optimal effective doses. The above bootstrap technique with 10000 replications was performed in each one of the new datasets and 95% </w:t>
      </w:r>
      <w:r w:rsidR="002F6568" w:rsidRPr="00B35FC0">
        <w:t>and 99%</w:t>
      </w:r>
      <w:r w:rsidRPr="00B35FC0">
        <w:t xml:space="preserve">confidence limits for the estimates of the </w:t>
      </w:r>
      <w:r w:rsidR="00070016" w:rsidRPr="00B35FC0">
        <w:t>M</w:t>
      </w:r>
      <w:r w:rsidRPr="00B35FC0">
        <w:t>ED50</w:t>
      </w:r>
      <w:r w:rsidR="008F1EDF" w:rsidRPr="00B35FC0">
        <w:rPr>
          <w:vertAlign w:val="subscript"/>
        </w:rPr>
        <w:t>ECT</w:t>
      </w:r>
      <w:r w:rsidRPr="00B35FC0">
        <w:t xml:space="preserve"> of each dataset were obtained. The results for the effects of sample sizes are shown below: </w:t>
      </w:r>
    </w:p>
    <w:p w14:paraId="3CD02A08" w14:textId="77777777" w:rsidR="00812F82" w:rsidRPr="00B35FC0" w:rsidRDefault="00812F82" w:rsidP="00B35FC0">
      <w:pPr>
        <w:widowControl w:val="0"/>
        <w:autoSpaceDE w:val="0"/>
        <w:autoSpaceDN w:val="0"/>
        <w:adjustRightInd w:val="0"/>
        <w:spacing w:line="480" w:lineRule="auto"/>
        <w:contextualSpacing/>
      </w:pPr>
    </w:p>
    <w:p w14:paraId="18E93E6A" w14:textId="77777777" w:rsidR="00812F82" w:rsidRPr="00B35FC0" w:rsidRDefault="00812F82" w:rsidP="00B35FC0">
      <w:pPr>
        <w:spacing w:line="480" w:lineRule="auto"/>
        <w:contextualSpacing/>
      </w:pPr>
    </w:p>
    <w:tbl>
      <w:tblPr>
        <w:tblStyle w:val="TableGrid"/>
        <w:tblW w:w="9221" w:type="dxa"/>
        <w:tblLayout w:type="fixed"/>
        <w:tblLook w:val="04A0" w:firstRow="1" w:lastRow="0" w:firstColumn="1" w:lastColumn="0" w:noHBand="0" w:noVBand="1"/>
      </w:tblPr>
      <w:tblGrid>
        <w:gridCol w:w="2628"/>
        <w:gridCol w:w="1260"/>
        <w:gridCol w:w="1080"/>
        <w:gridCol w:w="900"/>
        <w:gridCol w:w="1009"/>
        <w:gridCol w:w="1172"/>
        <w:gridCol w:w="1172"/>
      </w:tblGrid>
      <w:tr w:rsidR="00F9053A" w:rsidRPr="00B35FC0" w14:paraId="20EB263A" w14:textId="77777777" w:rsidTr="00B22F59">
        <w:tc>
          <w:tcPr>
            <w:tcW w:w="2628" w:type="dxa"/>
          </w:tcPr>
          <w:p w14:paraId="37B137AD" w14:textId="56B5B9BE" w:rsidR="00812F82" w:rsidRPr="00B35FC0" w:rsidRDefault="00F9053A" w:rsidP="00B35FC0">
            <w:pPr>
              <w:spacing w:line="480" w:lineRule="auto"/>
              <w:contextualSpacing/>
              <w:rPr>
                <w:b/>
              </w:rPr>
            </w:pPr>
            <w:r w:rsidRPr="00B35FC0">
              <w:rPr>
                <w:b/>
              </w:rPr>
              <w:lastRenderedPageBreak/>
              <w:t xml:space="preserve">NMBA </w:t>
            </w:r>
          </w:p>
        </w:tc>
        <w:tc>
          <w:tcPr>
            <w:tcW w:w="1260" w:type="dxa"/>
          </w:tcPr>
          <w:p w14:paraId="24B1B121" w14:textId="6C29977F" w:rsidR="00812F82" w:rsidRPr="00B35FC0" w:rsidRDefault="00F9053A" w:rsidP="00B35FC0">
            <w:pPr>
              <w:spacing w:line="480" w:lineRule="auto"/>
              <w:contextualSpacing/>
              <w:jc w:val="center"/>
              <w:rPr>
                <w:b/>
              </w:rPr>
            </w:pPr>
            <w:r w:rsidRPr="00B35FC0">
              <w:rPr>
                <w:b/>
              </w:rPr>
              <w:t>Percentile</w:t>
            </w:r>
          </w:p>
        </w:tc>
        <w:tc>
          <w:tcPr>
            <w:tcW w:w="5333" w:type="dxa"/>
            <w:gridSpan w:val="5"/>
          </w:tcPr>
          <w:p w14:paraId="4FE50B31" w14:textId="77777777" w:rsidR="00812F82" w:rsidRPr="00B35FC0" w:rsidRDefault="00812F82" w:rsidP="00B35FC0">
            <w:pPr>
              <w:spacing w:line="480" w:lineRule="auto"/>
              <w:contextualSpacing/>
              <w:jc w:val="center"/>
              <w:rPr>
                <w:b/>
              </w:rPr>
            </w:pPr>
            <w:r w:rsidRPr="00B35FC0">
              <w:rPr>
                <w:b/>
              </w:rPr>
              <w:t>Number of subjects</w:t>
            </w:r>
          </w:p>
        </w:tc>
      </w:tr>
      <w:tr w:rsidR="00F9053A" w:rsidRPr="00B35FC0" w14:paraId="34FF52D9" w14:textId="77777777" w:rsidTr="00B22F59">
        <w:tc>
          <w:tcPr>
            <w:tcW w:w="2628" w:type="dxa"/>
          </w:tcPr>
          <w:p w14:paraId="78264739" w14:textId="2CDB0799" w:rsidR="00F9053A" w:rsidRPr="00B35FC0" w:rsidRDefault="00EC1626" w:rsidP="00B35FC0">
            <w:pPr>
              <w:spacing w:line="480" w:lineRule="auto"/>
              <w:contextualSpacing/>
              <w:rPr>
                <w:i/>
              </w:rPr>
            </w:pPr>
            <w:r w:rsidRPr="00B35FC0">
              <w:rPr>
                <w:i/>
              </w:rPr>
              <w:t>Succinylcholine M</w:t>
            </w:r>
            <w:r w:rsidR="00F9053A" w:rsidRPr="00B35FC0">
              <w:rPr>
                <w:i/>
              </w:rPr>
              <w:t>ED50</w:t>
            </w:r>
            <w:r w:rsidR="008F1EDF" w:rsidRPr="00B35FC0">
              <w:rPr>
                <w:i/>
                <w:vertAlign w:val="subscript"/>
              </w:rPr>
              <w:t>ECT</w:t>
            </w:r>
          </w:p>
        </w:tc>
        <w:tc>
          <w:tcPr>
            <w:tcW w:w="1260" w:type="dxa"/>
          </w:tcPr>
          <w:p w14:paraId="6F8752D6" w14:textId="1FC1E2E1" w:rsidR="00F9053A" w:rsidRPr="00B35FC0" w:rsidRDefault="00F9053A" w:rsidP="00B22F59">
            <w:pPr>
              <w:spacing w:line="480" w:lineRule="auto"/>
              <w:contextualSpacing/>
              <w:jc w:val="center"/>
            </w:pPr>
          </w:p>
        </w:tc>
        <w:tc>
          <w:tcPr>
            <w:tcW w:w="1080" w:type="dxa"/>
          </w:tcPr>
          <w:p w14:paraId="3581C2C5" w14:textId="77777777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10</w:t>
            </w:r>
          </w:p>
        </w:tc>
        <w:tc>
          <w:tcPr>
            <w:tcW w:w="900" w:type="dxa"/>
          </w:tcPr>
          <w:p w14:paraId="4E19D01D" w14:textId="77777777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15</w:t>
            </w:r>
          </w:p>
        </w:tc>
        <w:tc>
          <w:tcPr>
            <w:tcW w:w="1009" w:type="dxa"/>
          </w:tcPr>
          <w:p w14:paraId="4F51CC7D" w14:textId="77777777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20</w:t>
            </w:r>
          </w:p>
        </w:tc>
        <w:tc>
          <w:tcPr>
            <w:tcW w:w="1172" w:type="dxa"/>
          </w:tcPr>
          <w:p w14:paraId="101EBD17" w14:textId="77777777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25</w:t>
            </w:r>
          </w:p>
        </w:tc>
        <w:tc>
          <w:tcPr>
            <w:tcW w:w="1172" w:type="dxa"/>
          </w:tcPr>
          <w:p w14:paraId="0648E17E" w14:textId="5948BA1D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30</w:t>
            </w:r>
          </w:p>
        </w:tc>
      </w:tr>
      <w:tr w:rsidR="00F9053A" w:rsidRPr="00B35FC0" w14:paraId="206CC54F" w14:textId="77777777" w:rsidTr="00B22F59">
        <w:tc>
          <w:tcPr>
            <w:tcW w:w="2628" w:type="dxa"/>
          </w:tcPr>
          <w:p w14:paraId="0E8E3182" w14:textId="77777777" w:rsidR="00F9053A" w:rsidRPr="00B35FC0" w:rsidRDefault="00F9053A" w:rsidP="00B35FC0">
            <w:pPr>
              <w:spacing w:line="480" w:lineRule="auto"/>
              <w:contextualSpacing/>
            </w:pPr>
          </w:p>
        </w:tc>
        <w:tc>
          <w:tcPr>
            <w:tcW w:w="1260" w:type="dxa"/>
          </w:tcPr>
          <w:p w14:paraId="000DFD81" w14:textId="728985BD" w:rsidR="00F9053A" w:rsidRPr="00B35FC0" w:rsidRDefault="00F9053A" w:rsidP="00B22F59">
            <w:pPr>
              <w:spacing w:line="480" w:lineRule="auto"/>
              <w:contextualSpacing/>
              <w:jc w:val="center"/>
            </w:pPr>
            <w:r w:rsidRPr="00B35FC0">
              <w:t>0.1</w:t>
            </w:r>
            <w:bookmarkStart w:id="0" w:name="_GoBack"/>
            <w:bookmarkEnd w:id="0"/>
          </w:p>
        </w:tc>
        <w:tc>
          <w:tcPr>
            <w:tcW w:w="1080" w:type="dxa"/>
          </w:tcPr>
          <w:p w14:paraId="33C2F6F6" w14:textId="20DC9E65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0.6117</w:t>
            </w:r>
          </w:p>
        </w:tc>
        <w:tc>
          <w:tcPr>
            <w:tcW w:w="900" w:type="dxa"/>
          </w:tcPr>
          <w:p w14:paraId="5988FE94" w14:textId="4AB5508C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0.7146</w:t>
            </w:r>
          </w:p>
        </w:tc>
        <w:tc>
          <w:tcPr>
            <w:tcW w:w="1009" w:type="dxa"/>
          </w:tcPr>
          <w:p w14:paraId="779B589E" w14:textId="28DFEC1E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0.6991</w:t>
            </w:r>
          </w:p>
        </w:tc>
        <w:tc>
          <w:tcPr>
            <w:tcW w:w="1172" w:type="dxa"/>
          </w:tcPr>
          <w:p w14:paraId="1DA391F9" w14:textId="31720BE6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0.6991</w:t>
            </w:r>
          </w:p>
        </w:tc>
        <w:tc>
          <w:tcPr>
            <w:tcW w:w="1172" w:type="dxa"/>
          </w:tcPr>
          <w:p w14:paraId="2723B894" w14:textId="7F3F3797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0.7246</w:t>
            </w:r>
          </w:p>
        </w:tc>
      </w:tr>
      <w:tr w:rsidR="00F9053A" w:rsidRPr="00B35FC0" w14:paraId="3FAEDB4E" w14:textId="77777777" w:rsidTr="00B22F59">
        <w:tc>
          <w:tcPr>
            <w:tcW w:w="2628" w:type="dxa"/>
          </w:tcPr>
          <w:p w14:paraId="421A31E3" w14:textId="146205C7" w:rsidR="00F9053A" w:rsidRPr="00B35FC0" w:rsidRDefault="00F9053A" w:rsidP="00B35FC0">
            <w:pPr>
              <w:spacing w:line="480" w:lineRule="auto"/>
              <w:contextualSpacing/>
            </w:pPr>
          </w:p>
        </w:tc>
        <w:tc>
          <w:tcPr>
            <w:tcW w:w="1260" w:type="dxa"/>
          </w:tcPr>
          <w:p w14:paraId="01F8B041" w14:textId="77777777" w:rsidR="00F9053A" w:rsidRPr="00B35FC0" w:rsidRDefault="00F9053A" w:rsidP="00B22F59">
            <w:pPr>
              <w:spacing w:line="480" w:lineRule="auto"/>
              <w:contextualSpacing/>
              <w:jc w:val="center"/>
            </w:pPr>
            <w:r w:rsidRPr="00B35FC0">
              <w:t>5</w:t>
            </w:r>
          </w:p>
        </w:tc>
        <w:tc>
          <w:tcPr>
            <w:tcW w:w="1080" w:type="dxa"/>
          </w:tcPr>
          <w:p w14:paraId="3C8E5879" w14:textId="675734AF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0.6305</w:t>
            </w:r>
          </w:p>
        </w:tc>
        <w:tc>
          <w:tcPr>
            <w:tcW w:w="900" w:type="dxa"/>
          </w:tcPr>
          <w:p w14:paraId="3BE4EFE7" w14:textId="35EAE1A8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0.7042</w:t>
            </w:r>
          </w:p>
        </w:tc>
        <w:tc>
          <w:tcPr>
            <w:tcW w:w="1009" w:type="dxa"/>
          </w:tcPr>
          <w:p w14:paraId="58D44882" w14:textId="2141AF1D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0.7135</w:t>
            </w:r>
          </w:p>
        </w:tc>
        <w:tc>
          <w:tcPr>
            <w:tcW w:w="1172" w:type="dxa"/>
          </w:tcPr>
          <w:p w14:paraId="62EE8A07" w14:textId="3F5B0AC1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0.7163</w:t>
            </w:r>
          </w:p>
        </w:tc>
        <w:tc>
          <w:tcPr>
            <w:tcW w:w="1172" w:type="dxa"/>
          </w:tcPr>
          <w:p w14:paraId="74321079" w14:textId="14923FC1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0.7392</w:t>
            </w:r>
          </w:p>
        </w:tc>
      </w:tr>
      <w:tr w:rsidR="00F9053A" w:rsidRPr="00B35FC0" w14:paraId="4E1639CB" w14:textId="77777777" w:rsidTr="00B22F59">
        <w:tc>
          <w:tcPr>
            <w:tcW w:w="2628" w:type="dxa"/>
          </w:tcPr>
          <w:p w14:paraId="32202829" w14:textId="77777777" w:rsidR="00F9053A" w:rsidRPr="00B35FC0" w:rsidRDefault="00F9053A" w:rsidP="00B35FC0">
            <w:pPr>
              <w:spacing w:line="480" w:lineRule="auto"/>
              <w:contextualSpacing/>
            </w:pPr>
          </w:p>
        </w:tc>
        <w:tc>
          <w:tcPr>
            <w:tcW w:w="1260" w:type="dxa"/>
          </w:tcPr>
          <w:p w14:paraId="16B18B28" w14:textId="77777777" w:rsidR="00F9053A" w:rsidRPr="00B35FC0" w:rsidRDefault="00F9053A" w:rsidP="00B22F59">
            <w:pPr>
              <w:spacing w:line="480" w:lineRule="auto"/>
              <w:contextualSpacing/>
              <w:jc w:val="center"/>
            </w:pPr>
            <w:r w:rsidRPr="00B35FC0">
              <w:t>95</w:t>
            </w:r>
          </w:p>
        </w:tc>
        <w:tc>
          <w:tcPr>
            <w:tcW w:w="1080" w:type="dxa"/>
          </w:tcPr>
          <w:p w14:paraId="34344457" w14:textId="44AF6671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1.0195</w:t>
            </w:r>
          </w:p>
        </w:tc>
        <w:tc>
          <w:tcPr>
            <w:tcW w:w="900" w:type="dxa"/>
          </w:tcPr>
          <w:p w14:paraId="542E8A08" w14:textId="7E497AB6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1.0213</w:t>
            </w:r>
          </w:p>
        </w:tc>
        <w:tc>
          <w:tcPr>
            <w:tcW w:w="1009" w:type="dxa"/>
          </w:tcPr>
          <w:p w14:paraId="1872393D" w14:textId="6E692959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0.9504</w:t>
            </w:r>
          </w:p>
        </w:tc>
        <w:tc>
          <w:tcPr>
            <w:tcW w:w="1172" w:type="dxa"/>
          </w:tcPr>
          <w:p w14:paraId="710A94F3" w14:textId="0DBD39FC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0.9467</w:t>
            </w:r>
          </w:p>
        </w:tc>
        <w:tc>
          <w:tcPr>
            <w:tcW w:w="1172" w:type="dxa"/>
          </w:tcPr>
          <w:p w14:paraId="3E012C88" w14:textId="0032A842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0.9071</w:t>
            </w:r>
          </w:p>
        </w:tc>
      </w:tr>
      <w:tr w:rsidR="00F9053A" w:rsidRPr="00B35FC0" w14:paraId="3EA2F8EE" w14:textId="77777777" w:rsidTr="00B22F59">
        <w:tc>
          <w:tcPr>
            <w:tcW w:w="2628" w:type="dxa"/>
          </w:tcPr>
          <w:p w14:paraId="400573BE" w14:textId="77777777" w:rsidR="00F9053A" w:rsidRPr="00B35FC0" w:rsidRDefault="00F9053A" w:rsidP="00B35FC0">
            <w:pPr>
              <w:spacing w:line="480" w:lineRule="auto"/>
              <w:contextualSpacing/>
            </w:pPr>
          </w:p>
        </w:tc>
        <w:tc>
          <w:tcPr>
            <w:tcW w:w="1260" w:type="dxa"/>
          </w:tcPr>
          <w:p w14:paraId="2C362687" w14:textId="74A5D757" w:rsidR="00F9053A" w:rsidRPr="00B35FC0" w:rsidRDefault="00F9053A" w:rsidP="00B22F59">
            <w:pPr>
              <w:spacing w:line="480" w:lineRule="auto"/>
              <w:contextualSpacing/>
              <w:jc w:val="center"/>
            </w:pPr>
            <w:r w:rsidRPr="00B35FC0">
              <w:t>0.99</w:t>
            </w:r>
          </w:p>
        </w:tc>
        <w:tc>
          <w:tcPr>
            <w:tcW w:w="1080" w:type="dxa"/>
          </w:tcPr>
          <w:p w14:paraId="3470CF1A" w14:textId="1943081D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1.0823</w:t>
            </w:r>
          </w:p>
        </w:tc>
        <w:tc>
          <w:tcPr>
            <w:tcW w:w="900" w:type="dxa"/>
          </w:tcPr>
          <w:p w14:paraId="66C5EBEA" w14:textId="3B9AFC67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1.0195</w:t>
            </w:r>
          </w:p>
        </w:tc>
        <w:tc>
          <w:tcPr>
            <w:tcW w:w="1009" w:type="dxa"/>
          </w:tcPr>
          <w:p w14:paraId="51F8572F" w14:textId="43D1DA47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1.0305</w:t>
            </w:r>
          </w:p>
        </w:tc>
        <w:tc>
          <w:tcPr>
            <w:tcW w:w="1172" w:type="dxa"/>
          </w:tcPr>
          <w:p w14:paraId="3F35847C" w14:textId="64AFADFB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1.0414</w:t>
            </w:r>
          </w:p>
        </w:tc>
        <w:tc>
          <w:tcPr>
            <w:tcW w:w="1172" w:type="dxa"/>
          </w:tcPr>
          <w:p w14:paraId="03285DCB" w14:textId="42B26E5E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0.9553</w:t>
            </w:r>
          </w:p>
        </w:tc>
      </w:tr>
      <w:tr w:rsidR="00F9053A" w:rsidRPr="00B35FC0" w14:paraId="4FA07FED" w14:textId="77777777" w:rsidTr="00B22F59">
        <w:tc>
          <w:tcPr>
            <w:tcW w:w="2628" w:type="dxa"/>
          </w:tcPr>
          <w:p w14:paraId="123D9113" w14:textId="77777777" w:rsidR="00D341C9" w:rsidRDefault="00EC1626" w:rsidP="00B35FC0">
            <w:pPr>
              <w:spacing w:line="480" w:lineRule="auto"/>
              <w:contextualSpacing/>
              <w:rPr>
                <w:i/>
              </w:rPr>
            </w:pPr>
            <w:proofErr w:type="spellStart"/>
            <w:r w:rsidRPr="00B35FC0">
              <w:rPr>
                <w:i/>
              </w:rPr>
              <w:t>Rocuronium</w:t>
            </w:r>
            <w:proofErr w:type="spellEnd"/>
          </w:p>
          <w:p w14:paraId="3C0E849B" w14:textId="5EF32E83" w:rsidR="00F9053A" w:rsidRPr="00B35FC0" w:rsidRDefault="00EC1626" w:rsidP="00B35FC0">
            <w:pPr>
              <w:spacing w:line="480" w:lineRule="auto"/>
              <w:contextualSpacing/>
              <w:rPr>
                <w:i/>
              </w:rPr>
            </w:pPr>
            <w:r w:rsidRPr="00B35FC0">
              <w:rPr>
                <w:i/>
              </w:rPr>
              <w:t xml:space="preserve"> M</w:t>
            </w:r>
            <w:r w:rsidR="00F9053A" w:rsidRPr="00B35FC0">
              <w:rPr>
                <w:i/>
              </w:rPr>
              <w:t>ED50</w:t>
            </w:r>
            <w:r w:rsidR="008F1EDF" w:rsidRPr="00B35FC0">
              <w:rPr>
                <w:i/>
                <w:vertAlign w:val="subscript"/>
              </w:rPr>
              <w:t>ECT</w:t>
            </w:r>
          </w:p>
        </w:tc>
        <w:tc>
          <w:tcPr>
            <w:tcW w:w="1260" w:type="dxa"/>
          </w:tcPr>
          <w:p w14:paraId="14020DEC" w14:textId="119D6281" w:rsidR="00F9053A" w:rsidRPr="00B35FC0" w:rsidRDefault="00F9053A" w:rsidP="00B22F59">
            <w:pPr>
              <w:spacing w:line="480" w:lineRule="auto"/>
              <w:contextualSpacing/>
              <w:jc w:val="center"/>
            </w:pPr>
          </w:p>
        </w:tc>
        <w:tc>
          <w:tcPr>
            <w:tcW w:w="1080" w:type="dxa"/>
          </w:tcPr>
          <w:p w14:paraId="2DDCC185" w14:textId="66DA5DD6" w:rsidR="00F9053A" w:rsidRPr="00B35FC0" w:rsidRDefault="00F9053A" w:rsidP="00A50B1A">
            <w:pPr>
              <w:spacing w:line="480" w:lineRule="auto"/>
              <w:contextualSpacing/>
              <w:jc w:val="center"/>
            </w:pPr>
          </w:p>
        </w:tc>
        <w:tc>
          <w:tcPr>
            <w:tcW w:w="900" w:type="dxa"/>
          </w:tcPr>
          <w:p w14:paraId="08F8DA4B" w14:textId="624EC60A" w:rsidR="00F9053A" w:rsidRPr="00B35FC0" w:rsidRDefault="00F9053A" w:rsidP="00A50B1A">
            <w:pPr>
              <w:spacing w:line="480" w:lineRule="auto"/>
              <w:contextualSpacing/>
              <w:jc w:val="center"/>
            </w:pPr>
          </w:p>
        </w:tc>
        <w:tc>
          <w:tcPr>
            <w:tcW w:w="1009" w:type="dxa"/>
          </w:tcPr>
          <w:p w14:paraId="4DDB33F4" w14:textId="03104BAC" w:rsidR="00F9053A" w:rsidRPr="00B35FC0" w:rsidRDefault="00F9053A" w:rsidP="00A50B1A">
            <w:pPr>
              <w:spacing w:line="480" w:lineRule="auto"/>
              <w:contextualSpacing/>
              <w:jc w:val="center"/>
            </w:pPr>
          </w:p>
        </w:tc>
        <w:tc>
          <w:tcPr>
            <w:tcW w:w="1172" w:type="dxa"/>
          </w:tcPr>
          <w:p w14:paraId="6D650722" w14:textId="2333B764" w:rsidR="00F9053A" w:rsidRPr="00B35FC0" w:rsidRDefault="00F9053A" w:rsidP="00A50B1A">
            <w:pPr>
              <w:spacing w:line="480" w:lineRule="auto"/>
              <w:contextualSpacing/>
              <w:jc w:val="center"/>
            </w:pPr>
          </w:p>
        </w:tc>
        <w:tc>
          <w:tcPr>
            <w:tcW w:w="1172" w:type="dxa"/>
          </w:tcPr>
          <w:p w14:paraId="57CF87FB" w14:textId="120F29C3" w:rsidR="00F9053A" w:rsidRPr="00B35FC0" w:rsidRDefault="00F9053A" w:rsidP="00A50B1A">
            <w:pPr>
              <w:spacing w:line="480" w:lineRule="auto"/>
              <w:contextualSpacing/>
              <w:jc w:val="center"/>
            </w:pPr>
          </w:p>
        </w:tc>
      </w:tr>
      <w:tr w:rsidR="00F9053A" w:rsidRPr="00B35FC0" w14:paraId="6DD9DE37" w14:textId="77777777" w:rsidTr="00B22F59">
        <w:tc>
          <w:tcPr>
            <w:tcW w:w="2628" w:type="dxa"/>
          </w:tcPr>
          <w:p w14:paraId="44D216BD" w14:textId="77777777" w:rsidR="00F9053A" w:rsidRPr="00B35FC0" w:rsidRDefault="00F9053A" w:rsidP="00B35FC0">
            <w:pPr>
              <w:spacing w:line="480" w:lineRule="auto"/>
              <w:contextualSpacing/>
            </w:pPr>
          </w:p>
        </w:tc>
        <w:tc>
          <w:tcPr>
            <w:tcW w:w="1260" w:type="dxa"/>
          </w:tcPr>
          <w:p w14:paraId="4ABF227B" w14:textId="092805D3" w:rsidR="00F9053A" w:rsidRPr="00B35FC0" w:rsidRDefault="00F9053A" w:rsidP="00B22F59">
            <w:pPr>
              <w:spacing w:line="480" w:lineRule="auto"/>
              <w:contextualSpacing/>
              <w:jc w:val="center"/>
            </w:pPr>
            <w:r w:rsidRPr="00B35FC0">
              <w:t>0.1</w:t>
            </w:r>
          </w:p>
        </w:tc>
        <w:tc>
          <w:tcPr>
            <w:tcW w:w="1080" w:type="dxa"/>
          </w:tcPr>
          <w:p w14:paraId="219AB003" w14:textId="5F741BC9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0.3169</w:t>
            </w:r>
          </w:p>
        </w:tc>
        <w:tc>
          <w:tcPr>
            <w:tcW w:w="900" w:type="dxa"/>
          </w:tcPr>
          <w:p w14:paraId="465F2913" w14:textId="045AC757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0.3660</w:t>
            </w:r>
          </w:p>
        </w:tc>
        <w:tc>
          <w:tcPr>
            <w:tcW w:w="1009" w:type="dxa"/>
          </w:tcPr>
          <w:p w14:paraId="4BB78A67" w14:textId="299DF580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0.3572</w:t>
            </w:r>
          </w:p>
        </w:tc>
        <w:tc>
          <w:tcPr>
            <w:tcW w:w="1172" w:type="dxa"/>
          </w:tcPr>
          <w:p w14:paraId="5B457CB7" w14:textId="2BDFFF60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0.3489</w:t>
            </w:r>
          </w:p>
        </w:tc>
        <w:tc>
          <w:tcPr>
            <w:tcW w:w="1172" w:type="dxa"/>
          </w:tcPr>
          <w:p w14:paraId="13CE5685" w14:textId="4B54D17A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0.3660</w:t>
            </w:r>
          </w:p>
        </w:tc>
      </w:tr>
      <w:tr w:rsidR="00F9053A" w:rsidRPr="00B35FC0" w14:paraId="5ADE302C" w14:textId="77777777" w:rsidTr="00B22F59">
        <w:tc>
          <w:tcPr>
            <w:tcW w:w="2628" w:type="dxa"/>
          </w:tcPr>
          <w:p w14:paraId="45B3F929" w14:textId="7847861E" w:rsidR="00F9053A" w:rsidRPr="00B35FC0" w:rsidRDefault="00F9053A" w:rsidP="00B35FC0">
            <w:pPr>
              <w:spacing w:line="480" w:lineRule="auto"/>
              <w:contextualSpacing/>
            </w:pPr>
          </w:p>
        </w:tc>
        <w:tc>
          <w:tcPr>
            <w:tcW w:w="1260" w:type="dxa"/>
          </w:tcPr>
          <w:p w14:paraId="246A80A0" w14:textId="09F89B39" w:rsidR="00F9053A" w:rsidRPr="00B35FC0" w:rsidRDefault="00F9053A" w:rsidP="00B22F59">
            <w:pPr>
              <w:spacing w:line="480" w:lineRule="auto"/>
              <w:contextualSpacing/>
              <w:jc w:val="center"/>
            </w:pPr>
            <w:r w:rsidRPr="00B35FC0">
              <w:t>5</w:t>
            </w:r>
          </w:p>
        </w:tc>
        <w:tc>
          <w:tcPr>
            <w:tcW w:w="1080" w:type="dxa"/>
          </w:tcPr>
          <w:p w14:paraId="24D52EBA" w14:textId="216789F7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0.3329</w:t>
            </w:r>
          </w:p>
        </w:tc>
        <w:tc>
          <w:tcPr>
            <w:tcW w:w="900" w:type="dxa"/>
          </w:tcPr>
          <w:p w14:paraId="216E5CAE" w14:textId="1C247B4F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0.3731</w:t>
            </w:r>
          </w:p>
        </w:tc>
        <w:tc>
          <w:tcPr>
            <w:tcW w:w="1009" w:type="dxa"/>
          </w:tcPr>
          <w:p w14:paraId="21E64126" w14:textId="3E9B507A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0.3725</w:t>
            </w:r>
          </w:p>
        </w:tc>
        <w:tc>
          <w:tcPr>
            <w:tcW w:w="1172" w:type="dxa"/>
          </w:tcPr>
          <w:p w14:paraId="195E22A7" w14:textId="676B3CCC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0.3674</w:t>
            </w:r>
          </w:p>
        </w:tc>
        <w:tc>
          <w:tcPr>
            <w:tcW w:w="1172" w:type="dxa"/>
          </w:tcPr>
          <w:p w14:paraId="4B641DF5" w14:textId="18084E34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0.3877</w:t>
            </w:r>
          </w:p>
        </w:tc>
      </w:tr>
      <w:tr w:rsidR="00F9053A" w:rsidRPr="00B35FC0" w14:paraId="79C2C505" w14:textId="77777777" w:rsidTr="00B22F59">
        <w:tc>
          <w:tcPr>
            <w:tcW w:w="2628" w:type="dxa"/>
          </w:tcPr>
          <w:p w14:paraId="18EADE9B" w14:textId="11ACF08B" w:rsidR="00F9053A" w:rsidRPr="00B35FC0" w:rsidRDefault="00F9053A" w:rsidP="00B35FC0">
            <w:pPr>
              <w:spacing w:line="480" w:lineRule="auto"/>
              <w:contextualSpacing/>
            </w:pPr>
          </w:p>
        </w:tc>
        <w:tc>
          <w:tcPr>
            <w:tcW w:w="1260" w:type="dxa"/>
          </w:tcPr>
          <w:p w14:paraId="056A92E4" w14:textId="0EDE3792" w:rsidR="00F9053A" w:rsidRPr="00B35FC0" w:rsidRDefault="00F9053A" w:rsidP="00B22F59">
            <w:pPr>
              <w:spacing w:line="480" w:lineRule="auto"/>
              <w:contextualSpacing/>
              <w:jc w:val="center"/>
            </w:pPr>
            <w:r w:rsidRPr="00B35FC0">
              <w:t>95</w:t>
            </w:r>
          </w:p>
        </w:tc>
        <w:tc>
          <w:tcPr>
            <w:tcW w:w="1080" w:type="dxa"/>
          </w:tcPr>
          <w:p w14:paraId="6491D93E" w14:textId="5EDBD42E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0.5463</w:t>
            </w:r>
          </w:p>
        </w:tc>
        <w:tc>
          <w:tcPr>
            <w:tcW w:w="900" w:type="dxa"/>
          </w:tcPr>
          <w:p w14:paraId="4A480401" w14:textId="55933F5F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0.5174</w:t>
            </w:r>
          </w:p>
        </w:tc>
        <w:tc>
          <w:tcPr>
            <w:tcW w:w="1009" w:type="dxa"/>
          </w:tcPr>
          <w:p w14:paraId="47CE6418" w14:textId="615777BA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0.4864</w:t>
            </w:r>
          </w:p>
        </w:tc>
        <w:tc>
          <w:tcPr>
            <w:tcW w:w="1172" w:type="dxa"/>
          </w:tcPr>
          <w:p w14:paraId="53E2BC5E" w14:textId="4FBC9C9B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0.4746</w:t>
            </w:r>
          </w:p>
        </w:tc>
        <w:tc>
          <w:tcPr>
            <w:tcW w:w="1172" w:type="dxa"/>
          </w:tcPr>
          <w:p w14:paraId="3C613F36" w14:textId="12902AA6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0.4568</w:t>
            </w:r>
          </w:p>
        </w:tc>
      </w:tr>
      <w:tr w:rsidR="00F9053A" w:rsidRPr="00B35FC0" w14:paraId="51C12FCD" w14:textId="77777777" w:rsidTr="00B22F59">
        <w:tc>
          <w:tcPr>
            <w:tcW w:w="2628" w:type="dxa"/>
          </w:tcPr>
          <w:p w14:paraId="400D38D1" w14:textId="77777777" w:rsidR="00F9053A" w:rsidRPr="00B35FC0" w:rsidRDefault="00F9053A" w:rsidP="00B35FC0">
            <w:pPr>
              <w:spacing w:line="480" w:lineRule="auto"/>
              <w:contextualSpacing/>
            </w:pPr>
          </w:p>
        </w:tc>
        <w:tc>
          <w:tcPr>
            <w:tcW w:w="1260" w:type="dxa"/>
          </w:tcPr>
          <w:p w14:paraId="56498842" w14:textId="6059B2BA" w:rsidR="00F9053A" w:rsidRPr="00B35FC0" w:rsidRDefault="00F9053A" w:rsidP="00B22F59">
            <w:pPr>
              <w:spacing w:line="480" w:lineRule="auto"/>
              <w:contextualSpacing/>
              <w:jc w:val="center"/>
            </w:pPr>
            <w:r w:rsidRPr="00B35FC0">
              <w:t>0.99</w:t>
            </w:r>
          </w:p>
        </w:tc>
        <w:tc>
          <w:tcPr>
            <w:tcW w:w="1080" w:type="dxa"/>
          </w:tcPr>
          <w:p w14:paraId="5DFD401D" w14:textId="339E8903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0.5488</w:t>
            </w:r>
          </w:p>
        </w:tc>
        <w:tc>
          <w:tcPr>
            <w:tcW w:w="900" w:type="dxa"/>
          </w:tcPr>
          <w:p w14:paraId="57918734" w14:textId="3150701E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0.5507</w:t>
            </w:r>
          </w:p>
        </w:tc>
        <w:tc>
          <w:tcPr>
            <w:tcW w:w="1009" w:type="dxa"/>
          </w:tcPr>
          <w:p w14:paraId="04FCBA99" w14:textId="2D279A4D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0.5117</w:t>
            </w:r>
          </w:p>
        </w:tc>
        <w:tc>
          <w:tcPr>
            <w:tcW w:w="1172" w:type="dxa"/>
          </w:tcPr>
          <w:p w14:paraId="6E8F37DA" w14:textId="262DF923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0.5064</w:t>
            </w:r>
          </w:p>
        </w:tc>
        <w:tc>
          <w:tcPr>
            <w:tcW w:w="1172" w:type="dxa"/>
          </w:tcPr>
          <w:p w14:paraId="075E8FD9" w14:textId="4E5B3E7D" w:rsidR="00F9053A" w:rsidRPr="00B35FC0" w:rsidRDefault="00F9053A" w:rsidP="00A50B1A">
            <w:pPr>
              <w:spacing w:line="480" w:lineRule="auto"/>
              <w:contextualSpacing/>
              <w:jc w:val="center"/>
            </w:pPr>
            <w:r w:rsidRPr="00B35FC0">
              <w:t>0.4669</w:t>
            </w:r>
          </w:p>
        </w:tc>
      </w:tr>
    </w:tbl>
    <w:p w14:paraId="7B53BF9C" w14:textId="77777777" w:rsidR="00C852C9" w:rsidRPr="00B35FC0" w:rsidRDefault="00C852C9" w:rsidP="00B35FC0">
      <w:pPr>
        <w:spacing w:line="480" w:lineRule="auto"/>
        <w:contextualSpacing/>
      </w:pPr>
    </w:p>
    <w:sectPr w:rsidR="00C852C9" w:rsidRPr="00B35FC0" w:rsidSect="00794926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744F8" w14:textId="77777777" w:rsidR="00461A34" w:rsidRDefault="00461A34" w:rsidP="00794926">
      <w:r>
        <w:separator/>
      </w:r>
    </w:p>
  </w:endnote>
  <w:endnote w:type="continuationSeparator" w:id="0">
    <w:p w14:paraId="738BF831" w14:textId="77777777" w:rsidR="00461A34" w:rsidRDefault="00461A34" w:rsidP="0079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E86BC" w14:textId="77777777" w:rsidR="00794926" w:rsidRDefault="00794926" w:rsidP="00B46A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8FBBE" w14:textId="77777777" w:rsidR="00794926" w:rsidRDefault="007949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1CA19" w14:textId="77777777" w:rsidR="00794926" w:rsidRDefault="00794926" w:rsidP="00B46A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0B1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0C8F4A" w14:textId="77777777" w:rsidR="00794926" w:rsidRDefault="007949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EE362" w14:textId="77777777" w:rsidR="00461A34" w:rsidRDefault="00461A34" w:rsidP="00794926">
      <w:r>
        <w:separator/>
      </w:r>
    </w:p>
  </w:footnote>
  <w:footnote w:type="continuationSeparator" w:id="0">
    <w:p w14:paraId="27B771DF" w14:textId="77777777" w:rsidR="00461A34" w:rsidRDefault="00461A34" w:rsidP="00794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82"/>
    <w:rsid w:val="000544CB"/>
    <w:rsid w:val="00067BD3"/>
    <w:rsid w:val="00070016"/>
    <w:rsid w:val="000A71F4"/>
    <w:rsid w:val="00144DAD"/>
    <w:rsid w:val="00183B45"/>
    <w:rsid w:val="001952EE"/>
    <w:rsid w:val="00253104"/>
    <w:rsid w:val="00263B0C"/>
    <w:rsid w:val="002C777D"/>
    <w:rsid w:val="002F6568"/>
    <w:rsid w:val="00335985"/>
    <w:rsid w:val="0039584D"/>
    <w:rsid w:val="003A554A"/>
    <w:rsid w:val="003B1160"/>
    <w:rsid w:val="00433242"/>
    <w:rsid w:val="00437B17"/>
    <w:rsid w:val="00461A34"/>
    <w:rsid w:val="005B449A"/>
    <w:rsid w:val="005F1485"/>
    <w:rsid w:val="00672A36"/>
    <w:rsid w:val="006A4708"/>
    <w:rsid w:val="006D42C2"/>
    <w:rsid w:val="00733167"/>
    <w:rsid w:val="00794926"/>
    <w:rsid w:val="007F21E3"/>
    <w:rsid w:val="00812F82"/>
    <w:rsid w:val="008C1C84"/>
    <w:rsid w:val="008F1EDF"/>
    <w:rsid w:val="00997CDE"/>
    <w:rsid w:val="00A31986"/>
    <w:rsid w:val="00A50B1A"/>
    <w:rsid w:val="00AE09E7"/>
    <w:rsid w:val="00B11816"/>
    <w:rsid w:val="00B22F59"/>
    <w:rsid w:val="00B315E4"/>
    <w:rsid w:val="00B35FC0"/>
    <w:rsid w:val="00BF49CC"/>
    <w:rsid w:val="00C32093"/>
    <w:rsid w:val="00C77A5E"/>
    <w:rsid w:val="00C852C9"/>
    <w:rsid w:val="00CF6AF0"/>
    <w:rsid w:val="00D01CDB"/>
    <w:rsid w:val="00D341C9"/>
    <w:rsid w:val="00D961FE"/>
    <w:rsid w:val="00DA4F99"/>
    <w:rsid w:val="00E14130"/>
    <w:rsid w:val="00EC1626"/>
    <w:rsid w:val="00EE61EF"/>
    <w:rsid w:val="00F65D4D"/>
    <w:rsid w:val="00F9053A"/>
    <w:rsid w:val="00FB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898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F8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0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1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949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926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9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Medical School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Hooman Mirzakhani, MD</dc:creator>
  <cp:lastModifiedBy>Microsoft Office User</cp:lastModifiedBy>
  <cp:revision>4</cp:revision>
  <dcterms:created xsi:type="dcterms:W3CDTF">2016-03-03T17:48:00Z</dcterms:created>
  <dcterms:modified xsi:type="dcterms:W3CDTF">2016-03-14T16:36:00Z</dcterms:modified>
</cp:coreProperties>
</file>