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51" w:rsidRPr="0057744E" w:rsidRDefault="004B4451" w:rsidP="004B4451">
      <w:pPr>
        <w:rPr>
          <w:b/>
        </w:rPr>
      </w:pPr>
      <w:r>
        <w:rPr>
          <w:b/>
        </w:rPr>
        <w:t>Appendix B</w:t>
      </w:r>
      <w:r w:rsidRPr="0057744E">
        <w:rPr>
          <w:b/>
        </w:rPr>
        <w:t xml:space="preserve">. </w:t>
      </w:r>
      <w:r>
        <w:rPr>
          <w:b/>
        </w:rPr>
        <w:t xml:space="preserve">Complete </w:t>
      </w:r>
      <w:r w:rsidRPr="0057744E">
        <w:rPr>
          <w:b/>
        </w:rPr>
        <w:t xml:space="preserve">Survey, </w:t>
      </w:r>
      <w:r w:rsidRPr="00511FE8">
        <w:rPr>
          <w:b/>
        </w:rPr>
        <w:t>post- implementation, 2014</w:t>
      </w:r>
    </w:p>
    <w:p w:rsidR="004B4451" w:rsidRDefault="004B4451" w:rsidP="004B4451"/>
    <w:p w:rsidR="004B4451" w:rsidRDefault="004B4451" w:rsidP="004B4451">
      <w:pPr>
        <w:pStyle w:val="ListParagraph"/>
        <w:numPr>
          <w:ilvl w:val="0"/>
          <w:numId w:val="1"/>
        </w:numPr>
      </w:pPr>
      <w:r>
        <w:t>Cognitive aids can be crated effectively for many specific events in the practice of anesthesia:</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Disagree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Neither</w:t>
      </w:r>
      <w:proofErr w:type="gramEnd"/>
      <w:r>
        <w:rPr>
          <w:rFonts w:eastAsia="ＭＳ ゴシック" w:cs="Menlo Regular"/>
          <w:color w:val="000000"/>
        </w:rPr>
        <w:t xml:space="preserve"> agree nor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agree</w:t>
      </w:r>
    </w:p>
    <w:p w:rsidR="004B4451" w:rsidRDefault="004B4451" w:rsidP="004B4451"/>
    <w:p w:rsidR="004B4451" w:rsidRDefault="004B4451" w:rsidP="004B4451">
      <w:pPr>
        <w:pStyle w:val="ListParagraph"/>
        <w:numPr>
          <w:ilvl w:val="0"/>
          <w:numId w:val="1"/>
        </w:numPr>
      </w:pPr>
      <w:r>
        <w:t>Well-trained anesthesiologists SHOULD be able to treat ANY EMERGENCY situation WITHOUT needing a cognitive aid:</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Disagree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Neither</w:t>
      </w:r>
      <w:proofErr w:type="gramEnd"/>
      <w:r>
        <w:rPr>
          <w:rFonts w:eastAsia="ＭＳ ゴシック" w:cs="Menlo Regular"/>
          <w:color w:val="000000"/>
        </w:rPr>
        <w:t xml:space="preserve"> agree nor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agree</w:t>
      </w:r>
    </w:p>
    <w:p w:rsidR="004B4451" w:rsidRDefault="004B4451" w:rsidP="004B4451"/>
    <w:p w:rsidR="004B4451" w:rsidRDefault="004B4451" w:rsidP="004B4451">
      <w:pPr>
        <w:pStyle w:val="ListParagraph"/>
        <w:numPr>
          <w:ilvl w:val="0"/>
          <w:numId w:val="1"/>
        </w:numPr>
      </w:pPr>
      <w:r>
        <w:t>You hear that your resident colleague is actively treating REFRACTORY hypoxemia and referring to a cognitive aid. Would you characterize this as:</w:t>
      </w:r>
    </w:p>
    <w:p w:rsidR="004B4451" w:rsidRDefault="004B4451" w:rsidP="004B4451">
      <w:pPr>
        <w:ind w:left="1440"/>
      </w:pPr>
      <w:r w:rsidRPr="0057744E">
        <w:rPr>
          <w:rFonts w:ascii="Menlo Regular" w:eastAsia="ＭＳ ゴシック" w:hAnsi="Menlo Regular" w:cs="Menlo Regular"/>
          <w:color w:val="000000"/>
        </w:rPr>
        <w:t xml:space="preserve">☐ </w:t>
      </w:r>
      <w:proofErr w:type="gramStart"/>
      <w:r>
        <w:t>Using</w:t>
      </w:r>
      <w:proofErr w:type="gramEnd"/>
      <w:r>
        <w:t xml:space="preserve"> an unnecessary cheat sheet</w:t>
      </w:r>
    </w:p>
    <w:p w:rsidR="004B4451" w:rsidRDefault="004B4451" w:rsidP="004B4451">
      <w:pPr>
        <w:ind w:left="720" w:firstLine="72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t>Helpful for first year residents only</w:t>
      </w:r>
    </w:p>
    <w:p w:rsidR="004B4451" w:rsidRDefault="004B4451" w:rsidP="004B4451">
      <w:pPr>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t>Reasonable for all residents, but they should not need it beyond the end of their training</w:t>
      </w:r>
    </w:p>
    <w:p w:rsidR="004B4451" w:rsidRDefault="004B4451" w:rsidP="004B4451">
      <w:pPr>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t>Given</w:t>
      </w:r>
      <w:proofErr w:type="gramEnd"/>
      <w:r>
        <w:t xml:space="preserve"> the hypoxemia did not resolve as expected after initial treatments a cognitive aid is a good tool for an anesthesiologist to consult</w:t>
      </w:r>
    </w:p>
    <w:p w:rsidR="004B4451" w:rsidRDefault="004B4451" w:rsidP="004B4451"/>
    <w:p w:rsidR="004B4451" w:rsidRDefault="004B4451" w:rsidP="004B4451">
      <w:pPr>
        <w:pStyle w:val="ListParagraph"/>
        <w:numPr>
          <w:ilvl w:val="0"/>
          <w:numId w:val="1"/>
        </w:numPr>
      </w:pPr>
      <w:r>
        <w:t xml:space="preserve">Your patient is moderately stabilized by </w:t>
      </w:r>
      <w:proofErr w:type="spellStart"/>
      <w:r>
        <w:t>pressors</w:t>
      </w:r>
      <w:proofErr w:type="spellEnd"/>
      <w:r>
        <w:t xml:space="preserve"> and fluid from an unexplained hypotensive event but CONTINUES TO REQUIRE SIGNIFICANTLY MORE PRESSORS THAN USUAL despite your best efforts for 10 minutes. Would you consider consulting a cognitive aid to check if you may have missed a cause of the problem?</w:t>
      </w:r>
    </w:p>
    <w:p w:rsidR="004B4451" w:rsidRDefault="004B4451" w:rsidP="004B4451">
      <w:pPr>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t>No, I would not miss any cause or treatment of hypotension</w:t>
      </w:r>
    </w:p>
    <w:p w:rsidR="004B4451" w:rsidRDefault="004B4451" w:rsidP="004B4451">
      <w:pPr>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t>Yes, given the patient has no clear cause and is not responding to all of my usual treatments</w:t>
      </w:r>
    </w:p>
    <w:p w:rsidR="004B4451" w:rsidRDefault="004B4451" w:rsidP="004B4451"/>
    <w:p w:rsidR="004B4451" w:rsidRDefault="004B4451" w:rsidP="004B4451">
      <w:pPr>
        <w:pStyle w:val="ListParagraph"/>
        <w:numPr>
          <w:ilvl w:val="0"/>
          <w:numId w:val="1"/>
        </w:numPr>
      </w:pPr>
      <w:r>
        <w:t>You respond to an OR ‘code’ for Malignant Hyperthermia. Assuming sufficient people, would it be helpful to have someone read aloud a cognitive aid for the treatment of Malignant Hyperthermia while the event leader delegates actions and organizes team?</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57744E">
        <w:rPr>
          <w:rFonts w:eastAsia="ＭＳ ゴシック" w:cs="Menlo Regular"/>
          <w:color w:val="000000"/>
        </w:rPr>
        <w:t>No</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Yes</w:t>
      </w:r>
    </w:p>
    <w:p w:rsidR="004B4451" w:rsidRDefault="004B4451" w:rsidP="004B4451">
      <w:pPr>
        <w:pStyle w:val="ListParagraph"/>
        <w:ind w:left="1440"/>
        <w:rPr>
          <w:rFonts w:eastAsia="ＭＳ ゴシック" w:cs="Menlo Regular"/>
          <w:color w:val="000000"/>
        </w:rPr>
      </w:pPr>
    </w:p>
    <w:p w:rsidR="004B4451" w:rsidRDefault="004B4451" w:rsidP="004B4451"/>
    <w:p w:rsidR="004B4451" w:rsidRDefault="004B4451" w:rsidP="004B4451">
      <w:pPr>
        <w:pStyle w:val="ListParagraph"/>
        <w:numPr>
          <w:ilvl w:val="0"/>
          <w:numId w:val="1"/>
        </w:numPr>
      </w:pPr>
      <w:r>
        <w:lastRenderedPageBreak/>
        <w:t>If I had a patient with suspected local anesthetic toxicity, I would use a cognitive aid DURING the acute event (if readily available) to help ensure appropriate and efficient treatment of this event</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Disagree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Neither</w:t>
      </w:r>
      <w:proofErr w:type="gramEnd"/>
      <w:r>
        <w:rPr>
          <w:rFonts w:eastAsia="ＭＳ ゴシック" w:cs="Menlo Regular"/>
          <w:color w:val="000000"/>
        </w:rPr>
        <w:t xml:space="preserve"> agree nor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agree</w:t>
      </w:r>
    </w:p>
    <w:p w:rsidR="004B4451" w:rsidRDefault="004B4451" w:rsidP="004B4451"/>
    <w:p w:rsidR="004B4451" w:rsidRDefault="004B4451" w:rsidP="004B4451">
      <w:pPr>
        <w:pStyle w:val="ListParagraph"/>
        <w:numPr>
          <w:ilvl w:val="0"/>
          <w:numId w:val="1"/>
        </w:numPr>
      </w:pPr>
      <w:r>
        <w:t>Is having a physical copy of the Emergency Manual (set of bound, laminated cognitive aids for critical events) in each OR helpful to YOU? Please mark ALL THAT APPLY (you may choose more than one)</w:t>
      </w:r>
    </w:p>
    <w:p w:rsidR="004B4451" w:rsidRDefault="004B4451" w:rsidP="004B4451">
      <w:pPr>
        <w:pStyle w:val="ListParagraph"/>
        <w:ind w:firstLine="72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57744E">
        <w:rPr>
          <w:rFonts w:eastAsia="ＭＳ ゴシック" w:cs="Menlo Regular"/>
          <w:color w:val="000000"/>
        </w:rPr>
        <w:t>No</w:t>
      </w:r>
      <w:r>
        <w:rPr>
          <w:rFonts w:eastAsia="ＭＳ ゴシック" w:cs="Menlo Regular"/>
          <w:color w:val="000000"/>
        </w:rPr>
        <w:t>, I didn’t know we had an Emergency Manual in each OR</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No, I know about but never touch the Emergency Manual</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Yes, for reviewing during ‘downtime” before an event occurs</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Yes, for reference during some part of a critical event (e.g., slowly evolving, patient refractory to treatment, or rarely used medication dosage information)</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Yes</w:t>
      </w:r>
      <w:proofErr w:type="gramEnd"/>
      <w:r>
        <w:rPr>
          <w:rFonts w:eastAsia="ＭＳ ゴシック" w:cs="Menlo Regular"/>
          <w:color w:val="000000"/>
        </w:rPr>
        <w:t>, during an event, once there are enough people that someone could be READING it</w:t>
      </w:r>
    </w:p>
    <w:p w:rsidR="004B4451" w:rsidRDefault="004B4451" w:rsidP="004B4451">
      <w:pPr>
        <w:pStyle w:val="ListParagraph"/>
        <w:ind w:firstLine="720"/>
      </w:pPr>
    </w:p>
    <w:p w:rsidR="004B4451" w:rsidRDefault="004B4451" w:rsidP="004B4451">
      <w:pPr>
        <w:pStyle w:val="ListParagraph"/>
        <w:numPr>
          <w:ilvl w:val="0"/>
          <w:numId w:val="1"/>
        </w:numPr>
      </w:pPr>
      <w:r>
        <w:t>Is having an Emergency Manual in each OR helpful for teaching MEDICAL STUDENTS on an anesthesia rotation? Please mark ALL THAT APPLY (you may choose more than one)</w:t>
      </w:r>
    </w:p>
    <w:p w:rsidR="004B4451" w:rsidRDefault="004B4451" w:rsidP="004B4451">
      <w:pPr>
        <w:pStyle w:val="ListParagraph"/>
        <w:ind w:firstLine="72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57744E">
        <w:rPr>
          <w:rFonts w:eastAsia="ＭＳ ゴシック" w:cs="Menlo Regular"/>
          <w:color w:val="000000"/>
        </w:rPr>
        <w:t>No</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Yes, for reviewing during ‘downtime’ before an event occurs</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Yes, for reference during some part of a critical event (e.g., slowly evolving, patient refractory or treatment, or rarely used medication dosage information)</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Yes</w:t>
      </w:r>
      <w:proofErr w:type="gramEnd"/>
      <w:r>
        <w:rPr>
          <w:rFonts w:eastAsia="ＭＳ ゴシック" w:cs="Menlo Regular"/>
          <w:color w:val="000000"/>
        </w:rPr>
        <w:t>, during an event, once there are enough people that someone could be READING IT OUT LOUD for the team</w:t>
      </w:r>
    </w:p>
    <w:p w:rsidR="004B4451" w:rsidRPr="00424804"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Yes, for reviewing or debriefing after a critical event is resolved</w:t>
      </w:r>
    </w:p>
    <w:p w:rsidR="004B4451" w:rsidRDefault="004B4451" w:rsidP="004B4451"/>
    <w:p w:rsidR="004B4451" w:rsidRDefault="004B4451" w:rsidP="004B4451">
      <w:pPr>
        <w:pStyle w:val="ListParagraph"/>
        <w:numPr>
          <w:ilvl w:val="0"/>
          <w:numId w:val="1"/>
        </w:numPr>
      </w:pPr>
      <w:r>
        <w:t>Having Emergency Manuals in our operating rooms improves patient care</w:t>
      </w:r>
    </w:p>
    <w:p w:rsidR="004B4451" w:rsidRPr="00091826" w:rsidRDefault="004B4451" w:rsidP="004B4451">
      <w:pPr>
        <w:pStyle w:val="ListParagraph"/>
        <w:ind w:firstLine="72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Disagree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Neither</w:t>
      </w:r>
      <w:proofErr w:type="gramEnd"/>
      <w:r>
        <w:rPr>
          <w:rFonts w:eastAsia="ＭＳ ゴシック" w:cs="Menlo Regular"/>
          <w:color w:val="000000"/>
        </w:rPr>
        <w:t xml:space="preserve"> agree nor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Agree</w:t>
      </w:r>
    </w:p>
    <w:p w:rsidR="004B4451" w:rsidRPr="00424804"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agree</w:t>
      </w:r>
    </w:p>
    <w:p w:rsidR="004B4451" w:rsidRDefault="004B4451" w:rsidP="004B4451"/>
    <w:p w:rsidR="004B4451" w:rsidRDefault="004B4451" w:rsidP="004B4451">
      <w:pPr>
        <w:pStyle w:val="ListParagraph"/>
        <w:numPr>
          <w:ilvl w:val="0"/>
          <w:numId w:val="1"/>
        </w:numPr>
      </w:pPr>
      <w:r>
        <w:t>Which of the following anesthesia professionals SHOULD use cognitive aids in some way?  Please mark ALL THAT APPLY (you may choose more than one)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Medical students</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CA1s</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CA2s</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CA3s</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Fellows</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Faculty</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Private Practice Anesthesiologists</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CRNAs</w:t>
      </w:r>
    </w:p>
    <w:p w:rsidR="004B4451" w:rsidRDefault="004B4451" w:rsidP="004B4451"/>
    <w:p w:rsidR="004B4451" w:rsidRDefault="004B4451" w:rsidP="004B4451">
      <w:pPr>
        <w:pStyle w:val="ListParagraph"/>
        <w:numPr>
          <w:ilvl w:val="0"/>
          <w:numId w:val="1"/>
        </w:numPr>
      </w:pPr>
      <w:r>
        <w:t>The culture in the ORs where I work supports consulting a cognitive aid when appropriate</w:t>
      </w:r>
    </w:p>
    <w:p w:rsidR="004B4451" w:rsidRPr="00091826" w:rsidRDefault="004B4451" w:rsidP="004B4451">
      <w:pPr>
        <w:pStyle w:val="ListParagraph"/>
        <w:ind w:firstLine="72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Disagree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Neither</w:t>
      </w:r>
      <w:proofErr w:type="gramEnd"/>
      <w:r>
        <w:rPr>
          <w:rFonts w:eastAsia="ＭＳ ゴシック" w:cs="Menlo Regular"/>
          <w:color w:val="000000"/>
        </w:rPr>
        <w:t xml:space="preserve"> agree nor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agree</w:t>
      </w:r>
    </w:p>
    <w:p w:rsidR="004B4451" w:rsidRDefault="004B4451" w:rsidP="004B4451"/>
    <w:p w:rsidR="004B4451" w:rsidRDefault="004B4451" w:rsidP="004B4451">
      <w:pPr>
        <w:pStyle w:val="ListParagraph"/>
        <w:numPr>
          <w:ilvl w:val="0"/>
          <w:numId w:val="1"/>
        </w:numPr>
      </w:pPr>
      <w:r>
        <w:t>The following training has positively influenced my Emergency Manual usage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170"/>
        <w:gridCol w:w="1170"/>
        <w:gridCol w:w="1260"/>
        <w:gridCol w:w="898"/>
        <w:gridCol w:w="1082"/>
        <w:gridCol w:w="648"/>
      </w:tblGrid>
      <w:tr w:rsidR="004B4451" w:rsidTr="00C77C39">
        <w:tc>
          <w:tcPr>
            <w:tcW w:w="2628" w:type="dxa"/>
          </w:tcPr>
          <w:p w:rsidR="004B4451" w:rsidRDefault="004B4451" w:rsidP="00C77C39">
            <w:pPr>
              <w:rPr>
                <w:rFonts w:eastAsia="ＭＳ ゴシック" w:cs="Menlo Regular"/>
                <w:color w:val="000000"/>
              </w:rPr>
            </w:pPr>
          </w:p>
        </w:tc>
        <w:tc>
          <w:tcPr>
            <w:tcW w:w="1170"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Strongly Disagree</w:t>
            </w:r>
          </w:p>
        </w:tc>
        <w:tc>
          <w:tcPr>
            <w:tcW w:w="1170"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Disagree</w:t>
            </w:r>
          </w:p>
        </w:tc>
        <w:tc>
          <w:tcPr>
            <w:tcW w:w="1260"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Neither agree nor disagree</w:t>
            </w:r>
          </w:p>
        </w:tc>
        <w:tc>
          <w:tcPr>
            <w:tcW w:w="898"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Agree</w:t>
            </w:r>
          </w:p>
        </w:tc>
        <w:tc>
          <w:tcPr>
            <w:tcW w:w="1082"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Strongly Agree</w:t>
            </w:r>
          </w:p>
        </w:tc>
        <w:tc>
          <w:tcPr>
            <w:tcW w:w="648"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N/A</w:t>
            </w:r>
          </w:p>
        </w:tc>
      </w:tr>
      <w:tr w:rsidR="004B4451" w:rsidTr="00C77C39">
        <w:tc>
          <w:tcPr>
            <w:tcW w:w="2628" w:type="dxa"/>
          </w:tcPr>
          <w:p w:rsidR="004B4451" w:rsidRDefault="004B4451" w:rsidP="00C77C39">
            <w:pPr>
              <w:rPr>
                <w:rFonts w:eastAsia="ＭＳ ゴシック" w:cs="Menlo Regular"/>
                <w:color w:val="000000"/>
              </w:rPr>
            </w:pPr>
            <w:r>
              <w:rPr>
                <w:rFonts w:eastAsia="ＭＳ ゴシック" w:cs="Menlo Regular"/>
                <w:color w:val="000000"/>
              </w:rPr>
              <w:t>Simulation (e.g., ACRM, EVOLVE)</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89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82"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64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2628" w:type="dxa"/>
          </w:tcPr>
          <w:p w:rsidR="004B4451" w:rsidRDefault="004B4451" w:rsidP="00C77C39">
            <w:pPr>
              <w:rPr>
                <w:rFonts w:eastAsia="ＭＳ ゴシック" w:cs="Menlo Regular"/>
                <w:color w:val="000000"/>
              </w:rPr>
            </w:pPr>
            <w:r>
              <w:rPr>
                <w:rFonts w:eastAsia="ＭＳ ゴシック" w:cs="Menlo Regular"/>
                <w:color w:val="000000"/>
              </w:rPr>
              <w:t>START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89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82"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64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2628" w:type="dxa"/>
          </w:tcPr>
          <w:p w:rsidR="004B4451" w:rsidRDefault="004B4451" w:rsidP="00C77C39">
            <w:pPr>
              <w:rPr>
                <w:rFonts w:eastAsia="ＭＳ ゴシック" w:cs="Menlo Regular"/>
                <w:color w:val="000000"/>
              </w:rPr>
            </w:pPr>
            <w:r>
              <w:rPr>
                <w:rFonts w:eastAsia="ＭＳ ゴシック" w:cs="Menlo Regular"/>
                <w:color w:val="000000"/>
              </w:rPr>
              <w:t>Imprint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89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82"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64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2628" w:type="dxa"/>
          </w:tcPr>
          <w:p w:rsidR="004B4451" w:rsidRDefault="004B4451" w:rsidP="00C77C39">
            <w:pPr>
              <w:rPr>
                <w:rFonts w:eastAsia="ＭＳ ゴシック" w:cs="Menlo Regular"/>
                <w:color w:val="000000"/>
              </w:rPr>
            </w:pPr>
            <w:r>
              <w:rPr>
                <w:rFonts w:eastAsia="ＭＳ ゴシック" w:cs="Menlo Regular"/>
                <w:color w:val="000000"/>
              </w:rPr>
              <w:t>Grand Rounds</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89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82"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64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2628" w:type="dxa"/>
          </w:tcPr>
          <w:p w:rsidR="004B4451" w:rsidRDefault="004B4451" w:rsidP="00C77C39">
            <w:pPr>
              <w:rPr>
                <w:rFonts w:eastAsia="ＭＳ ゴシック" w:cs="Menlo Regular"/>
                <w:color w:val="000000"/>
              </w:rPr>
            </w:pPr>
            <w:r>
              <w:rPr>
                <w:rFonts w:eastAsia="ＭＳ ゴシック" w:cs="Menlo Regular"/>
                <w:color w:val="000000"/>
              </w:rPr>
              <w:t>Publications</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89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82"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64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2628" w:type="dxa"/>
          </w:tcPr>
          <w:p w:rsidR="004B4451" w:rsidRDefault="004B4451" w:rsidP="00C77C39">
            <w:pPr>
              <w:rPr>
                <w:rFonts w:eastAsia="ＭＳ ゴシック" w:cs="Menlo Regular"/>
                <w:color w:val="000000"/>
              </w:rPr>
            </w:pPr>
            <w:r>
              <w:rPr>
                <w:rFonts w:eastAsia="ＭＳ ゴシック" w:cs="Menlo Regular"/>
                <w:color w:val="000000"/>
              </w:rPr>
              <w:t>Emails or Newsletters</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89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82"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64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2628" w:type="dxa"/>
          </w:tcPr>
          <w:p w:rsidR="004B4451" w:rsidRDefault="004B4451" w:rsidP="00C77C39">
            <w:pPr>
              <w:rPr>
                <w:rFonts w:eastAsia="ＭＳ ゴシック" w:cs="Menlo Regular"/>
                <w:color w:val="000000"/>
              </w:rPr>
            </w:pPr>
            <w:r>
              <w:rPr>
                <w:rFonts w:eastAsia="ＭＳ ゴシック" w:cs="Menlo Regular"/>
                <w:color w:val="000000"/>
              </w:rPr>
              <w:t>Self review</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89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82"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64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2628" w:type="dxa"/>
          </w:tcPr>
          <w:p w:rsidR="004B4451" w:rsidRDefault="004B4451" w:rsidP="00C77C39">
            <w:pPr>
              <w:rPr>
                <w:rFonts w:eastAsia="ＭＳ ゴシック" w:cs="Menlo Regular"/>
                <w:color w:val="000000"/>
              </w:rPr>
            </w:pPr>
            <w:r>
              <w:rPr>
                <w:rFonts w:eastAsia="ＭＳ ゴシック" w:cs="Menlo Regular"/>
                <w:color w:val="000000"/>
              </w:rPr>
              <w:t>Stories of effective use by colleagues</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89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82"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64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2628" w:type="dxa"/>
          </w:tcPr>
          <w:p w:rsidR="004B4451" w:rsidRDefault="004B4451" w:rsidP="00C77C39">
            <w:pPr>
              <w:rPr>
                <w:rFonts w:eastAsia="ＭＳ ゴシック" w:cs="Menlo Regular"/>
                <w:color w:val="000000"/>
              </w:rPr>
            </w:pPr>
            <w:r>
              <w:rPr>
                <w:rFonts w:eastAsia="ＭＳ ゴシック" w:cs="Menlo Regular"/>
                <w:color w:val="000000"/>
              </w:rPr>
              <w:t>My own prior uses for patient care</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89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82"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64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2628" w:type="dxa"/>
          </w:tcPr>
          <w:p w:rsidR="004B4451" w:rsidRDefault="004B4451" w:rsidP="00C77C39">
            <w:pPr>
              <w:rPr>
                <w:rFonts w:eastAsia="ＭＳ ゴシック" w:cs="Menlo Regular"/>
                <w:color w:val="000000"/>
              </w:rPr>
            </w:pPr>
            <w:r>
              <w:rPr>
                <w:rFonts w:eastAsia="ＭＳ ゴシック" w:cs="Menlo Regular"/>
                <w:color w:val="000000"/>
              </w:rPr>
              <w:t>Intraoperative teaching by faculty</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17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0"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89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82"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648" w:type="dxa"/>
            <w:vAlign w:val="center"/>
          </w:tcPr>
          <w:p w:rsidR="004B4451" w:rsidRDefault="004B4451" w:rsidP="00C77C39">
            <w:pPr>
              <w:jc w:val="center"/>
            </w:pPr>
            <w:r w:rsidRPr="00E90729">
              <w:rPr>
                <w:rFonts w:ascii="Menlo Regular" w:eastAsia="ＭＳ ゴシック" w:hAnsi="Menlo Regular" w:cs="Menlo Regular"/>
                <w:color w:val="000000"/>
              </w:rPr>
              <w:t>☐</w:t>
            </w:r>
          </w:p>
        </w:tc>
      </w:tr>
    </w:tbl>
    <w:p w:rsidR="004B4451" w:rsidRDefault="004B4451" w:rsidP="004B4451">
      <w:pPr>
        <w:pStyle w:val="ListParagraph"/>
        <w:ind w:left="1440"/>
      </w:pPr>
    </w:p>
    <w:p w:rsidR="004B4451" w:rsidRDefault="004B4451" w:rsidP="004B4451"/>
    <w:p w:rsidR="004B4451" w:rsidRDefault="004B4451" w:rsidP="004B4451">
      <w:pPr>
        <w:pStyle w:val="ListParagraph"/>
        <w:numPr>
          <w:ilvl w:val="0"/>
          <w:numId w:val="1"/>
        </w:numPr>
      </w:pPr>
      <w:r>
        <w:t>For each reason below, choose the level of barrier to effective Emergency Manual implementation</w:t>
      </w:r>
    </w:p>
    <w:tbl>
      <w:tblPr>
        <w:tblStyle w:val="TableGrid"/>
        <w:tblW w:w="8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049"/>
        <w:gridCol w:w="1296"/>
        <w:gridCol w:w="1237"/>
        <w:gridCol w:w="1299"/>
      </w:tblGrid>
      <w:tr w:rsidR="004B4451" w:rsidTr="00C77C39">
        <w:tc>
          <w:tcPr>
            <w:tcW w:w="3888" w:type="dxa"/>
          </w:tcPr>
          <w:p w:rsidR="004B4451" w:rsidRDefault="004B4451" w:rsidP="00C77C39">
            <w:pPr>
              <w:rPr>
                <w:rFonts w:eastAsia="ＭＳ ゴシック" w:cs="Menlo Regular"/>
                <w:color w:val="000000"/>
              </w:rPr>
            </w:pPr>
          </w:p>
        </w:tc>
        <w:tc>
          <w:tcPr>
            <w:tcW w:w="1049"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Not a barrier</w:t>
            </w:r>
          </w:p>
        </w:tc>
        <w:tc>
          <w:tcPr>
            <w:tcW w:w="1296"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Somewhat of a barrier</w:t>
            </w:r>
          </w:p>
        </w:tc>
        <w:tc>
          <w:tcPr>
            <w:tcW w:w="1237"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Moderate barrier</w:t>
            </w:r>
          </w:p>
        </w:tc>
        <w:tc>
          <w:tcPr>
            <w:tcW w:w="1299"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Significant barrier</w:t>
            </w:r>
          </w:p>
        </w:tc>
      </w:tr>
      <w:tr w:rsidR="004B4451" w:rsidTr="00C77C39">
        <w:tc>
          <w:tcPr>
            <w:tcW w:w="3888" w:type="dxa"/>
          </w:tcPr>
          <w:p w:rsidR="004B4451" w:rsidRDefault="004B4451" w:rsidP="00C77C39">
            <w:pPr>
              <w:rPr>
                <w:rFonts w:eastAsia="ＭＳ ゴシック" w:cs="Menlo Regular"/>
                <w:color w:val="000000"/>
              </w:rPr>
            </w:pPr>
            <w:r>
              <w:rPr>
                <w:rFonts w:eastAsia="ＭＳ ゴシック" w:cs="Menlo Regular"/>
                <w:color w:val="000000"/>
              </w:rPr>
              <w:t>Lack of sufficient training programs to practice use</w:t>
            </w:r>
          </w:p>
        </w:tc>
        <w:tc>
          <w:tcPr>
            <w:tcW w:w="1049"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6"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37"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9"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3888" w:type="dxa"/>
          </w:tcPr>
          <w:p w:rsidR="004B4451" w:rsidRDefault="004B4451" w:rsidP="00C77C39">
            <w:pPr>
              <w:rPr>
                <w:rFonts w:eastAsia="ＭＳ ゴシック" w:cs="Menlo Regular"/>
                <w:color w:val="000000"/>
              </w:rPr>
            </w:pPr>
            <w:r>
              <w:rPr>
                <w:rFonts w:eastAsia="ＭＳ ゴシック" w:cs="Menlo Regular"/>
                <w:color w:val="000000"/>
              </w:rPr>
              <w:t>Events in the operating room happen too quickly</w:t>
            </w:r>
          </w:p>
        </w:tc>
        <w:tc>
          <w:tcPr>
            <w:tcW w:w="1049"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6"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37"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9"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3888" w:type="dxa"/>
          </w:tcPr>
          <w:p w:rsidR="004B4451" w:rsidRDefault="004B4451" w:rsidP="00C77C39">
            <w:pPr>
              <w:rPr>
                <w:rFonts w:eastAsia="ＭＳ ゴシック" w:cs="Menlo Regular"/>
                <w:color w:val="000000"/>
              </w:rPr>
            </w:pPr>
            <w:r>
              <w:rPr>
                <w:rFonts w:eastAsia="ＭＳ ゴシック" w:cs="Menlo Regular"/>
                <w:color w:val="000000"/>
              </w:rPr>
              <w:t>Insufficient people available to help (e.g., nobody available as reader)</w:t>
            </w:r>
          </w:p>
        </w:tc>
        <w:tc>
          <w:tcPr>
            <w:tcW w:w="1049"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6"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37"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9"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3888" w:type="dxa"/>
          </w:tcPr>
          <w:p w:rsidR="004B4451" w:rsidRDefault="004B4451" w:rsidP="00C77C39">
            <w:pPr>
              <w:rPr>
                <w:rFonts w:eastAsia="ＭＳ ゴシック" w:cs="Menlo Regular"/>
                <w:color w:val="000000"/>
              </w:rPr>
            </w:pPr>
            <w:r>
              <w:rPr>
                <w:rFonts w:eastAsia="ＭＳ ゴシック" w:cs="Menlo Regular"/>
                <w:color w:val="000000"/>
              </w:rPr>
              <w:t>I don’t think to consult an emergency manual under stress</w:t>
            </w:r>
          </w:p>
        </w:tc>
        <w:tc>
          <w:tcPr>
            <w:tcW w:w="1049"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6"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37"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9"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3888" w:type="dxa"/>
          </w:tcPr>
          <w:p w:rsidR="004B4451" w:rsidRDefault="004B4451" w:rsidP="00C77C39">
            <w:pPr>
              <w:rPr>
                <w:rFonts w:eastAsia="ＭＳ ゴシック" w:cs="Menlo Regular"/>
                <w:color w:val="000000"/>
              </w:rPr>
            </w:pPr>
            <w:r>
              <w:rPr>
                <w:rFonts w:eastAsia="ＭＳ ゴシック" w:cs="Menlo Regular"/>
                <w:color w:val="000000"/>
              </w:rPr>
              <w:t>Professionals should know all this by memory</w:t>
            </w:r>
          </w:p>
        </w:tc>
        <w:tc>
          <w:tcPr>
            <w:tcW w:w="1049"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6"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37"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9"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3888" w:type="dxa"/>
          </w:tcPr>
          <w:p w:rsidR="004B4451" w:rsidRDefault="004B4451" w:rsidP="00C77C39">
            <w:pPr>
              <w:rPr>
                <w:rFonts w:eastAsia="ＭＳ ゴシック" w:cs="Menlo Regular"/>
                <w:color w:val="000000"/>
              </w:rPr>
            </w:pPr>
            <w:r>
              <w:rPr>
                <w:rFonts w:eastAsia="ＭＳ ゴシック" w:cs="Menlo Regular"/>
                <w:color w:val="000000"/>
              </w:rPr>
              <w:t>My colleagues may not approve</w:t>
            </w:r>
          </w:p>
        </w:tc>
        <w:tc>
          <w:tcPr>
            <w:tcW w:w="1049"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6"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37"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99" w:type="dxa"/>
            <w:vAlign w:val="center"/>
          </w:tcPr>
          <w:p w:rsidR="004B4451" w:rsidRDefault="004B4451" w:rsidP="00C77C39">
            <w:pPr>
              <w:jc w:val="center"/>
            </w:pPr>
            <w:r w:rsidRPr="00E90729">
              <w:rPr>
                <w:rFonts w:ascii="Menlo Regular" w:eastAsia="ＭＳ ゴシック" w:hAnsi="Menlo Regular" w:cs="Menlo Regular"/>
                <w:color w:val="000000"/>
              </w:rPr>
              <w:t>☐</w:t>
            </w:r>
          </w:p>
        </w:tc>
      </w:tr>
    </w:tbl>
    <w:p w:rsidR="004B4451" w:rsidRPr="009327BE" w:rsidRDefault="004B4451" w:rsidP="004B4451">
      <w:pPr>
        <w:rPr>
          <w:rFonts w:eastAsia="ＭＳ ゴシック" w:cs="Menlo Regular"/>
          <w:color w:val="000000"/>
        </w:rPr>
      </w:pPr>
    </w:p>
    <w:p w:rsidR="004B4451" w:rsidRDefault="004B4451" w:rsidP="004B4451">
      <w:pPr>
        <w:pStyle w:val="ListParagraph"/>
        <w:numPr>
          <w:ilvl w:val="0"/>
          <w:numId w:val="1"/>
        </w:numPr>
      </w:pPr>
      <w:r>
        <w:t>In what ways have you USED the Emergency Manual? Please mark ALL THAT APPLY (you may choose more than one)</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During</w:t>
      </w:r>
      <w:proofErr w:type="gramEnd"/>
      <w:r>
        <w:rPr>
          <w:rFonts w:eastAsia="ＭＳ ゴシック" w:cs="Menlo Regular"/>
          <w:color w:val="000000"/>
        </w:rPr>
        <w:t xml:space="preserve"> a simulated intraoperative event</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Self Review or Teaching (i.e. not for management of a specific patient)</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 xml:space="preserve">BEFORE a potential event (e.g., self or team ‘Just in Time’ review for patient/case with higher risk for a critical event, e.g., difficult airway, hemorrhage, SVT, </w:t>
      </w:r>
      <w:proofErr w:type="spellStart"/>
      <w:r>
        <w:rPr>
          <w:rFonts w:eastAsia="ＭＳ ゴシック" w:cs="Menlo Regular"/>
          <w:color w:val="000000"/>
        </w:rPr>
        <w:t>etc</w:t>
      </w:r>
      <w:proofErr w:type="spellEnd"/>
      <w:r>
        <w:rPr>
          <w:rFonts w:eastAsia="ＭＳ ゴシック" w:cs="Menlo Regular"/>
          <w:color w:val="000000"/>
        </w:rPr>
        <w:t>)</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DURING a critical event (as member of team or helper responding)</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AFTER a critical event (e.g., during a team debrief)</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I have never opened the Emergency Manual</w:t>
      </w:r>
    </w:p>
    <w:p w:rsidR="004B4451" w:rsidRDefault="004B4451" w:rsidP="004B4451"/>
    <w:p w:rsidR="004B4451" w:rsidRDefault="004B4451" w:rsidP="004B4451">
      <w:pPr>
        <w:pStyle w:val="ListParagraph"/>
        <w:numPr>
          <w:ilvl w:val="0"/>
          <w:numId w:val="1"/>
        </w:numPr>
      </w:pPr>
      <w:r>
        <w:t>Please select the number of times you’ve used the Emergency Manual DURING an acute intraoperative event since its implementation in 2012</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None</w:t>
      </w:r>
      <w:proofErr w:type="gramEnd"/>
      <w:r>
        <w:rPr>
          <w:rFonts w:eastAsia="ＭＳ ゴシック" w:cs="Menlo Regular"/>
          <w:color w:val="000000"/>
        </w:rPr>
        <w:t xml:space="preserve"> (if none, skip to Question 22)</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1 time</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2 times</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&gt;2 times</w:t>
      </w:r>
    </w:p>
    <w:p w:rsidR="004B4451" w:rsidRDefault="004B4451" w:rsidP="004B4451"/>
    <w:p w:rsidR="004B4451" w:rsidRDefault="004B4451" w:rsidP="004B4451">
      <w:pPr>
        <w:pStyle w:val="ListParagraph"/>
        <w:numPr>
          <w:ilvl w:val="0"/>
          <w:numId w:val="1"/>
        </w:numPr>
      </w:pPr>
      <w:r>
        <w:t>Please select all of the intraoperative critical event types for which you or your team have used the Emergency Manual</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Cardiac arrest – PEA/</w:t>
      </w:r>
      <w:proofErr w:type="spellStart"/>
      <w:r>
        <w:rPr>
          <w:rFonts w:eastAsia="ＭＳ ゴシック" w:cs="Menlo Regular"/>
          <w:color w:val="000000"/>
        </w:rPr>
        <w:t>Asystole</w:t>
      </w:r>
      <w:proofErr w:type="spellEnd"/>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Cardiac arrest – VF/Pulseless VT</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 xml:space="preserve">Unstable </w:t>
      </w:r>
      <w:proofErr w:type="spellStart"/>
      <w:r>
        <w:rPr>
          <w:rFonts w:eastAsia="ＭＳ ゴシック" w:cs="Menlo Regular"/>
          <w:color w:val="000000"/>
        </w:rPr>
        <w:t>Bradycardia</w:t>
      </w:r>
      <w:proofErr w:type="spellEnd"/>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Unstable SVT</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Amniotic fluid embolism</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Anaphylaxis</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Bronchospasm</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Delayed emergence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Difficult</w:t>
      </w:r>
      <w:proofErr w:type="gramEnd"/>
      <w:r>
        <w:rPr>
          <w:rFonts w:eastAsia="ＭＳ ゴシック" w:cs="Menlo Regular"/>
          <w:color w:val="000000"/>
        </w:rPr>
        <w:t xml:space="preserve"> airway</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Hemorrhage Massive/MTG</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Hypotension - Refractory</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Hypoxemia Refractory</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Local Anesthetic Toxicity</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Malignant Hyperthermia</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Myocardial Ischemia</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Oxygen pipeline failure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Pneumothorax</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Power failure</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SVT Stable Tachycardia</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Total Spinal Anesthesia</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Transfusion Reaction</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Venous Air Embolism</w:t>
      </w:r>
    </w:p>
    <w:p w:rsidR="004B4451" w:rsidRDefault="004B4451" w:rsidP="004B4451">
      <w:pPr>
        <w:pStyle w:val="ListParagraph"/>
        <w:ind w:left="1440"/>
      </w:pPr>
    </w:p>
    <w:p w:rsidR="004B4451" w:rsidRDefault="004B4451" w:rsidP="004B4451">
      <w:pPr>
        <w:pStyle w:val="ListParagraph"/>
        <w:numPr>
          <w:ilvl w:val="0"/>
          <w:numId w:val="1"/>
        </w:numPr>
      </w:pPr>
      <w:r>
        <w:t>Please describe HOW the Emergency Manual was used DURING THE MOST RECENT EVENT. Please do not include any patient identifying information</w:t>
      </w:r>
    </w:p>
    <w:p w:rsidR="004B4451" w:rsidRDefault="004B4451" w:rsidP="004B4451">
      <w:pPr>
        <w:pStyle w:val="ListParagraph"/>
        <w:ind w:firstLine="720"/>
      </w:pPr>
      <w:r>
        <w:rPr>
          <w:rFonts w:eastAsia="ＭＳ ゴシック" w:cs="Menlo Regular"/>
          <w:color w:val="000000"/>
        </w:rPr>
        <w:t xml:space="preserve">Free text: </w:t>
      </w:r>
    </w:p>
    <w:p w:rsidR="004B4451" w:rsidRDefault="004B4451" w:rsidP="004B4451">
      <w:pPr>
        <w:pStyle w:val="ListParagraph"/>
      </w:pPr>
    </w:p>
    <w:p w:rsidR="004B4451" w:rsidRDefault="004B4451" w:rsidP="004B4451">
      <w:pPr>
        <w:pStyle w:val="ListParagraph"/>
        <w:numPr>
          <w:ilvl w:val="0"/>
          <w:numId w:val="1"/>
        </w:numPr>
      </w:pPr>
      <w:r>
        <w:t>For the SAME EVENT, please describe any facilitators, barrier, or limitations to effective use of the Emergency Manual</w:t>
      </w:r>
    </w:p>
    <w:p w:rsidR="004B4451" w:rsidRDefault="004B4451" w:rsidP="004B4451">
      <w:pPr>
        <w:pStyle w:val="ListParagraph"/>
        <w:ind w:firstLine="720"/>
      </w:pPr>
      <w:r>
        <w:rPr>
          <w:rFonts w:eastAsia="ＭＳ ゴシック" w:cs="Menlo Regular"/>
          <w:color w:val="000000"/>
        </w:rPr>
        <w:t xml:space="preserve">Free text: </w:t>
      </w:r>
    </w:p>
    <w:p w:rsidR="004B4451" w:rsidRDefault="004B4451" w:rsidP="004B4451"/>
    <w:p w:rsidR="004B4451" w:rsidRDefault="004B4451" w:rsidP="004B4451">
      <w:pPr>
        <w:pStyle w:val="ListParagraph"/>
        <w:numPr>
          <w:ilvl w:val="0"/>
          <w:numId w:val="1"/>
        </w:numPr>
      </w:pPr>
      <w:r>
        <w:t>For the SAME EVENT, please note any impact (good or bad) the Emergency Manual had on the patient’s care</w:t>
      </w:r>
    </w:p>
    <w:p w:rsidR="004B4451" w:rsidRDefault="004B4451" w:rsidP="004B4451">
      <w:pPr>
        <w:pStyle w:val="ListParagraph"/>
        <w:ind w:firstLine="720"/>
      </w:pPr>
      <w:r>
        <w:rPr>
          <w:rFonts w:eastAsia="ＭＳ ゴシック" w:cs="Menlo Regular"/>
          <w:color w:val="000000"/>
        </w:rPr>
        <w:t xml:space="preserve">Free text: </w:t>
      </w:r>
    </w:p>
    <w:p w:rsidR="004B4451" w:rsidRDefault="004B4451" w:rsidP="004B4451"/>
    <w:p w:rsidR="004B4451" w:rsidRDefault="004B4451" w:rsidP="004B4451">
      <w:pPr>
        <w:pStyle w:val="ListParagraph"/>
        <w:numPr>
          <w:ilvl w:val="0"/>
          <w:numId w:val="1"/>
        </w:numPr>
      </w:pPr>
      <w:r>
        <w:t>During this SAME EVENT, the Emergency Manual helped the team deliver better care to the patient</w:t>
      </w:r>
    </w:p>
    <w:p w:rsidR="004B4451" w:rsidRPr="00091826" w:rsidRDefault="004B4451" w:rsidP="004B4451">
      <w:pPr>
        <w:pStyle w:val="ListParagraph"/>
        <w:ind w:firstLine="72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Disagree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proofErr w:type="gramStart"/>
      <w:r>
        <w:rPr>
          <w:rFonts w:eastAsia="ＭＳ ゴシック" w:cs="Menlo Regular"/>
          <w:color w:val="000000"/>
        </w:rPr>
        <w:t>Neither</w:t>
      </w:r>
      <w:proofErr w:type="gramEnd"/>
      <w:r>
        <w:rPr>
          <w:rFonts w:eastAsia="ＭＳ ゴシック" w:cs="Menlo Regular"/>
          <w:color w:val="000000"/>
        </w:rPr>
        <w:t xml:space="preserve"> agree nor disagree</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Agree</w:t>
      </w:r>
    </w:p>
    <w:p w:rsidR="004B4451" w:rsidRPr="00091826"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Strongly agree</w:t>
      </w:r>
    </w:p>
    <w:p w:rsidR="004B4451" w:rsidRDefault="004B4451" w:rsidP="004B4451"/>
    <w:p w:rsidR="004B4451" w:rsidRDefault="004B4451" w:rsidP="004B4451">
      <w:pPr>
        <w:pStyle w:val="ListParagraph"/>
        <w:numPr>
          <w:ilvl w:val="0"/>
          <w:numId w:val="1"/>
        </w:numPr>
      </w:pPr>
      <w:r>
        <w:t xml:space="preserve">If you would be willing to be briefly interviewed </w:t>
      </w:r>
      <w:proofErr w:type="spellStart"/>
      <w:r>
        <w:t>abaout</w:t>
      </w:r>
      <w:proofErr w:type="spellEnd"/>
      <w:r>
        <w:t xml:space="preserve"> your emergency manual use, please include your email.</w:t>
      </w:r>
    </w:p>
    <w:p w:rsidR="004B4451" w:rsidRDefault="004B4451" w:rsidP="004B4451">
      <w:pPr>
        <w:pStyle w:val="ListParagraph"/>
        <w:ind w:firstLine="720"/>
      </w:pPr>
      <w:r>
        <w:rPr>
          <w:rFonts w:eastAsia="ＭＳ ゴシック" w:cs="Menlo Regular"/>
          <w:color w:val="000000"/>
        </w:rPr>
        <w:t xml:space="preserve">Free text: </w:t>
      </w:r>
    </w:p>
    <w:p w:rsidR="004B4451" w:rsidRDefault="004B4451" w:rsidP="004B4451"/>
    <w:p w:rsidR="004B4451" w:rsidRDefault="004B4451" w:rsidP="004B4451">
      <w:r>
        <w:t>22. Please select how frequently you open the Emergency Manual for each type of use (on average)</w:t>
      </w: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1005"/>
        <w:gridCol w:w="1268"/>
        <w:gridCol w:w="1214"/>
        <w:gridCol w:w="1073"/>
        <w:gridCol w:w="1278"/>
      </w:tblGrid>
      <w:tr w:rsidR="004B4451" w:rsidTr="00C77C39">
        <w:tc>
          <w:tcPr>
            <w:tcW w:w="3018" w:type="dxa"/>
          </w:tcPr>
          <w:p w:rsidR="004B4451" w:rsidRDefault="004B4451" w:rsidP="00C77C39">
            <w:pPr>
              <w:rPr>
                <w:rFonts w:eastAsia="ＭＳ ゴシック" w:cs="Menlo Regular"/>
                <w:color w:val="000000"/>
              </w:rPr>
            </w:pPr>
          </w:p>
        </w:tc>
        <w:tc>
          <w:tcPr>
            <w:tcW w:w="1005"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Never</w:t>
            </w:r>
          </w:p>
        </w:tc>
        <w:tc>
          <w:tcPr>
            <w:tcW w:w="1268"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Daily</w:t>
            </w:r>
          </w:p>
        </w:tc>
        <w:tc>
          <w:tcPr>
            <w:tcW w:w="1214"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Weekly</w:t>
            </w:r>
          </w:p>
        </w:tc>
        <w:tc>
          <w:tcPr>
            <w:tcW w:w="1073" w:type="dxa"/>
          </w:tcPr>
          <w:p w:rsidR="004B4451" w:rsidRDefault="004B4451" w:rsidP="00C77C39">
            <w:pPr>
              <w:jc w:val="center"/>
              <w:rPr>
                <w:rFonts w:eastAsia="ＭＳ ゴシック" w:cs="Menlo Regular"/>
                <w:color w:val="000000"/>
              </w:rPr>
            </w:pPr>
            <w:r>
              <w:rPr>
                <w:rFonts w:eastAsia="ＭＳ ゴシック" w:cs="Menlo Regular"/>
                <w:color w:val="000000"/>
              </w:rPr>
              <w:t>Monthly</w:t>
            </w:r>
          </w:p>
        </w:tc>
        <w:tc>
          <w:tcPr>
            <w:tcW w:w="1278" w:type="dxa"/>
            <w:vAlign w:val="bottom"/>
          </w:tcPr>
          <w:p w:rsidR="004B4451" w:rsidRDefault="004B4451" w:rsidP="00C77C39">
            <w:pPr>
              <w:jc w:val="center"/>
              <w:rPr>
                <w:rFonts w:eastAsia="ＭＳ ゴシック" w:cs="Menlo Regular"/>
                <w:color w:val="000000"/>
              </w:rPr>
            </w:pPr>
            <w:r>
              <w:rPr>
                <w:rFonts w:eastAsia="ＭＳ ゴシック" w:cs="Menlo Regular"/>
                <w:color w:val="000000"/>
              </w:rPr>
              <w:t>Yearly</w:t>
            </w:r>
          </w:p>
        </w:tc>
      </w:tr>
      <w:tr w:rsidR="004B4451" w:rsidTr="00C77C39">
        <w:tc>
          <w:tcPr>
            <w:tcW w:w="3018" w:type="dxa"/>
          </w:tcPr>
          <w:p w:rsidR="004B4451" w:rsidRDefault="004B4451" w:rsidP="00C77C39">
            <w:pPr>
              <w:rPr>
                <w:rFonts w:eastAsia="ＭＳ ゴシック" w:cs="Menlo Regular"/>
                <w:color w:val="000000"/>
              </w:rPr>
            </w:pPr>
            <w:r>
              <w:rPr>
                <w:rFonts w:eastAsia="ＭＳ ゴシック" w:cs="Menlo Regular"/>
                <w:color w:val="000000"/>
              </w:rPr>
              <w:t>Phone number lookup</w:t>
            </w:r>
          </w:p>
        </w:tc>
        <w:tc>
          <w:tcPr>
            <w:tcW w:w="1005"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14"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73"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7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3018" w:type="dxa"/>
          </w:tcPr>
          <w:p w:rsidR="004B4451" w:rsidRDefault="004B4451" w:rsidP="00C77C39">
            <w:pPr>
              <w:rPr>
                <w:rFonts w:eastAsia="ＭＳ ゴシック" w:cs="Menlo Regular"/>
                <w:color w:val="000000"/>
              </w:rPr>
            </w:pPr>
            <w:r>
              <w:rPr>
                <w:rFonts w:eastAsia="ＭＳ ゴシック" w:cs="Menlo Regular"/>
                <w:color w:val="000000"/>
              </w:rPr>
              <w:t>Self review</w:t>
            </w:r>
          </w:p>
        </w:tc>
        <w:tc>
          <w:tcPr>
            <w:tcW w:w="1005"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14"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73"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7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3018" w:type="dxa"/>
          </w:tcPr>
          <w:p w:rsidR="004B4451" w:rsidRDefault="004B4451" w:rsidP="00C77C39">
            <w:pPr>
              <w:rPr>
                <w:rFonts w:eastAsia="ＭＳ ゴシック" w:cs="Menlo Regular"/>
                <w:color w:val="000000"/>
              </w:rPr>
            </w:pPr>
            <w:r>
              <w:rPr>
                <w:rFonts w:eastAsia="ＭＳ ゴシック" w:cs="Menlo Regular"/>
                <w:color w:val="000000"/>
              </w:rPr>
              <w:t>Intraoperative teaching</w:t>
            </w:r>
          </w:p>
        </w:tc>
        <w:tc>
          <w:tcPr>
            <w:tcW w:w="1005"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14"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73"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7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3018" w:type="dxa"/>
          </w:tcPr>
          <w:p w:rsidR="004B4451" w:rsidRDefault="004B4451" w:rsidP="00C77C39">
            <w:pPr>
              <w:rPr>
                <w:rFonts w:eastAsia="ＭＳ ゴシック" w:cs="Menlo Regular"/>
                <w:color w:val="000000"/>
              </w:rPr>
            </w:pPr>
            <w:r>
              <w:rPr>
                <w:rFonts w:eastAsia="ＭＳ ゴシック" w:cs="Menlo Regular"/>
                <w:color w:val="000000"/>
              </w:rPr>
              <w:t>Review ‘Just in Time’ BEFORE a patient/case higher risk for an event</w:t>
            </w:r>
          </w:p>
        </w:tc>
        <w:tc>
          <w:tcPr>
            <w:tcW w:w="1005"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14"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73"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7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3018" w:type="dxa"/>
          </w:tcPr>
          <w:p w:rsidR="004B4451" w:rsidRDefault="004B4451" w:rsidP="00C77C39">
            <w:pPr>
              <w:rPr>
                <w:rFonts w:eastAsia="ＭＳ ゴシック" w:cs="Menlo Regular"/>
                <w:color w:val="000000"/>
              </w:rPr>
            </w:pPr>
            <w:r>
              <w:rPr>
                <w:rFonts w:eastAsia="ＭＳ ゴシック" w:cs="Menlo Regular"/>
                <w:color w:val="000000"/>
              </w:rPr>
              <w:t>Guidance DURING an intraoperative event</w:t>
            </w:r>
          </w:p>
        </w:tc>
        <w:tc>
          <w:tcPr>
            <w:tcW w:w="1005"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14"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73"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78" w:type="dxa"/>
            <w:vAlign w:val="center"/>
          </w:tcPr>
          <w:p w:rsidR="004B4451" w:rsidRDefault="004B4451" w:rsidP="00C77C39">
            <w:pPr>
              <w:jc w:val="center"/>
            </w:pPr>
            <w:r w:rsidRPr="00E90729">
              <w:rPr>
                <w:rFonts w:ascii="Menlo Regular" w:eastAsia="ＭＳ ゴシック" w:hAnsi="Menlo Regular" w:cs="Menlo Regular"/>
                <w:color w:val="000000"/>
              </w:rPr>
              <w:t>☐</w:t>
            </w:r>
          </w:p>
        </w:tc>
      </w:tr>
      <w:tr w:rsidR="004B4451" w:rsidTr="00C77C39">
        <w:tc>
          <w:tcPr>
            <w:tcW w:w="3018" w:type="dxa"/>
          </w:tcPr>
          <w:p w:rsidR="004B4451" w:rsidRDefault="004B4451" w:rsidP="00C77C39">
            <w:pPr>
              <w:rPr>
                <w:rFonts w:eastAsia="ＭＳ ゴシック" w:cs="Menlo Regular"/>
                <w:color w:val="000000"/>
              </w:rPr>
            </w:pPr>
            <w:r>
              <w:rPr>
                <w:rFonts w:eastAsia="ＭＳ ゴシック" w:cs="Menlo Regular"/>
                <w:color w:val="000000"/>
              </w:rPr>
              <w:t>Review AFTER a critical event</w:t>
            </w:r>
          </w:p>
        </w:tc>
        <w:tc>
          <w:tcPr>
            <w:tcW w:w="1005"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68"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14"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073" w:type="dxa"/>
            <w:vAlign w:val="center"/>
          </w:tcPr>
          <w:p w:rsidR="004B4451" w:rsidRDefault="004B4451" w:rsidP="00C77C39">
            <w:pPr>
              <w:jc w:val="center"/>
            </w:pPr>
            <w:r w:rsidRPr="00E90729">
              <w:rPr>
                <w:rFonts w:ascii="Menlo Regular" w:eastAsia="ＭＳ ゴシック" w:hAnsi="Menlo Regular" w:cs="Menlo Regular"/>
                <w:color w:val="000000"/>
              </w:rPr>
              <w:t>☐</w:t>
            </w:r>
          </w:p>
        </w:tc>
        <w:tc>
          <w:tcPr>
            <w:tcW w:w="1278" w:type="dxa"/>
            <w:vAlign w:val="center"/>
          </w:tcPr>
          <w:p w:rsidR="004B4451" w:rsidRDefault="004B4451" w:rsidP="00C77C39">
            <w:pPr>
              <w:jc w:val="center"/>
            </w:pPr>
            <w:r w:rsidRPr="00E90729">
              <w:rPr>
                <w:rFonts w:ascii="Menlo Regular" w:eastAsia="ＭＳ ゴシック" w:hAnsi="Menlo Regular" w:cs="Menlo Regular"/>
                <w:color w:val="000000"/>
              </w:rPr>
              <w:t>☐</w:t>
            </w:r>
          </w:p>
        </w:tc>
      </w:tr>
    </w:tbl>
    <w:p w:rsidR="004B4451" w:rsidRDefault="004B4451" w:rsidP="004B4451"/>
    <w:p w:rsidR="004B4451" w:rsidRDefault="004B4451" w:rsidP="004B4451"/>
    <w:p w:rsidR="004B4451" w:rsidRDefault="004B4451" w:rsidP="004B4451">
      <w:pPr>
        <w:pStyle w:val="ListParagraph"/>
        <w:numPr>
          <w:ilvl w:val="0"/>
          <w:numId w:val="1"/>
        </w:numPr>
      </w:pPr>
      <w:r>
        <w:t>Please select your year in training</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Intern</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CA1</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CA2</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CA3</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Fellowship</w:t>
      </w:r>
    </w:p>
    <w:p w:rsidR="004B4451" w:rsidRDefault="004B4451" w:rsidP="004B4451"/>
    <w:p w:rsidR="004B4451" w:rsidRDefault="004B4451" w:rsidP="004B4451">
      <w:pPr>
        <w:pStyle w:val="ListParagraph"/>
        <w:numPr>
          <w:ilvl w:val="0"/>
          <w:numId w:val="1"/>
        </w:numPr>
      </w:pPr>
      <w:r>
        <w:t>Please select your gender</w:t>
      </w:r>
    </w:p>
    <w:p w:rsidR="004B4451" w:rsidRDefault="004B4451" w:rsidP="004B4451">
      <w:pPr>
        <w:pStyle w:val="ListParagraph"/>
        <w:ind w:left="1440"/>
        <w:rPr>
          <w:rFonts w:eastAsia="ＭＳ ゴシック" w:cs="Menlo Regular"/>
          <w:color w:val="000000"/>
        </w:rPr>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Male</w:t>
      </w:r>
    </w:p>
    <w:p w:rsidR="004B4451" w:rsidRDefault="004B4451" w:rsidP="004B4451">
      <w:pPr>
        <w:pStyle w:val="ListParagraph"/>
        <w:ind w:left="1440"/>
      </w:pPr>
      <w:r w:rsidRPr="00837C77">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Female</w:t>
      </w:r>
    </w:p>
    <w:p w:rsidR="004B4451" w:rsidRDefault="004B4451" w:rsidP="004B4451"/>
    <w:p w:rsidR="00C17378" w:rsidRDefault="00C17378">
      <w:bookmarkStart w:id="0" w:name="_GoBack"/>
      <w:bookmarkEnd w:id="0"/>
    </w:p>
    <w:sectPr w:rsidR="00C17378" w:rsidSect="009F23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B5EE4"/>
    <w:multiLevelType w:val="hybridMultilevel"/>
    <w:tmpl w:val="C196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51"/>
    <w:rsid w:val="004B4451"/>
    <w:rsid w:val="009F23E7"/>
    <w:rsid w:val="00C1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4F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51"/>
    <w:pPr>
      <w:ind w:left="720"/>
      <w:contextualSpacing/>
    </w:pPr>
  </w:style>
  <w:style w:type="table" w:styleId="TableGrid">
    <w:name w:val="Table Grid"/>
    <w:basedOn w:val="TableNormal"/>
    <w:uiPriority w:val="59"/>
    <w:rsid w:val="004B4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51"/>
    <w:pPr>
      <w:ind w:left="720"/>
      <w:contextualSpacing/>
    </w:pPr>
  </w:style>
  <w:style w:type="table" w:styleId="TableGrid">
    <w:name w:val="Table Grid"/>
    <w:basedOn w:val="TableNormal"/>
    <w:uiPriority w:val="59"/>
    <w:rsid w:val="004B4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1094</Words>
  <Characters>6236</Characters>
  <Application>Microsoft Macintosh Word</Application>
  <DocSecurity>0</DocSecurity>
  <Lines>51</Lines>
  <Paragraphs>14</Paragraphs>
  <ScaleCrop>false</ScaleCrop>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Bereknyei</dc:creator>
  <cp:keywords/>
  <dc:description/>
  <cp:lastModifiedBy>Sylvia Bereknyei</cp:lastModifiedBy>
  <cp:revision>1</cp:revision>
  <dcterms:created xsi:type="dcterms:W3CDTF">2015-11-12T22:54:00Z</dcterms:created>
  <dcterms:modified xsi:type="dcterms:W3CDTF">2015-11-12T23:00:00Z</dcterms:modified>
</cp:coreProperties>
</file>