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41D" w:rsidRPr="00532CA9" w:rsidRDefault="00D6341D" w:rsidP="001C047C">
      <w:pPr>
        <w:pStyle w:val="NoSpacing"/>
        <w:tabs>
          <w:tab w:val="left" w:pos="7635"/>
        </w:tabs>
        <w:spacing w:line="480" w:lineRule="auto"/>
        <w:rPr>
          <w:rFonts w:ascii="Arial" w:hAnsi="Arial" w:cs="Arial"/>
          <w:b/>
          <w:sz w:val="24"/>
          <w:szCs w:val="24"/>
        </w:rPr>
      </w:pPr>
      <w:r w:rsidRPr="00AA695D">
        <w:rPr>
          <w:rFonts w:ascii="Arial" w:hAnsi="Arial" w:cs="Arial"/>
          <w:b/>
          <w:sz w:val="24"/>
          <w:szCs w:val="24"/>
        </w:rPr>
        <w:t>Appendix</w:t>
      </w:r>
    </w:p>
    <w:p w:rsidR="00AA695D" w:rsidRPr="00AA695D" w:rsidRDefault="00AA695D" w:rsidP="00AA695D">
      <w:pPr>
        <w:pStyle w:val="NoSpacing"/>
        <w:numPr>
          <w:ilvl w:val="0"/>
          <w:numId w:val="2"/>
        </w:numPr>
        <w:spacing w:line="480" w:lineRule="auto"/>
        <w:rPr>
          <w:rFonts w:ascii="Arial" w:hAnsi="Arial" w:cs="Arial"/>
          <w:b/>
          <w:sz w:val="24"/>
          <w:szCs w:val="24"/>
        </w:rPr>
      </w:pPr>
      <w:r w:rsidRPr="00AA695D">
        <w:rPr>
          <w:rFonts w:ascii="Arial" w:hAnsi="Arial" w:cs="Arial"/>
          <w:b/>
          <w:sz w:val="24"/>
          <w:szCs w:val="24"/>
        </w:rPr>
        <w:t>Bench-top Dye Tracking and Data Analysis</w:t>
      </w:r>
    </w:p>
    <w:p w:rsidR="00AA695D" w:rsidRPr="008C10DF" w:rsidRDefault="00AA695D" w:rsidP="00AA695D">
      <w:pPr>
        <w:pStyle w:val="NoSpacing"/>
        <w:spacing w:line="480" w:lineRule="auto"/>
        <w:ind w:firstLine="360"/>
        <w:rPr>
          <w:rFonts w:ascii="Arial" w:hAnsi="Arial" w:cs="Arial"/>
          <w:sz w:val="24"/>
          <w:szCs w:val="24"/>
        </w:rPr>
      </w:pPr>
      <w:r w:rsidRPr="008C10DF">
        <w:rPr>
          <w:rFonts w:ascii="Arial" w:hAnsi="Arial" w:cs="Arial"/>
          <w:sz w:val="24"/>
          <w:szCs w:val="24"/>
        </w:rPr>
        <w:t xml:space="preserve">Dye distribution tracking in the spinal SAS uses a solution of </w:t>
      </w:r>
      <w:proofErr w:type="spellStart"/>
      <w:r w:rsidRPr="008C10DF">
        <w:rPr>
          <w:rFonts w:ascii="Arial" w:hAnsi="Arial" w:cs="Arial"/>
          <w:sz w:val="24"/>
          <w:szCs w:val="24"/>
        </w:rPr>
        <w:t>trypan</w:t>
      </w:r>
      <w:proofErr w:type="spellEnd"/>
      <w:r w:rsidRPr="008C10DF">
        <w:rPr>
          <w:rFonts w:ascii="Arial" w:hAnsi="Arial" w:cs="Arial"/>
          <w:sz w:val="24"/>
          <w:szCs w:val="24"/>
        </w:rPr>
        <w:t xml:space="preserve"> blue dye injected through the IT injection port. A HD video camera recorded the full duration of the injection to track the speed of dye front motion and extent of dye spread. Video recording of dye dispersion was acquired up to one hour for data processing.</w:t>
      </w:r>
    </w:p>
    <w:p w:rsidR="00AA695D" w:rsidRPr="008C10DF" w:rsidRDefault="00AA695D" w:rsidP="00AA695D">
      <w:pPr>
        <w:pStyle w:val="NoSpacing"/>
        <w:spacing w:line="480" w:lineRule="auto"/>
        <w:ind w:firstLine="360"/>
        <w:rPr>
          <w:rFonts w:ascii="Arial" w:hAnsi="Arial" w:cs="Arial"/>
          <w:sz w:val="24"/>
          <w:szCs w:val="24"/>
        </w:rPr>
      </w:pPr>
      <w:r w:rsidRPr="008C10DF">
        <w:rPr>
          <w:rFonts w:ascii="Arial" w:hAnsi="Arial" w:cs="Arial"/>
          <w:sz w:val="24"/>
          <w:szCs w:val="24"/>
        </w:rPr>
        <w:t xml:space="preserve">To calculate dye spread rates, video files are loaded into MATLAB to extract discrete </w:t>
      </w:r>
      <w:r>
        <w:rPr>
          <w:rFonts w:ascii="Arial" w:hAnsi="Arial" w:cs="Arial"/>
          <w:sz w:val="24"/>
          <w:szCs w:val="24"/>
        </w:rPr>
        <w:t>time points</w:t>
      </w:r>
      <w:r w:rsidRPr="008C10DF">
        <w:rPr>
          <w:rFonts w:ascii="Arial" w:hAnsi="Arial" w:cs="Arial"/>
          <w:sz w:val="24"/>
          <w:szCs w:val="24"/>
        </w:rPr>
        <w:t xml:space="preserve">. Intensity data is </w:t>
      </w:r>
      <w:r>
        <w:rPr>
          <w:rFonts w:ascii="Arial" w:hAnsi="Arial" w:cs="Arial"/>
          <w:sz w:val="24"/>
          <w:szCs w:val="24"/>
        </w:rPr>
        <w:t>measured</w:t>
      </w:r>
      <w:r w:rsidRPr="008C10DF">
        <w:rPr>
          <w:rFonts w:ascii="Arial" w:hAnsi="Arial" w:cs="Arial"/>
          <w:sz w:val="24"/>
          <w:szCs w:val="24"/>
        </w:rPr>
        <w:t xml:space="preserve"> from four sagittal vectors covering the spine model and averaged to reduce noise. Dye intensity profiles are plotted against distance for separate instances of time. Dispersion velocity is extracted as two components, the </w:t>
      </w:r>
      <w:r>
        <w:rPr>
          <w:rFonts w:ascii="Arial" w:hAnsi="Arial" w:cs="Arial"/>
          <w:sz w:val="24"/>
          <w:szCs w:val="24"/>
        </w:rPr>
        <w:t>dye</w:t>
      </w:r>
      <w:r w:rsidRPr="008C10DF">
        <w:rPr>
          <w:rFonts w:ascii="Arial" w:hAnsi="Arial" w:cs="Arial"/>
          <w:sz w:val="24"/>
          <w:szCs w:val="24"/>
        </w:rPr>
        <w:t xml:space="preserve"> mixing front and bulk motion. Dye front location is taken as 10% of the maximum dye intensity value and a linear regression model is fitted to data across the injection phase to calculate dye front velocity. The dye moment</w:t>
      </w:r>
      <w:r>
        <w:rPr>
          <w:rFonts w:ascii="Arial" w:hAnsi="Arial" w:cs="Arial"/>
          <w:sz w:val="24"/>
          <w:szCs w:val="24"/>
        </w:rPr>
        <w:t>, ɸ,</w:t>
      </w:r>
      <w:r w:rsidRPr="008C10DF">
        <w:rPr>
          <w:rFonts w:ascii="Arial" w:hAnsi="Arial" w:cs="Arial"/>
          <w:sz w:val="24"/>
          <w:szCs w:val="24"/>
        </w:rPr>
        <w:t xml:space="preserve"> finds the position weighted average where the velocity is calculated by:</w:t>
      </w:r>
    </w:p>
    <w:p w:rsidR="00AA695D" w:rsidRPr="008C10DF" w:rsidRDefault="00AA695D" w:rsidP="00AA695D">
      <w:pPr>
        <w:pStyle w:val="NoSpacing"/>
        <w:spacing w:after="120"/>
        <w:ind w:left="3600"/>
        <w:rPr>
          <w:rFonts w:ascii="Arial" w:hAnsi="Arial" w:cs="Arial"/>
          <w:sz w:val="24"/>
          <w:szCs w:val="24"/>
        </w:rPr>
      </w:pPr>
      <w:r w:rsidRPr="008C10DF">
        <w:rPr>
          <w:rFonts w:ascii="Arial" w:eastAsiaTheme="minorEastAsia" w:hAnsi="Arial" w:cs="Arial"/>
          <w:sz w:val="24"/>
          <w:szCs w:val="24"/>
        </w:rPr>
        <w:t xml:space="preserve">    </w:t>
      </w:r>
      <w:r>
        <w:rPr>
          <w:rFonts w:ascii="Arial" w:eastAsiaTheme="minorEastAsia" w:hAnsi="Arial" w:cs="Arial"/>
          <w:sz w:val="24"/>
          <w:szCs w:val="24"/>
        </w:rPr>
        <w:t xml:space="preserve">ɸ </w:t>
      </w:r>
      <m:oMath>
        <m:r>
          <w:rPr>
            <w:rFonts w:ascii="Cambria Math" w:hAnsi="Cambria Math" w:cs="Arial"/>
            <w:sz w:val="24"/>
            <w:szCs w:val="24"/>
          </w:rPr>
          <m:t xml:space="preserve">= </m:t>
        </m:r>
        <m:f>
          <m:fPr>
            <m:ctrlPr>
              <w:rPr>
                <w:rFonts w:ascii="Cambria Math" w:hAnsi="Cambria Math" w:cs="Arial"/>
                <w:i/>
                <w:sz w:val="24"/>
                <w:szCs w:val="24"/>
              </w:rPr>
            </m:ctrlPr>
          </m:fPr>
          <m:num>
            <m:nary>
              <m:naryPr>
                <m:chr m:val="∑"/>
                <m:limLoc m:val="undOvr"/>
                <m:subHide m:val="1"/>
                <m:supHide m:val="1"/>
                <m:ctrlPr>
                  <w:rPr>
                    <w:rFonts w:ascii="Cambria Math" w:hAnsi="Cambria Math" w:cs="Arial"/>
                    <w:i/>
                    <w:sz w:val="24"/>
                    <w:szCs w:val="24"/>
                  </w:rPr>
                </m:ctrlPr>
              </m:naryPr>
              <m:sub/>
              <m:sup/>
              <m:e>
                <m:r>
                  <w:rPr>
                    <w:rFonts w:ascii="Cambria Math" w:hAnsi="Cambria Math" w:cs="Arial"/>
                    <w:sz w:val="24"/>
                    <w:szCs w:val="24"/>
                  </w:rPr>
                  <m:t>xA</m:t>
                </m:r>
              </m:e>
            </m:nary>
          </m:num>
          <m:den>
            <m:nary>
              <m:naryPr>
                <m:chr m:val="∑"/>
                <m:limLoc m:val="undOvr"/>
                <m:subHide m:val="1"/>
                <m:supHide m:val="1"/>
                <m:ctrlPr>
                  <w:rPr>
                    <w:rFonts w:ascii="Cambria Math" w:hAnsi="Cambria Math" w:cs="Arial"/>
                    <w:i/>
                    <w:sz w:val="24"/>
                    <w:szCs w:val="24"/>
                  </w:rPr>
                </m:ctrlPr>
              </m:naryPr>
              <m:sub/>
              <m:sup/>
              <m:e>
                <m:r>
                  <w:rPr>
                    <w:rFonts w:ascii="Cambria Math" w:hAnsi="Cambria Math" w:cs="Arial"/>
                    <w:sz w:val="24"/>
                    <w:szCs w:val="24"/>
                  </w:rPr>
                  <m:t>A</m:t>
                </m:r>
              </m:e>
            </m:nary>
          </m:den>
        </m:f>
      </m:oMath>
      <w:r w:rsidRPr="008C10DF">
        <w:rPr>
          <w:rFonts w:ascii="Arial" w:eastAsiaTheme="minorEastAsia" w:hAnsi="Arial" w:cs="Arial"/>
          <w:sz w:val="24"/>
          <w:szCs w:val="24"/>
        </w:rPr>
        <w:t xml:space="preserve">                                                     </w:t>
      </w:r>
      <w:r w:rsidRPr="00E13690">
        <w:t>(</w:t>
      </w:r>
      <w:r w:rsidR="00E13690" w:rsidRPr="00E13690">
        <w:t>A.</w:t>
      </w:r>
      <w:r w:rsidRPr="00E13690">
        <w:t>1)</w:t>
      </w:r>
    </w:p>
    <w:p w:rsidR="00AA695D" w:rsidRDefault="00AA695D" w:rsidP="00AA695D">
      <w:pPr>
        <w:pStyle w:val="NoSpacing"/>
        <w:spacing w:line="480" w:lineRule="auto"/>
        <w:rPr>
          <w:rFonts w:ascii="Arial" w:hAnsi="Arial" w:cs="Arial"/>
          <w:sz w:val="24"/>
          <w:szCs w:val="24"/>
        </w:rPr>
      </w:pPr>
      <w:proofErr w:type="gramStart"/>
      <w:r w:rsidRPr="008C10DF">
        <w:rPr>
          <w:rFonts w:ascii="Arial" w:hAnsi="Arial" w:cs="Arial"/>
          <w:sz w:val="24"/>
          <w:szCs w:val="24"/>
        </w:rPr>
        <w:t>where</w:t>
      </w:r>
      <w:proofErr w:type="gramEnd"/>
      <w:r w:rsidRPr="008C10DF">
        <w:rPr>
          <w:rFonts w:ascii="Arial" w:hAnsi="Arial" w:cs="Arial"/>
          <w:sz w:val="24"/>
          <w:szCs w:val="24"/>
        </w:rPr>
        <w:t xml:space="preserve"> A is an </w:t>
      </w:r>
      <w:r>
        <w:rPr>
          <w:rFonts w:ascii="Arial" w:hAnsi="Arial" w:cs="Arial"/>
          <w:sz w:val="24"/>
          <w:szCs w:val="24"/>
        </w:rPr>
        <w:t>intensity</w:t>
      </w:r>
      <w:r w:rsidRPr="008C10DF">
        <w:rPr>
          <w:rFonts w:ascii="Arial" w:hAnsi="Arial" w:cs="Arial"/>
          <w:sz w:val="24"/>
          <w:szCs w:val="24"/>
        </w:rPr>
        <w:t xml:space="preserve"> </w:t>
      </w:r>
      <w:r>
        <w:rPr>
          <w:rFonts w:ascii="Arial" w:hAnsi="Arial" w:cs="Arial"/>
          <w:sz w:val="24"/>
          <w:szCs w:val="24"/>
        </w:rPr>
        <w:t>integral for a position segment</w:t>
      </w:r>
      <w:r w:rsidRPr="008C10DF">
        <w:rPr>
          <w:rFonts w:ascii="Arial" w:hAnsi="Arial" w:cs="Arial"/>
          <w:sz w:val="24"/>
          <w:szCs w:val="24"/>
        </w:rPr>
        <w:t xml:space="preserve"> and x is the position of that area. Position for both dispersion parameters is acquired for multiple time points</w:t>
      </w:r>
      <w:r>
        <w:rPr>
          <w:rFonts w:ascii="Arial" w:hAnsi="Arial" w:cs="Arial"/>
          <w:sz w:val="24"/>
          <w:szCs w:val="24"/>
        </w:rPr>
        <w:t>, t = {0, 0.25, 0.50, 0.75, 1, 5, 10, 15, 30, 60 minutes}</w:t>
      </w:r>
      <w:r w:rsidRPr="008C10DF">
        <w:rPr>
          <w:rFonts w:ascii="Arial" w:hAnsi="Arial" w:cs="Arial"/>
          <w:sz w:val="24"/>
          <w:szCs w:val="24"/>
        </w:rPr>
        <w:t xml:space="preserve"> and a rate of change is calculate</w:t>
      </w:r>
      <w:r>
        <w:rPr>
          <w:rFonts w:ascii="Arial" w:hAnsi="Arial" w:cs="Arial"/>
          <w:sz w:val="24"/>
          <w:szCs w:val="24"/>
        </w:rPr>
        <w:t>d</w:t>
      </w:r>
      <w:r w:rsidRPr="008C10DF">
        <w:rPr>
          <w:rFonts w:ascii="Arial" w:hAnsi="Arial" w:cs="Arial"/>
          <w:sz w:val="24"/>
          <w:szCs w:val="24"/>
        </w:rPr>
        <w:t xml:space="preserve"> to find the mixing front velocity and bulk motion rate.</w:t>
      </w:r>
    </w:p>
    <w:p w:rsidR="00AA695D" w:rsidRDefault="00AA695D" w:rsidP="00AA695D">
      <w:pPr>
        <w:pStyle w:val="NoSpacing"/>
        <w:spacing w:line="480" w:lineRule="auto"/>
        <w:rPr>
          <w:rFonts w:ascii="Arial" w:hAnsi="Arial" w:cs="Arial"/>
          <w:b/>
          <w:sz w:val="24"/>
          <w:szCs w:val="24"/>
        </w:rPr>
      </w:pPr>
    </w:p>
    <w:p w:rsidR="00AA695D" w:rsidRDefault="00AA695D" w:rsidP="00AA695D">
      <w:pPr>
        <w:pStyle w:val="NoSpacing"/>
        <w:spacing w:line="480" w:lineRule="auto"/>
        <w:rPr>
          <w:rFonts w:ascii="Arial" w:hAnsi="Arial" w:cs="Arial"/>
          <w:b/>
          <w:sz w:val="24"/>
          <w:szCs w:val="24"/>
        </w:rPr>
      </w:pPr>
    </w:p>
    <w:p w:rsidR="00AA695D" w:rsidRDefault="00AA695D" w:rsidP="00AA695D">
      <w:pPr>
        <w:pStyle w:val="NoSpacing"/>
        <w:spacing w:line="480" w:lineRule="auto"/>
        <w:rPr>
          <w:rFonts w:ascii="Arial" w:hAnsi="Arial" w:cs="Arial"/>
          <w:b/>
          <w:sz w:val="24"/>
          <w:szCs w:val="24"/>
        </w:rPr>
      </w:pPr>
    </w:p>
    <w:p w:rsidR="00AA695D" w:rsidRDefault="00AA695D" w:rsidP="00AA695D">
      <w:pPr>
        <w:pStyle w:val="NoSpacing"/>
        <w:spacing w:line="480" w:lineRule="auto"/>
        <w:rPr>
          <w:rFonts w:ascii="Arial" w:hAnsi="Arial" w:cs="Arial"/>
          <w:b/>
          <w:sz w:val="24"/>
          <w:szCs w:val="24"/>
        </w:rPr>
      </w:pPr>
    </w:p>
    <w:p w:rsidR="00E13690" w:rsidRDefault="00E13690" w:rsidP="00E13690">
      <w:pPr>
        <w:pStyle w:val="NoSpacing"/>
        <w:numPr>
          <w:ilvl w:val="0"/>
          <w:numId w:val="2"/>
        </w:numPr>
        <w:rPr>
          <w:rFonts w:ascii="Arial" w:hAnsi="Arial" w:cs="Arial"/>
          <w:b/>
          <w:sz w:val="24"/>
          <w:szCs w:val="24"/>
        </w:rPr>
      </w:pPr>
      <w:r w:rsidRPr="00E13690">
        <w:rPr>
          <w:rFonts w:ascii="Arial" w:hAnsi="Arial" w:cs="Arial"/>
          <w:b/>
          <w:sz w:val="24"/>
          <w:szCs w:val="24"/>
        </w:rPr>
        <w:lastRenderedPageBreak/>
        <w:t>Subject-specific CNS Model Generation</w:t>
      </w:r>
    </w:p>
    <w:p w:rsidR="00E13690" w:rsidRPr="00E13690" w:rsidRDefault="00E13690" w:rsidP="00E13690">
      <w:pPr>
        <w:pStyle w:val="NoSpacing"/>
        <w:ind w:left="720"/>
        <w:rPr>
          <w:rFonts w:ascii="Arial" w:hAnsi="Arial" w:cs="Arial"/>
          <w:b/>
          <w:sz w:val="24"/>
          <w:szCs w:val="24"/>
        </w:rPr>
      </w:pPr>
    </w:p>
    <w:p w:rsidR="00E13690" w:rsidRPr="00E13690" w:rsidRDefault="00E13690" w:rsidP="00E13690">
      <w:pPr>
        <w:pStyle w:val="NoSpacing"/>
        <w:spacing w:line="480" w:lineRule="auto"/>
        <w:ind w:firstLine="360"/>
        <w:rPr>
          <w:rFonts w:ascii="Arial" w:hAnsi="Arial" w:cs="Arial"/>
          <w:i/>
          <w:sz w:val="24"/>
          <w:szCs w:val="24"/>
        </w:rPr>
      </w:pPr>
      <w:r w:rsidRPr="00E13690">
        <w:rPr>
          <w:rFonts w:ascii="Arial" w:hAnsi="Arial" w:cs="Arial"/>
          <w:sz w:val="24"/>
          <w:szCs w:val="24"/>
        </w:rPr>
        <w:t>Subj</w:t>
      </w:r>
      <w:r w:rsidR="00277F55">
        <w:rPr>
          <w:rFonts w:ascii="Arial" w:hAnsi="Arial" w:cs="Arial"/>
          <w:sz w:val="24"/>
          <w:szCs w:val="24"/>
        </w:rPr>
        <w:t xml:space="preserve">ect specific computational meshes were </w:t>
      </w:r>
      <w:r w:rsidRPr="00E13690">
        <w:rPr>
          <w:rFonts w:ascii="Arial" w:hAnsi="Arial" w:cs="Arial"/>
          <w:sz w:val="24"/>
          <w:szCs w:val="24"/>
        </w:rPr>
        <w:t xml:space="preserve">reconstructed from MRI using tetrahedral elements covering the CSF filled spaces and elements for the tissue domain. </w:t>
      </w:r>
      <w:r w:rsidR="00277F55">
        <w:rPr>
          <w:rFonts w:ascii="Arial" w:hAnsi="Arial" w:cs="Arial"/>
          <w:sz w:val="24"/>
          <w:szCs w:val="24"/>
        </w:rPr>
        <w:t xml:space="preserve">Many dimensions for both subjects are listed in Table 2. </w:t>
      </w:r>
      <w:r w:rsidR="006E00E7">
        <w:rPr>
          <w:rFonts w:ascii="Arial" w:hAnsi="Arial" w:cs="Arial"/>
          <w:sz w:val="24"/>
          <w:szCs w:val="24"/>
        </w:rPr>
        <w:t xml:space="preserve">Supplemental Table 1 compares </w:t>
      </w:r>
      <w:r w:rsidR="00AB072F">
        <w:rPr>
          <w:rFonts w:ascii="Arial" w:hAnsi="Arial" w:cs="Arial"/>
          <w:sz w:val="24"/>
          <w:szCs w:val="24"/>
        </w:rPr>
        <w:t xml:space="preserve">height and spinal CSF volumes for </w:t>
      </w:r>
      <w:r w:rsidR="006E00E7">
        <w:rPr>
          <w:rFonts w:ascii="Arial" w:hAnsi="Arial" w:cs="Arial"/>
          <w:sz w:val="24"/>
          <w:szCs w:val="24"/>
        </w:rPr>
        <w:t>subject-1 of this study to</w:t>
      </w:r>
      <w:r w:rsidR="00AB072F">
        <w:rPr>
          <w:rFonts w:ascii="Arial" w:hAnsi="Arial" w:cs="Arial"/>
          <w:sz w:val="24"/>
          <w:szCs w:val="24"/>
        </w:rPr>
        <w:t xml:space="preserve"> subjects in </w:t>
      </w:r>
      <w:r w:rsidR="006E00E7">
        <w:rPr>
          <w:rFonts w:ascii="Arial" w:hAnsi="Arial" w:cs="Arial"/>
          <w:sz w:val="24"/>
          <w:szCs w:val="24"/>
        </w:rPr>
        <w:t xml:space="preserve">a previous clinical study by Carpenter et al. </w:t>
      </w:r>
      <w:r w:rsidR="00277F55">
        <w:rPr>
          <w:rFonts w:ascii="Arial" w:hAnsi="Arial" w:cs="Arial"/>
          <w:sz w:val="24"/>
          <w:szCs w:val="24"/>
        </w:rPr>
        <w:t>The spinal cord with</w:t>
      </w:r>
      <w:r w:rsidRPr="00E13690">
        <w:rPr>
          <w:rFonts w:ascii="Arial" w:hAnsi="Arial" w:cs="Arial"/>
          <w:sz w:val="24"/>
          <w:szCs w:val="24"/>
        </w:rPr>
        <w:t xml:space="preserve"> 31 nerve root pairs and skull are defined as rigid boundaries with </w:t>
      </w:r>
      <w:r w:rsidR="00277F55">
        <w:rPr>
          <w:rFonts w:ascii="Arial" w:hAnsi="Arial" w:cs="Arial"/>
          <w:sz w:val="24"/>
          <w:szCs w:val="24"/>
        </w:rPr>
        <w:t>impermeable walls</w:t>
      </w:r>
      <w:r w:rsidRPr="00E13690">
        <w:rPr>
          <w:rFonts w:ascii="Arial" w:hAnsi="Arial" w:cs="Arial"/>
          <w:sz w:val="24"/>
          <w:szCs w:val="24"/>
        </w:rPr>
        <w:t xml:space="preserve">. The cranial pial surface and lateral ventricles are periodically displaced to </w:t>
      </w:r>
      <w:r w:rsidR="00277F55">
        <w:rPr>
          <w:rFonts w:ascii="Arial" w:hAnsi="Arial" w:cs="Arial"/>
          <w:sz w:val="24"/>
          <w:szCs w:val="24"/>
        </w:rPr>
        <w:t>emulate</w:t>
      </w:r>
      <w:r w:rsidRPr="00E13690">
        <w:rPr>
          <w:rFonts w:ascii="Arial" w:hAnsi="Arial" w:cs="Arial"/>
          <w:sz w:val="24"/>
          <w:szCs w:val="24"/>
        </w:rPr>
        <w:t xml:space="preserve"> the cerebr</w:t>
      </w:r>
      <w:r w:rsidR="00277F55">
        <w:rPr>
          <w:rFonts w:ascii="Arial" w:hAnsi="Arial" w:cs="Arial"/>
          <w:sz w:val="24"/>
          <w:szCs w:val="24"/>
        </w:rPr>
        <w:t>o</w:t>
      </w:r>
      <w:r w:rsidRPr="00E13690">
        <w:rPr>
          <w:rFonts w:ascii="Arial" w:hAnsi="Arial" w:cs="Arial"/>
          <w:sz w:val="24"/>
          <w:szCs w:val="24"/>
        </w:rPr>
        <w:t>vascular</w:t>
      </w:r>
      <w:r w:rsidR="00277F55">
        <w:rPr>
          <w:rFonts w:ascii="Arial" w:hAnsi="Arial" w:cs="Arial"/>
          <w:sz w:val="24"/>
          <w:szCs w:val="24"/>
        </w:rPr>
        <w:t xml:space="preserve"> </w:t>
      </w:r>
      <w:r w:rsidRPr="00E13690">
        <w:rPr>
          <w:rFonts w:ascii="Arial" w:hAnsi="Arial" w:cs="Arial"/>
          <w:sz w:val="24"/>
          <w:szCs w:val="24"/>
        </w:rPr>
        <w:t>expansion driving CSF flow. CSF production is implemented at the choroid plexus in the lateral ventricle at a rate of 0.4mL/min and CSF absorption at the superior sagittal sinus at 0.4mL/min with a zero species transport at the boundary interface.</w:t>
      </w:r>
    </w:p>
    <w:tbl>
      <w:tblPr>
        <w:tblStyle w:val="TableGrid"/>
        <w:tblW w:w="0" w:type="auto"/>
        <w:tblLook w:val="04A0" w:firstRow="1" w:lastRow="0" w:firstColumn="1" w:lastColumn="0" w:noHBand="0" w:noVBand="1"/>
      </w:tblPr>
      <w:tblGrid>
        <w:gridCol w:w="2245"/>
        <w:gridCol w:w="1260"/>
        <w:gridCol w:w="2790"/>
        <w:gridCol w:w="2700"/>
      </w:tblGrid>
      <w:tr w:rsidR="006E00E7" w:rsidRPr="006E00E7" w:rsidTr="004F2391">
        <w:tc>
          <w:tcPr>
            <w:tcW w:w="8995" w:type="dxa"/>
            <w:gridSpan w:val="4"/>
            <w:tcBorders>
              <w:top w:val="nil"/>
              <w:left w:val="nil"/>
              <w:right w:val="nil"/>
            </w:tcBorders>
          </w:tcPr>
          <w:p w:rsidR="006E00E7" w:rsidRPr="006E00E7" w:rsidRDefault="00694F07" w:rsidP="00694F07">
            <w:pPr>
              <w:pStyle w:val="NoSpacing"/>
              <w:rPr>
                <w:rFonts w:ascii="Arial" w:hAnsi="Arial" w:cs="Arial"/>
                <w:sz w:val="20"/>
                <w:szCs w:val="24"/>
              </w:rPr>
            </w:pPr>
            <w:r>
              <w:rPr>
                <w:rFonts w:ascii="Arial" w:hAnsi="Arial" w:cs="Arial"/>
                <w:sz w:val="20"/>
                <w:szCs w:val="24"/>
              </w:rPr>
              <w:t>Supplemental Table</w:t>
            </w:r>
            <w:r w:rsidR="006E00E7">
              <w:rPr>
                <w:rFonts w:ascii="Arial" w:hAnsi="Arial" w:cs="Arial"/>
                <w:sz w:val="20"/>
                <w:szCs w:val="24"/>
              </w:rPr>
              <w:t xml:space="preserve">: </w:t>
            </w:r>
            <w:r>
              <w:rPr>
                <w:rFonts w:ascii="Arial" w:hAnsi="Arial" w:cs="Arial"/>
                <w:sz w:val="20"/>
                <w:szCs w:val="24"/>
              </w:rPr>
              <w:t xml:space="preserve">Comparison of height and CSF volumes for Subject-1 to prior clinical subjects </w:t>
            </w:r>
          </w:p>
        </w:tc>
      </w:tr>
      <w:tr w:rsidR="006E00E7" w:rsidRPr="006E00E7" w:rsidTr="006E00E7">
        <w:tc>
          <w:tcPr>
            <w:tcW w:w="2245" w:type="dxa"/>
          </w:tcPr>
          <w:p w:rsidR="006E00E7" w:rsidRPr="006E00E7" w:rsidRDefault="006E00E7" w:rsidP="00CD7851">
            <w:pPr>
              <w:pStyle w:val="NoSpacing"/>
              <w:rPr>
                <w:rFonts w:ascii="Arial" w:hAnsi="Arial" w:cs="Arial"/>
                <w:sz w:val="20"/>
                <w:szCs w:val="24"/>
              </w:rPr>
            </w:pPr>
            <w:r w:rsidRPr="006E00E7">
              <w:rPr>
                <w:rFonts w:ascii="Arial" w:hAnsi="Arial" w:cs="Arial"/>
                <w:sz w:val="20"/>
                <w:szCs w:val="24"/>
              </w:rPr>
              <w:t>Study</w:t>
            </w:r>
          </w:p>
        </w:tc>
        <w:tc>
          <w:tcPr>
            <w:tcW w:w="1260" w:type="dxa"/>
          </w:tcPr>
          <w:p w:rsidR="006E00E7" w:rsidRPr="006E00E7" w:rsidRDefault="006E00E7" w:rsidP="00CD7851">
            <w:pPr>
              <w:pStyle w:val="NoSpacing"/>
              <w:rPr>
                <w:rFonts w:ascii="Arial" w:hAnsi="Arial" w:cs="Arial"/>
                <w:sz w:val="20"/>
                <w:szCs w:val="24"/>
              </w:rPr>
            </w:pPr>
            <w:r w:rsidRPr="006E00E7">
              <w:rPr>
                <w:rFonts w:ascii="Arial" w:hAnsi="Arial" w:cs="Arial"/>
                <w:sz w:val="20"/>
                <w:szCs w:val="24"/>
              </w:rPr>
              <w:t>Height (cm)</w:t>
            </w:r>
          </w:p>
        </w:tc>
        <w:tc>
          <w:tcPr>
            <w:tcW w:w="2790" w:type="dxa"/>
          </w:tcPr>
          <w:p w:rsidR="006E00E7" w:rsidRPr="006E00E7" w:rsidRDefault="006E00E7" w:rsidP="00CD7851">
            <w:pPr>
              <w:pStyle w:val="NoSpacing"/>
              <w:rPr>
                <w:rFonts w:ascii="Arial" w:hAnsi="Arial" w:cs="Arial"/>
                <w:sz w:val="20"/>
                <w:szCs w:val="24"/>
              </w:rPr>
            </w:pPr>
            <w:r w:rsidRPr="006E00E7">
              <w:rPr>
                <w:rFonts w:ascii="Arial" w:hAnsi="Arial" w:cs="Arial"/>
                <w:sz w:val="20"/>
                <w:szCs w:val="24"/>
              </w:rPr>
              <w:t>L5 termination from CM</w:t>
            </w:r>
            <w:r>
              <w:rPr>
                <w:rFonts w:ascii="Arial" w:hAnsi="Arial" w:cs="Arial"/>
                <w:sz w:val="20"/>
                <w:szCs w:val="24"/>
              </w:rPr>
              <w:t xml:space="preserve"> (mL)</w:t>
            </w:r>
          </w:p>
        </w:tc>
        <w:tc>
          <w:tcPr>
            <w:tcW w:w="2700" w:type="dxa"/>
          </w:tcPr>
          <w:p w:rsidR="006E00E7" w:rsidRPr="006E00E7" w:rsidRDefault="006E00E7" w:rsidP="00CD7851">
            <w:pPr>
              <w:pStyle w:val="NoSpacing"/>
              <w:rPr>
                <w:rFonts w:ascii="Arial" w:hAnsi="Arial" w:cs="Arial"/>
                <w:sz w:val="20"/>
                <w:szCs w:val="24"/>
              </w:rPr>
            </w:pPr>
            <w:r w:rsidRPr="006E00E7">
              <w:rPr>
                <w:rFonts w:ascii="Arial" w:hAnsi="Arial" w:cs="Arial"/>
                <w:sz w:val="20"/>
                <w:szCs w:val="24"/>
              </w:rPr>
              <w:t>Cauda equina volume (mL)</w:t>
            </w:r>
          </w:p>
        </w:tc>
      </w:tr>
      <w:tr w:rsidR="006E00E7" w:rsidRPr="006E00E7" w:rsidTr="006E00E7">
        <w:tc>
          <w:tcPr>
            <w:tcW w:w="2245" w:type="dxa"/>
          </w:tcPr>
          <w:p w:rsidR="006E00E7" w:rsidRPr="006E00E7" w:rsidRDefault="006E00E7" w:rsidP="00CD7851">
            <w:pPr>
              <w:pStyle w:val="NoSpacing"/>
              <w:rPr>
                <w:rFonts w:ascii="Arial" w:hAnsi="Arial" w:cs="Arial"/>
                <w:sz w:val="20"/>
                <w:szCs w:val="24"/>
              </w:rPr>
            </w:pPr>
            <w:r>
              <w:rPr>
                <w:rFonts w:ascii="Arial" w:hAnsi="Arial" w:cs="Arial"/>
                <w:sz w:val="20"/>
                <w:szCs w:val="24"/>
              </w:rPr>
              <w:t>Current study</w:t>
            </w:r>
          </w:p>
        </w:tc>
        <w:tc>
          <w:tcPr>
            <w:tcW w:w="1260" w:type="dxa"/>
          </w:tcPr>
          <w:p w:rsidR="006E00E7" w:rsidRPr="006E00E7" w:rsidRDefault="006E00E7" w:rsidP="00CD7851">
            <w:pPr>
              <w:pStyle w:val="NoSpacing"/>
              <w:rPr>
                <w:rFonts w:ascii="Arial" w:hAnsi="Arial" w:cs="Arial"/>
                <w:sz w:val="20"/>
                <w:szCs w:val="24"/>
              </w:rPr>
            </w:pPr>
            <w:r w:rsidRPr="006E00E7">
              <w:rPr>
                <w:rFonts w:ascii="Arial" w:hAnsi="Arial" w:cs="Arial"/>
                <w:sz w:val="20"/>
                <w:szCs w:val="24"/>
              </w:rPr>
              <w:t xml:space="preserve">168 </w:t>
            </w:r>
          </w:p>
        </w:tc>
        <w:tc>
          <w:tcPr>
            <w:tcW w:w="2790" w:type="dxa"/>
          </w:tcPr>
          <w:p w:rsidR="006E00E7" w:rsidRPr="006E00E7" w:rsidRDefault="006E00E7" w:rsidP="00CD7851">
            <w:pPr>
              <w:pStyle w:val="NoSpacing"/>
              <w:rPr>
                <w:rFonts w:ascii="Arial" w:hAnsi="Arial" w:cs="Arial"/>
                <w:sz w:val="20"/>
                <w:szCs w:val="24"/>
              </w:rPr>
            </w:pPr>
            <w:r w:rsidRPr="006E00E7">
              <w:rPr>
                <w:rFonts w:ascii="Arial" w:hAnsi="Arial" w:cs="Arial"/>
                <w:sz w:val="20"/>
                <w:szCs w:val="24"/>
              </w:rPr>
              <w:t>62</w:t>
            </w:r>
          </w:p>
        </w:tc>
        <w:tc>
          <w:tcPr>
            <w:tcW w:w="2700" w:type="dxa"/>
          </w:tcPr>
          <w:p w:rsidR="006E00E7" w:rsidRPr="006E00E7" w:rsidRDefault="006E00E7" w:rsidP="00CD7851">
            <w:pPr>
              <w:pStyle w:val="NoSpacing"/>
              <w:rPr>
                <w:rFonts w:ascii="Arial" w:hAnsi="Arial" w:cs="Arial"/>
                <w:sz w:val="20"/>
                <w:szCs w:val="24"/>
              </w:rPr>
            </w:pPr>
            <w:r w:rsidRPr="006E00E7">
              <w:rPr>
                <w:rFonts w:ascii="Arial" w:hAnsi="Arial" w:cs="Arial"/>
                <w:sz w:val="20"/>
                <w:szCs w:val="24"/>
              </w:rPr>
              <w:t>51</w:t>
            </w:r>
          </w:p>
        </w:tc>
        <w:bookmarkStart w:id="0" w:name="_GoBack"/>
        <w:bookmarkEnd w:id="0"/>
      </w:tr>
      <w:tr w:rsidR="006E00E7" w:rsidRPr="006E00E7" w:rsidTr="006E00E7">
        <w:tc>
          <w:tcPr>
            <w:tcW w:w="2245" w:type="dxa"/>
          </w:tcPr>
          <w:p w:rsidR="006E00E7" w:rsidRPr="006E00E7" w:rsidRDefault="006E00E7" w:rsidP="00CD7851">
            <w:pPr>
              <w:pStyle w:val="NoSpacing"/>
              <w:rPr>
                <w:rFonts w:ascii="Arial" w:hAnsi="Arial" w:cs="Arial"/>
                <w:sz w:val="20"/>
                <w:szCs w:val="24"/>
              </w:rPr>
            </w:pPr>
            <w:r w:rsidRPr="006E00E7">
              <w:rPr>
                <w:rFonts w:ascii="Arial" w:hAnsi="Arial" w:cs="Arial"/>
                <w:sz w:val="20"/>
                <w:szCs w:val="24"/>
              </w:rPr>
              <w:t>Carpenter et al. 1998</w:t>
            </w:r>
          </w:p>
        </w:tc>
        <w:tc>
          <w:tcPr>
            <w:tcW w:w="1260" w:type="dxa"/>
          </w:tcPr>
          <w:p w:rsidR="006E00E7" w:rsidRPr="006E00E7" w:rsidRDefault="006E00E7" w:rsidP="00CD7851">
            <w:pPr>
              <w:pStyle w:val="NoSpacing"/>
              <w:rPr>
                <w:rFonts w:ascii="Arial" w:hAnsi="Arial" w:cs="Arial"/>
                <w:sz w:val="20"/>
                <w:szCs w:val="24"/>
              </w:rPr>
            </w:pPr>
            <w:r w:rsidRPr="006E00E7">
              <w:rPr>
                <w:rFonts w:ascii="Arial" w:hAnsi="Arial" w:cs="Arial"/>
                <w:sz w:val="20"/>
                <w:szCs w:val="24"/>
              </w:rPr>
              <w:t>173 ± 12</w:t>
            </w:r>
          </w:p>
        </w:tc>
        <w:tc>
          <w:tcPr>
            <w:tcW w:w="2790" w:type="dxa"/>
          </w:tcPr>
          <w:p w:rsidR="006E00E7" w:rsidRPr="006E00E7" w:rsidRDefault="006E00E7" w:rsidP="00CD7851">
            <w:pPr>
              <w:pStyle w:val="NoSpacing"/>
              <w:rPr>
                <w:rFonts w:ascii="Arial" w:hAnsi="Arial" w:cs="Arial"/>
                <w:sz w:val="20"/>
                <w:szCs w:val="24"/>
              </w:rPr>
            </w:pPr>
            <w:r w:rsidRPr="006E00E7">
              <w:rPr>
                <w:rFonts w:ascii="Arial" w:hAnsi="Arial" w:cs="Arial"/>
                <w:sz w:val="20"/>
                <w:szCs w:val="24"/>
              </w:rPr>
              <w:t>64 ± 5</w:t>
            </w:r>
          </w:p>
        </w:tc>
        <w:tc>
          <w:tcPr>
            <w:tcW w:w="2700" w:type="dxa"/>
          </w:tcPr>
          <w:p w:rsidR="006E00E7" w:rsidRPr="006E00E7" w:rsidRDefault="006E00E7" w:rsidP="00CD7851">
            <w:pPr>
              <w:pStyle w:val="NoSpacing"/>
              <w:rPr>
                <w:rFonts w:ascii="Arial" w:hAnsi="Arial" w:cs="Arial"/>
                <w:sz w:val="20"/>
                <w:szCs w:val="24"/>
              </w:rPr>
            </w:pPr>
            <w:r w:rsidRPr="006E00E7">
              <w:rPr>
                <w:rFonts w:ascii="Arial" w:hAnsi="Arial" w:cs="Arial"/>
                <w:sz w:val="20"/>
                <w:szCs w:val="24"/>
              </w:rPr>
              <w:t>42.7-81.1</w:t>
            </w:r>
          </w:p>
        </w:tc>
      </w:tr>
    </w:tbl>
    <w:p w:rsidR="00E13690" w:rsidRDefault="00E13690" w:rsidP="00E13690">
      <w:pPr>
        <w:pStyle w:val="NoSpacing"/>
        <w:spacing w:line="480" w:lineRule="auto"/>
        <w:rPr>
          <w:rFonts w:ascii="Arial" w:hAnsi="Arial" w:cs="Arial"/>
          <w:b/>
          <w:sz w:val="24"/>
          <w:szCs w:val="24"/>
        </w:rPr>
      </w:pPr>
    </w:p>
    <w:p w:rsidR="00AA695D" w:rsidRDefault="001C047C" w:rsidP="00AA695D">
      <w:pPr>
        <w:pStyle w:val="NoSpacing"/>
        <w:numPr>
          <w:ilvl w:val="0"/>
          <w:numId w:val="2"/>
        </w:numPr>
        <w:spacing w:line="480" w:lineRule="auto"/>
        <w:rPr>
          <w:rFonts w:ascii="Arial" w:hAnsi="Arial" w:cs="Arial"/>
          <w:b/>
          <w:sz w:val="24"/>
          <w:szCs w:val="24"/>
        </w:rPr>
      </w:pPr>
      <w:r w:rsidRPr="00532CA9">
        <w:rPr>
          <w:rFonts w:ascii="Arial" w:hAnsi="Arial" w:cs="Arial"/>
          <w:b/>
          <w:sz w:val="24"/>
          <w:szCs w:val="24"/>
        </w:rPr>
        <w:t>CSF flow field and species transport</w:t>
      </w:r>
    </w:p>
    <w:p w:rsidR="001C047C" w:rsidRPr="00AA695D" w:rsidRDefault="001C047C" w:rsidP="00AA695D">
      <w:pPr>
        <w:pStyle w:val="NoSpacing"/>
        <w:spacing w:line="480" w:lineRule="auto"/>
        <w:ind w:firstLine="360"/>
        <w:rPr>
          <w:rFonts w:ascii="Arial" w:hAnsi="Arial" w:cs="Arial"/>
          <w:b/>
          <w:sz w:val="24"/>
          <w:szCs w:val="24"/>
        </w:rPr>
      </w:pPr>
      <w:r w:rsidRPr="00AA695D">
        <w:rPr>
          <w:rFonts w:ascii="Arial" w:hAnsi="Arial" w:cs="Arial"/>
          <w:sz w:val="24"/>
          <w:szCs w:val="24"/>
        </w:rPr>
        <w:t xml:space="preserve">Drug dispersion </w:t>
      </w:r>
      <w:r w:rsidR="00277F55">
        <w:rPr>
          <w:rFonts w:ascii="Arial" w:hAnsi="Arial" w:cs="Arial"/>
          <w:sz w:val="24"/>
          <w:szCs w:val="24"/>
        </w:rPr>
        <w:t>as expressed by its concentration, C(</w:t>
      </w:r>
      <w:proofErr w:type="spellStart"/>
      <w:r w:rsidR="00277F55">
        <w:rPr>
          <w:rFonts w:ascii="Arial" w:hAnsi="Arial" w:cs="Arial"/>
          <w:sz w:val="24"/>
          <w:szCs w:val="24"/>
        </w:rPr>
        <w:t>x</w:t>
      </w:r>
      <w:proofErr w:type="gramStart"/>
      <w:r w:rsidR="00277F55">
        <w:rPr>
          <w:rFonts w:ascii="Arial" w:hAnsi="Arial" w:cs="Arial"/>
          <w:sz w:val="24"/>
          <w:szCs w:val="24"/>
        </w:rPr>
        <w:t>,t</w:t>
      </w:r>
      <w:proofErr w:type="spellEnd"/>
      <w:proofErr w:type="gramEnd"/>
      <w:r w:rsidR="00277F55">
        <w:rPr>
          <w:rFonts w:ascii="Arial" w:hAnsi="Arial" w:cs="Arial"/>
          <w:sz w:val="24"/>
          <w:szCs w:val="24"/>
        </w:rPr>
        <w:t xml:space="preserve">), </w:t>
      </w:r>
      <w:r w:rsidRPr="00AA695D">
        <w:rPr>
          <w:rFonts w:ascii="Arial" w:hAnsi="Arial" w:cs="Arial"/>
          <w:sz w:val="24"/>
          <w:szCs w:val="24"/>
        </w:rPr>
        <w:t xml:space="preserve">in the CSF </w:t>
      </w:r>
      <w:r w:rsidR="00277F55">
        <w:rPr>
          <w:rFonts w:ascii="Arial" w:hAnsi="Arial" w:cs="Arial"/>
          <w:sz w:val="24"/>
          <w:szCs w:val="24"/>
        </w:rPr>
        <w:t xml:space="preserve">and </w:t>
      </w:r>
      <w:r w:rsidRPr="00AA695D">
        <w:rPr>
          <w:rFonts w:ascii="Arial" w:hAnsi="Arial" w:cs="Arial"/>
          <w:sz w:val="24"/>
          <w:szCs w:val="24"/>
        </w:rPr>
        <w:t>is governed by the convection-diffusion equation, eq. 1, and the flow fields are calculated</w:t>
      </w:r>
      <w:r w:rsidR="00AA695D" w:rsidRPr="00AA695D">
        <w:rPr>
          <w:rFonts w:ascii="Arial" w:hAnsi="Arial" w:cs="Arial"/>
          <w:sz w:val="24"/>
          <w:szCs w:val="24"/>
        </w:rPr>
        <w:t xml:space="preserve"> by the Navier-Stokes equations</w:t>
      </w:r>
      <w:r w:rsidRPr="00AA695D">
        <w:rPr>
          <w:rFonts w:ascii="Arial" w:hAnsi="Arial" w:cs="Arial"/>
          <w:sz w:val="24"/>
          <w:szCs w:val="24"/>
        </w:rPr>
        <w:t xml:space="preserve">. The species transport equation is interesting as it contains all the key factors in a simple balance. </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20"/>
        <w:gridCol w:w="810"/>
      </w:tblGrid>
      <w:tr w:rsidR="001C047C" w:rsidRPr="00AF726C" w:rsidTr="00053935">
        <w:tc>
          <w:tcPr>
            <w:tcW w:w="8820" w:type="dxa"/>
          </w:tcPr>
          <w:p w:rsidR="001C047C" w:rsidRPr="00AF726C" w:rsidRDefault="00694F07" w:rsidP="00DD794D">
            <w:pPr>
              <w:pStyle w:val="NoSpacing"/>
              <w:spacing w:line="480" w:lineRule="auto"/>
            </w:pPr>
            <m:oMathPara>
              <m:oMath>
                <m:f>
                  <m:fPr>
                    <m:ctrlPr>
                      <w:rPr>
                        <w:rFonts w:ascii="Cambria Math" w:hAnsi="Cambria Math"/>
                      </w:rPr>
                    </m:ctrlPr>
                  </m:fPr>
                  <m:num>
                    <m:r>
                      <w:rPr>
                        <w:rFonts w:ascii="Cambria Math" w:hAnsi="Cambria Math"/>
                      </w:rPr>
                      <m:t>∂C</m:t>
                    </m:r>
                  </m:num>
                  <m:den>
                    <m:r>
                      <w:rPr>
                        <w:rFonts w:ascii="Cambria Math" w:hAnsi="Cambria Math"/>
                      </w:rPr>
                      <m:t>∂t</m:t>
                    </m:r>
                  </m:den>
                </m:f>
                <m:r>
                  <m:rPr>
                    <m:sty m:val="p"/>
                  </m:rPr>
                  <w:rPr>
                    <w:rFonts w:ascii="Cambria Math" w:hAnsi="Cambria Math"/>
                  </w:rPr>
                  <m:t>+</m:t>
                </m:r>
                <m:acc>
                  <m:accPr>
                    <m:chr m:val="⃑"/>
                    <m:ctrlPr>
                      <w:rPr>
                        <w:rFonts w:ascii="Cambria Math" w:hAnsi="Cambria Math"/>
                      </w:rPr>
                    </m:ctrlPr>
                  </m:accPr>
                  <m:e>
                    <m:r>
                      <w:rPr>
                        <w:rFonts w:ascii="Cambria Math" w:hAnsi="Cambria Math"/>
                      </w:rPr>
                      <m:t>u</m:t>
                    </m:r>
                  </m:e>
                </m:acc>
                <m:r>
                  <w:rPr>
                    <w:rFonts w:ascii="Cambria Math" w:hAnsi="Cambria Math"/>
                  </w:rPr>
                  <m:t>∙</m:t>
                </m:r>
                <m:acc>
                  <m:accPr>
                    <m:chr m:val="⃑"/>
                    <m:ctrlPr>
                      <w:rPr>
                        <w:rFonts w:ascii="Cambria Math" w:hAnsi="Cambria Math"/>
                        <w:i/>
                      </w:rPr>
                    </m:ctrlPr>
                  </m:accPr>
                  <m:e>
                    <m:r>
                      <m:rPr>
                        <m:sty m:val="p"/>
                      </m:rPr>
                      <w:rPr>
                        <w:rFonts w:ascii="Cambria Math" w:hAnsi="Cambria Math"/>
                      </w:rPr>
                      <m:t>∇</m:t>
                    </m:r>
                  </m:e>
                </m:acc>
                <m:r>
                  <w:rPr>
                    <w:rFonts w:ascii="Cambria Math" w:hAnsi="Cambria Math"/>
                  </w:rPr>
                  <m:t>C</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t</m:t>
                    </m:r>
                  </m:e>
                </m:d>
                <m:r>
                  <m:rPr>
                    <m:sty m:val="p"/>
                  </m:rPr>
                  <w:rPr>
                    <w:rFonts w:ascii="Cambria Math" w:hAnsi="Cambria Math"/>
                  </w:rPr>
                  <m:t>=</m:t>
                </m:r>
                <m:acc>
                  <m:accPr>
                    <m:chr m:val="⃑"/>
                    <m:ctrlPr>
                      <w:rPr>
                        <w:rFonts w:ascii="Cambria Math" w:hAnsi="Cambria Math"/>
                      </w:rPr>
                    </m:ctrlPr>
                  </m:accPr>
                  <m:e>
                    <m:r>
                      <w:rPr>
                        <w:rFonts w:ascii="Cambria Math" w:hAnsi="Cambria Math"/>
                      </w:rPr>
                      <m:t>∇</m:t>
                    </m:r>
                  </m:e>
                </m:acc>
                <m:r>
                  <m:rPr>
                    <m:sty m:val="p"/>
                  </m:rPr>
                  <w:rPr>
                    <w:rFonts w:ascii="Cambria Math" w:hAnsi="Cambria Math"/>
                  </w:rPr>
                  <m:t>∙</m:t>
                </m:r>
                <m:d>
                  <m:dPr>
                    <m:begChr m:val="["/>
                    <m:endChr m:val="]"/>
                    <m:ctrlPr>
                      <w:rPr>
                        <w:rFonts w:ascii="Cambria Math" w:hAnsi="Cambria Math"/>
                      </w:rPr>
                    </m:ctrlPr>
                  </m:dPr>
                  <m:e>
                    <m:sSub>
                      <m:sSubPr>
                        <m:ctrlPr>
                          <w:rPr>
                            <w:rFonts w:ascii="Cambria Math" w:hAnsi="Cambria Math"/>
                            <w:i/>
                          </w:rPr>
                        </m:ctrlPr>
                      </m:sSubPr>
                      <m:e>
                        <m:r>
                          <w:rPr>
                            <w:rFonts w:ascii="Cambria Math" w:hAnsi="Cambria Math"/>
                          </w:rPr>
                          <m:t>D</m:t>
                        </m:r>
                      </m:e>
                      <m:sub>
                        <m:r>
                          <w:rPr>
                            <w:rFonts w:ascii="Cambria Math" w:hAnsi="Cambria Math"/>
                          </w:rPr>
                          <m:t>CSF</m:t>
                        </m:r>
                      </m:sub>
                    </m:sSub>
                    <m:acc>
                      <m:accPr>
                        <m:chr m:val="⃑"/>
                        <m:ctrlPr>
                          <w:rPr>
                            <w:rFonts w:ascii="Cambria Math" w:hAnsi="Cambria Math"/>
                          </w:rPr>
                        </m:ctrlPr>
                      </m:accPr>
                      <m:e>
                        <m:r>
                          <w:rPr>
                            <w:rFonts w:ascii="Cambria Math" w:hAnsi="Cambria Math"/>
                          </w:rPr>
                          <m:t>∇</m:t>
                        </m:r>
                      </m:e>
                    </m:acc>
                    <m:r>
                      <w:rPr>
                        <w:rFonts w:ascii="Cambria Math" w:hAnsi="Cambria Math"/>
                      </w:rPr>
                      <m:t>C</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t</m:t>
                        </m:r>
                      </m:e>
                    </m:d>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V</m:t>
                    </m:r>
                  </m:den>
                </m:f>
                <m:r>
                  <w:rPr>
                    <w:rFonts w:ascii="Cambria Math" w:hAnsi="Cambria Math"/>
                  </w:rPr>
                  <m:t>S</m:t>
                </m:r>
                <m:d>
                  <m:dPr>
                    <m:ctrlPr>
                      <w:rPr>
                        <w:rFonts w:ascii="Cambria Math" w:hAnsi="Cambria Math"/>
                        <w:i/>
                      </w:rPr>
                    </m:ctrlPr>
                  </m:dPr>
                  <m:e>
                    <m:r>
                      <w:rPr>
                        <w:rFonts w:ascii="Cambria Math" w:hAnsi="Cambria Math"/>
                      </w:rPr>
                      <m:t>x,t</m:t>
                    </m:r>
                  </m:e>
                </m:d>
                <m:r>
                  <w:rPr>
                    <w:rFonts w:ascii="Cambria Math" w:hAnsi="Cambria Math"/>
                  </w:rPr>
                  <m:t>-E</m:t>
                </m:r>
                <m:d>
                  <m:dPr>
                    <m:ctrlPr>
                      <w:rPr>
                        <w:rFonts w:ascii="Cambria Math" w:hAnsi="Cambria Math"/>
                        <w:i/>
                      </w:rPr>
                    </m:ctrlPr>
                  </m:dPr>
                  <m:e>
                    <m:r>
                      <w:rPr>
                        <w:rFonts w:ascii="Cambria Math" w:hAnsi="Cambria Math"/>
                      </w:rPr>
                      <m:t>x,t</m:t>
                    </m:r>
                  </m:e>
                </m:d>
                <m:r>
                  <w:rPr>
                    <w:rFonts w:ascii="Cambria Math" w:hAnsi="Cambria Math"/>
                  </w:rPr>
                  <m:t>-T</m:t>
                </m:r>
                <m:r>
                  <w:rPr>
                    <w:rFonts w:ascii="Cambria Math" w:eastAsiaTheme="minorEastAsia" w:hAnsi="Cambria Math"/>
                  </w:rPr>
                  <m:t>(x,t)</m:t>
                </m:r>
              </m:oMath>
            </m:oMathPara>
          </w:p>
        </w:tc>
        <w:tc>
          <w:tcPr>
            <w:tcW w:w="810" w:type="dxa"/>
          </w:tcPr>
          <w:p w:rsidR="001C047C" w:rsidRPr="00AF726C" w:rsidRDefault="001C047C" w:rsidP="00E13690">
            <w:pPr>
              <w:pStyle w:val="NoSpacing"/>
              <w:spacing w:line="480" w:lineRule="auto"/>
            </w:pPr>
            <w:r w:rsidRPr="00AF726C">
              <w:t>(</w:t>
            </w:r>
            <w:r w:rsidR="00053935">
              <w:t>A.</w:t>
            </w:r>
            <w:r w:rsidR="00E13690">
              <w:t>2</w:t>
            </w:r>
            <w:r w:rsidRPr="00AF726C">
              <w:t>)</w:t>
            </w:r>
          </w:p>
        </w:tc>
      </w:tr>
      <w:tr w:rsidR="001C047C" w:rsidRPr="00AF726C" w:rsidTr="00053935">
        <w:tc>
          <w:tcPr>
            <w:tcW w:w="8820" w:type="dxa"/>
          </w:tcPr>
          <w:p w:rsidR="001C047C" w:rsidRPr="00AF726C" w:rsidRDefault="001C047C" w:rsidP="00DD794D">
            <w:pPr>
              <w:pStyle w:val="NoSpacing"/>
              <w:spacing w:line="480" w:lineRule="auto"/>
              <w:rPr>
                <w:rFonts w:ascii="Arial" w:eastAsia="Calibri" w:hAnsi="Arial" w:cs="Arial"/>
              </w:rPr>
            </w:pPr>
            <w:r w:rsidRPr="00AF726C">
              <w:rPr>
                <w:rFonts w:ascii="Arial" w:eastAsia="Calibri" w:hAnsi="Arial" w:cs="Arial"/>
              </w:rPr>
              <w:t xml:space="preserve">      Accumulation   </w:t>
            </w:r>
            <w:r>
              <w:rPr>
                <w:rFonts w:ascii="Arial" w:eastAsia="Calibri" w:hAnsi="Arial" w:cs="Arial"/>
              </w:rPr>
              <w:t>Convection</w:t>
            </w:r>
            <w:r w:rsidRPr="00AF726C">
              <w:rPr>
                <w:rFonts w:ascii="Arial" w:eastAsia="Calibri" w:hAnsi="Arial" w:cs="Arial"/>
              </w:rPr>
              <w:t xml:space="preserve">     Diffusion  </w:t>
            </w:r>
            <w:r>
              <w:rPr>
                <w:rFonts w:ascii="Arial" w:eastAsia="Calibri" w:hAnsi="Arial" w:cs="Arial"/>
              </w:rPr>
              <w:t xml:space="preserve">  In</w:t>
            </w:r>
            <w:r w:rsidRPr="00AF726C">
              <w:rPr>
                <w:rFonts w:ascii="Arial" w:eastAsia="Calibri" w:hAnsi="Arial" w:cs="Arial"/>
              </w:rPr>
              <w:t>fusion</w:t>
            </w:r>
            <w:r>
              <w:rPr>
                <w:rFonts w:ascii="Arial" w:eastAsia="Calibri" w:hAnsi="Arial" w:cs="Arial"/>
              </w:rPr>
              <w:t xml:space="preserve"> Rate</w:t>
            </w:r>
            <w:r w:rsidRPr="00AF726C">
              <w:rPr>
                <w:rFonts w:ascii="Arial" w:eastAsia="Calibri" w:hAnsi="Arial" w:cs="Arial"/>
              </w:rPr>
              <w:t xml:space="preserve">   De</w:t>
            </w:r>
            <w:r>
              <w:rPr>
                <w:rFonts w:ascii="Arial" w:eastAsia="Calibri" w:hAnsi="Arial" w:cs="Arial"/>
              </w:rPr>
              <w:t xml:space="preserve">activation  Tissue </w:t>
            </w:r>
            <w:r w:rsidRPr="00AF726C">
              <w:rPr>
                <w:rFonts w:ascii="Arial" w:eastAsia="Calibri" w:hAnsi="Arial" w:cs="Arial"/>
              </w:rPr>
              <w:t>Uptake</w:t>
            </w:r>
          </w:p>
        </w:tc>
        <w:tc>
          <w:tcPr>
            <w:tcW w:w="810" w:type="dxa"/>
          </w:tcPr>
          <w:p w:rsidR="001C047C" w:rsidRPr="00AF726C" w:rsidRDefault="001C047C" w:rsidP="00DD794D">
            <w:pPr>
              <w:pStyle w:val="NoSpacing"/>
              <w:spacing w:line="480" w:lineRule="auto"/>
            </w:pPr>
          </w:p>
        </w:tc>
      </w:tr>
    </w:tbl>
    <w:p w:rsidR="001C047C" w:rsidRDefault="001C047C" w:rsidP="001C047C">
      <w:pPr>
        <w:pStyle w:val="NoSpacing"/>
        <w:spacing w:line="480" w:lineRule="auto"/>
        <w:rPr>
          <w:rFonts w:ascii="Arial" w:hAnsi="Arial" w:cs="Arial"/>
          <w:sz w:val="24"/>
          <w:szCs w:val="24"/>
        </w:rPr>
      </w:pPr>
    </w:p>
    <w:p w:rsidR="001C047C" w:rsidRPr="00BC358E" w:rsidRDefault="001C047C" w:rsidP="001C047C">
      <w:pPr>
        <w:pStyle w:val="NoSpacing"/>
        <w:spacing w:line="480" w:lineRule="auto"/>
        <w:rPr>
          <w:rFonts w:ascii="Arial" w:hAnsi="Arial" w:cs="Arial"/>
          <w:sz w:val="24"/>
          <w:szCs w:val="24"/>
        </w:rPr>
      </w:pPr>
      <w:r w:rsidRPr="00AF726C">
        <w:rPr>
          <w:rFonts w:ascii="Arial" w:hAnsi="Arial" w:cs="Arial"/>
          <w:sz w:val="24"/>
          <w:szCs w:val="24"/>
        </w:rPr>
        <w:lastRenderedPageBreak/>
        <w:t>CSF pulsatility is accounted for by the convection term, u(</w:t>
      </w:r>
      <w:proofErr w:type="spellStart"/>
      <w:r w:rsidRPr="00AF726C">
        <w:rPr>
          <w:rFonts w:ascii="Arial" w:hAnsi="Arial" w:cs="Arial"/>
          <w:sz w:val="24"/>
          <w:szCs w:val="24"/>
        </w:rPr>
        <w:t>x</w:t>
      </w:r>
      <w:proofErr w:type="gramStart"/>
      <w:r w:rsidRPr="00AF726C">
        <w:rPr>
          <w:rFonts w:ascii="Arial" w:hAnsi="Arial" w:cs="Arial"/>
          <w:sz w:val="24"/>
          <w:szCs w:val="24"/>
        </w:rPr>
        <w:t>,t</w:t>
      </w:r>
      <w:proofErr w:type="spellEnd"/>
      <w:proofErr w:type="gramEnd"/>
      <w:r w:rsidRPr="00AF726C">
        <w:rPr>
          <w:rFonts w:ascii="Arial" w:hAnsi="Arial" w:cs="Arial"/>
          <w:sz w:val="24"/>
          <w:szCs w:val="24"/>
        </w:rPr>
        <w:t>)</w:t>
      </w:r>
      <w:r>
        <w:rPr>
          <w:rFonts w:ascii="Arial" w:hAnsi="Arial" w:cs="Arial"/>
          <w:sz w:val="24"/>
          <w:szCs w:val="24"/>
        </w:rPr>
        <w:t xml:space="preserve"> its pulse frequency is varied</w:t>
      </w:r>
      <w:r w:rsidRPr="00AF726C">
        <w:rPr>
          <w:rFonts w:ascii="Arial" w:hAnsi="Arial" w:cs="Arial"/>
          <w:sz w:val="24"/>
          <w:szCs w:val="24"/>
        </w:rPr>
        <w:t xml:space="preserve">, ω = {40, 72, 120BPM}. The impact of different infusion strategies is explored with a lumbar catheter incorporated into the subject-specific </w:t>
      </w:r>
      <w:r>
        <w:rPr>
          <w:rFonts w:ascii="Arial" w:hAnsi="Arial" w:cs="Arial"/>
          <w:sz w:val="24"/>
          <w:szCs w:val="24"/>
        </w:rPr>
        <w:t>spine</w:t>
      </w:r>
      <w:r w:rsidRPr="00AF726C">
        <w:rPr>
          <w:rFonts w:ascii="Arial" w:hAnsi="Arial" w:cs="Arial"/>
          <w:sz w:val="24"/>
          <w:szCs w:val="24"/>
        </w:rPr>
        <w:t xml:space="preserve"> model. We tested multiple infusion parameters for volume, </w:t>
      </w:r>
      <w:r>
        <w:rPr>
          <w:rFonts w:ascii="Arial" w:hAnsi="Arial" w:cs="Arial"/>
          <w:sz w:val="24"/>
          <w:szCs w:val="24"/>
        </w:rPr>
        <w:t>INJ</w:t>
      </w:r>
      <w:r>
        <w:rPr>
          <w:rFonts w:ascii="Arial" w:hAnsi="Arial" w:cs="Arial"/>
          <w:sz w:val="24"/>
          <w:szCs w:val="24"/>
          <w:vertAlign w:val="subscript"/>
        </w:rPr>
        <w:t>V</w:t>
      </w:r>
      <w:r w:rsidRPr="00AF726C">
        <w:rPr>
          <w:rFonts w:ascii="Arial" w:hAnsi="Arial" w:cs="Arial"/>
          <w:sz w:val="24"/>
          <w:szCs w:val="24"/>
        </w:rPr>
        <w:t xml:space="preserve"> = {1, 5, </w:t>
      </w:r>
      <w:r w:rsidRPr="00BC358E">
        <w:rPr>
          <w:rFonts w:ascii="Arial" w:hAnsi="Arial" w:cs="Arial"/>
          <w:sz w:val="24"/>
          <w:szCs w:val="24"/>
        </w:rPr>
        <w:t xml:space="preserve">10mL} and infusion duration, </w:t>
      </w:r>
      <w:r>
        <w:rPr>
          <w:rFonts w:ascii="Arial" w:hAnsi="Arial" w:cs="Arial"/>
          <w:sz w:val="24"/>
          <w:szCs w:val="24"/>
        </w:rPr>
        <w:t>INJ</w:t>
      </w:r>
      <w:r>
        <w:rPr>
          <w:rFonts w:ascii="Arial" w:hAnsi="Arial" w:cs="Arial"/>
          <w:sz w:val="24"/>
          <w:szCs w:val="24"/>
          <w:vertAlign w:val="subscript"/>
        </w:rPr>
        <w:t>D</w:t>
      </w:r>
      <w:r w:rsidRPr="00BC358E">
        <w:rPr>
          <w:rFonts w:ascii="Arial" w:hAnsi="Arial" w:cs="Arial"/>
          <w:sz w:val="24"/>
          <w:szCs w:val="24"/>
        </w:rPr>
        <w:t xml:space="preserve"> = {1, 5, 10, 60min}, to study continuous IT infusion and bolus injections.</w:t>
      </w:r>
    </w:p>
    <w:p w:rsidR="001C047C" w:rsidRPr="00BC358E" w:rsidRDefault="001C047C" w:rsidP="001C047C">
      <w:pPr>
        <w:pStyle w:val="NoSpacing"/>
        <w:spacing w:line="480" w:lineRule="auto"/>
        <w:ind w:firstLine="360"/>
        <w:rPr>
          <w:rFonts w:ascii="Arial" w:hAnsi="Arial" w:cs="Arial"/>
          <w:sz w:val="24"/>
          <w:szCs w:val="24"/>
        </w:rPr>
      </w:pPr>
      <w:r w:rsidRPr="00BC358E">
        <w:rPr>
          <w:rFonts w:ascii="Arial" w:hAnsi="Arial" w:cs="Arial"/>
          <w:sz w:val="24"/>
          <w:szCs w:val="24"/>
        </w:rPr>
        <w:t xml:space="preserve">Infused drugs are </w:t>
      </w:r>
      <w:proofErr w:type="spellStart"/>
      <w:r w:rsidRPr="00BC358E">
        <w:rPr>
          <w:rFonts w:ascii="Arial" w:hAnsi="Arial" w:cs="Arial"/>
          <w:sz w:val="24"/>
          <w:szCs w:val="24"/>
        </w:rPr>
        <w:t>pharmacokinetically</w:t>
      </w:r>
      <w:proofErr w:type="spellEnd"/>
      <w:r w:rsidRPr="00BC358E">
        <w:rPr>
          <w:rFonts w:ascii="Arial" w:hAnsi="Arial" w:cs="Arial"/>
          <w:sz w:val="24"/>
          <w:szCs w:val="24"/>
        </w:rPr>
        <w:t xml:space="preserve"> active. The first relevant </w:t>
      </w:r>
      <w:proofErr w:type="spellStart"/>
      <w:r w:rsidRPr="00BC358E">
        <w:rPr>
          <w:rFonts w:ascii="Arial" w:hAnsi="Arial" w:cs="Arial"/>
          <w:sz w:val="24"/>
          <w:szCs w:val="24"/>
        </w:rPr>
        <w:t>bioreaction</w:t>
      </w:r>
      <w:proofErr w:type="spellEnd"/>
      <w:r w:rsidRPr="00BC358E">
        <w:rPr>
          <w:rFonts w:ascii="Arial" w:hAnsi="Arial" w:cs="Arial"/>
          <w:sz w:val="24"/>
          <w:szCs w:val="24"/>
        </w:rPr>
        <w:t xml:space="preserve"> is enzymatic decay in the bulk CSF, which </w:t>
      </w:r>
      <w:r w:rsidR="00277F55">
        <w:rPr>
          <w:rFonts w:ascii="Arial" w:hAnsi="Arial" w:cs="Arial"/>
          <w:sz w:val="24"/>
          <w:szCs w:val="24"/>
        </w:rPr>
        <w:t>is</w:t>
      </w:r>
      <w:r w:rsidRPr="00BC358E">
        <w:rPr>
          <w:rFonts w:ascii="Arial" w:hAnsi="Arial" w:cs="Arial"/>
          <w:sz w:val="24"/>
          <w:szCs w:val="24"/>
        </w:rPr>
        <w:t xml:space="preserve"> modeled as a </w:t>
      </w:r>
      <w:r>
        <w:rPr>
          <w:rFonts w:ascii="Arial" w:hAnsi="Arial" w:cs="Arial"/>
          <w:sz w:val="24"/>
          <w:szCs w:val="24"/>
        </w:rPr>
        <w:t xml:space="preserve">chemical </w:t>
      </w:r>
      <w:r w:rsidRPr="00BC358E">
        <w:rPr>
          <w:rFonts w:ascii="Arial" w:hAnsi="Arial" w:cs="Arial"/>
          <w:sz w:val="24"/>
          <w:szCs w:val="24"/>
        </w:rPr>
        <w:t>destruction term E(</w:t>
      </w:r>
      <w:proofErr w:type="spellStart"/>
      <w:r w:rsidRPr="00BC358E">
        <w:rPr>
          <w:rFonts w:ascii="Arial" w:hAnsi="Arial" w:cs="Arial"/>
          <w:sz w:val="24"/>
          <w:szCs w:val="24"/>
        </w:rPr>
        <w:t>x</w:t>
      </w:r>
      <w:proofErr w:type="gramStart"/>
      <w:r w:rsidRPr="00BC358E">
        <w:rPr>
          <w:rFonts w:ascii="Arial" w:hAnsi="Arial" w:cs="Arial"/>
          <w:sz w:val="24"/>
          <w:szCs w:val="24"/>
        </w:rPr>
        <w:t>,t</w:t>
      </w:r>
      <w:proofErr w:type="spellEnd"/>
      <w:proofErr w:type="gramEnd"/>
      <w:r w:rsidRPr="00BC358E">
        <w:rPr>
          <w:rFonts w:ascii="Arial" w:hAnsi="Arial" w:cs="Arial"/>
          <w:sz w:val="24"/>
          <w:szCs w:val="24"/>
        </w:rPr>
        <w:t>). Drugs can also pass between the CSF and be taken up by tissue, which is modeled by the mass transfer rate T(</w:t>
      </w:r>
      <w:proofErr w:type="spellStart"/>
      <w:r w:rsidRPr="00BC358E">
        <w:rPr>
          <w:rFonts w:ascii="Arial" w:hAnsi="Arial" w:cs="Arial"/>
          <w:sz w:val="24"/>
          <w:szCs w:val="24"/>
        </w:rPr>
        <w:t>x</w:t>
      </w:r>
      <w:proofErr w:type="gramStart"/>
      <w:r w:rsidRPr="00BC358E">
        <w:rPr>
          <w:rFonts w:ascii="Arial" w:hAnsi="Arial" w:cs="Arial"/>
          <w:sz w:val="24"/>
          <w:szCs w:val="24"/>
        </w:rPr>
        <w:t>,t</w:t>
      </w:r>
      <w:proofErr w:type="spellEnd"/>
      <w:proofErr w:type="gramEnd"/>
      <w:r w:rsidRPr="00BC358E">
        <w:rPr>
          <w:rFonts w:ascii="Arial" w:hAnsi="Arial" w:cs="Arial"/>
          <w:sz w:val="24"/>
          <w:szCs w:val="24"/>
        </w:rPr>
        <w:t>); drug uptake is accounted for across the spinal pia membrane</w:t>
      </w:r>
      <w:r w:rsidR="00277F55">
        <w:rPr>
          <w:rFonts w:ascii="Arial" w:hAnsi="Arial" w:cs="Arial"/>
          <w:sz w:val="24"/>
          <w:szCs w:val="24"/>
        </w:rPr>
        <w:t>.</w:t>
      </w:r>
      <w:r w:rsidRPr="00BC358E">
        <w:rPr>
          <w:rFonts w:ascii="Arial" w:eastAsiaTheme="minorEastAsia" w:hAnsi="Arial" w:cs="Arial"/>
          <w:sz w:val="24"/>
          <w:szCs w:val="24"/>
        </w:rPr>
        <w:t xml:space="preserve"> D</w:t>
      </w:r>
      <w:r>
        <w:rPr>
          <w:rFonts w:ascii="Arial" w:eastAsiaTheme="minorEastAsia" w:hAnsi="Arial" w:cs="Arial"/>
          <w:sz w:val="24"/>
          <w:szCs w:val="24"/>
          <w:vertAlign w:val="subscript"/>
        </w:rPr>
        <w:t>CSF</w:t>
      </w:r>
      <w:r w:rsidRPr="00BC358E">
        <w:rPr>
          <w:rFonts w:ascii="Arial" w:eastAsiaTheme="minorEastAsia" w:hAnsi="Arial" w:cs="Arial"/>
          <w:sz w:val="24"/>
          <w:szCs w:val="24"/>
        </w:rPr>
        <w:t xml:space="preserve"> is </w:t>
      </w:r>
      <w:r>
        <w:rPr>
          <w:rFonts w:ascii="Arial" w:eastAsiaTheme="minorEastAsia" w:hAnsi="Arial" w:cs="Arial"/>
          <w:sz w:val="24"/>
          <w:szCs w:val="24"/>
        </w:rPr>
        <w:t>its</w:t>
      </w:r>
      <w:r w:rsidRPr="00BC358E">
        <w:rPr>
          <w:rFonts w:ascii="Arial" w:eastAsiaTheme="minorEastAsia" w:hAnsi="Arial" w:cs="Arial"/>
          <w:sz w:val="24"/>
          <w:szCs w:val="24"/>
        </w:rPr>
        <w:t xml:space="preserve"> diffusivity</w:t>
      </w:r>
      <w:r w:rsidR="00277F55">
        <w:rPr>
          <w:rFonts w:ascii="Arial" w:hAnsi="Arial" w:cs="Arial"/>
          <w:sz w:val="24"/>
          <w:szCs w:val="24"/>
        </w:rPr>
        <w:t>.</w:t>
      </w:r>
    </w:p>
    <w:p w:rsidR="001C047C" w:rsidRPr="00BC358E" w:rsidRDefault="001C047C" w:rsidP="001C047C">
      <w:pPr>
        <w:pStyle w:val="NoSpacing"/>
        <w:spacing w:line="480" w:lineRule="auto"/>
        <w:ind w:firstLine="360"/>
        <w:rPr>
          <w:rFonts w:ascii="Arial" w:hAnsi="Arial" w:cs="Arial"/>
          <w:sz w:val="24"/>
          <w:szCs w:val="24"/>
        </w:rPr>
      </w:pPr>
      <w:r w:rsidRPr="00BC358E">
        <w:rPr>
          <w:rFonts w:ascii="Arial" w:hAnsi="Arial" w:cs="Arial"/>
          <w:sz w:val="24"/>
          <w:szCs w:val="24"/>
        </w:rPr>
        <w:t>The mass transfer rate of tissue uptake</w:t>
      </w:r>
      <w:r>
        <w:rPr>
          <w:rFonts w:ascii="Arial" w:hAnsi="Arial" w:cs="Arial"/>
          <w:sz w:val="24"/>
          <w:szCs w:val="24"/>
        </w:rPr>
        <w:t>, T(</w:t>
      </w:r>
      <w:proofErr w:type="spellStart"/>
      <w:r>
        <w:rPr>
          <w:rFonts w:ascii="Arial" w:hAnsi="Arial" w:cs="Arial"/>
          <w:sz w:val="24"/>
          <w:szCs w:val="24"/>
        </w:rPr>
        <w:t>x</w:t>
      </w:r>
      <w:proofErr w:type="gramStart"/>
      <w:r>
        <w:rPr>
          <w:rFonts w:ascii="Arial" w:hAnsi="Arial" w:cs="Arial"/>
          <w:sz w:val="24"/>
          <w:szCs w:val="24"/>
        </w:rPr>
        <w:t>,t</w:t>
      </w:r>
      <w:proofErr w:type="spellEnd"/>
      <w:proofErr w:type="gramEnd"/>
      <w:r>
        <w:rPr>
          <w:rFonts w:ascii="Arial" w:hAnsi="Arial" w:cs="Arial"/>
          <w:sz w:val="24"/>
          <w:szCs w:val="24"/>
        </w:rPr>
        <w:t xml:space="preserve">), varies for different opiates, </w:t>
      </w:r>
      <w:proofErr w:type="spellStart"/>
      <w:r>
        <w:rPr>
          <w:rFonts w:ascii="Arial" w:hAnsi="Arial" w:cs="Arial"/>
          <w:sz w:val="24"/>
          <w:szCs w:val="24"/>
        </w:rPr>
        <w:t>k</w:t>
      </w:r>
      <w:r>
        <w:rPr>
          <w:rFonts w:ascii="Arial" w:hAnsi="Arial" w:cs="Arial"/>
          <w:sz w:val="24"/>
          <w:szCs w:val="24"/>
          <w:vertAlign w:val="subscript"/>
        </w:rPr>
        <w:t>u</w:t>
      </w:r>
      <w:proofErr w:type="spellEnd"/>
      <w:r w:rsidR="00277F55">
        <w:rPr>
          <w:rFonts w:ascii="Arial" w:hAnsi="Arial" w:cs="Arial"/>
          <w:sz w:val="24"/>
          <w:szCs w:val="24"/>
        </w:rPr>
        <w:t> = </w:t>
      </w:r>
      <w:r w:rsidRPr="00BC358E">
        <w:rPr>
          <w:rFonts w:ascii="Arial" w:hAnsi="Arial" w:cs="Arial"/>
          <w:sz w:val="24"/>
          <w:szCs w:val="24"/>
        </w:rPr>
        <w:t xml:space="preserve">{Morphine, </w:t>
      </w:r>
      <w:proofErr w:type="spellStart"/>
      <w:r w:rsidRPr="00BC358E">
        <w:rPr>
          <w:rFonts w:ascii="Arial" w:hAnsi="Arial" w:cs="Arial"/>
          <w:sz w:val="24"/>
          <w:szCs w:val="24"/>
        </w:rPr>
        <w:t>Afentanil</w:t>
      </w:r>
      <w:proofErr w:type="spellEnd"/>
      <w:r w:rsidRPr="00BC358E">
        <w:rPr>
          <w:rFonts w:ascii="Arial" w:hAnsi="Arial" w:cs="Arial"/>
          <w:sz w:val="24"/>
          <w:szCs w:val="24"/>
        </w:rPr>
        <w:t xml:space="preserve">, Sufentanil} and is </w:t>
      </w:r>
      <w:proofErr w:type="spellStart"/>
      <w:r w:rsidRPr="00BC358E">
        <w:rPr>
          <w:rFonts w:ascii="Arial" w:hAnsi="Arial" w:cs="Arial"/>
          <w:sz w:val="24"/>
          <w:szCs w:val="24"/>
        </w:rPr>
        <w:t>dependant</w:t>
      </w:r>
      <w:proofErr w:type="spellEnd"/>
      <w:r w:rsidRPr="00BC358E">
        <w:rPr>
          <w:rFonts w:ascii="Arial" w:hAnsi="Arial" w:cs="Arial"/>
          <w:sz w:val="24"/>
          <w:szCs w:val="24"/>
        </w:rPr>
        <w:t xml:space="preserve"> upon </w:t>
      </w:r>
      <w:r>
        <w:rPr>
          <w:rFonts w:ascii="Arial" w:hAnsi="Arial" w:cs="Arial"/>
          <w:sz w:val="24"/>
          <w:szCs w:val="24"/>
        </w:rPr>
        <w:t>their</w:t>
      </w:r>
      <w:r w:rsidRPr="00BC358E">
        <w:rPr>
          <w:rFonts w:ascii="Arial" w:hAnsi="Arial" w:cs="Arial"/>
          <w:sz w:val="24"/>
          <w:szCs w:val="24"/>
        </w:rPr>
        <w:t xml:space="preserve"> </w:t>
      </w:r>
      <w:r w:rsidRPr="005B3E87">
        <w:rPr>
          <w:rFonts w:ascii="Arial" w:hAnsi="Arial" w:cs="Arial"/>
          <w:sz w:val="24"/>
          <w:szCs w:val="24"/>
        </w:rPr>
        <w:t>lipophilicity. The tissue uptake rate accounts for the transfer of drug from the CSF space into the extracellular spaces. Species kinetics are adjusted to fit the relative reactio</w:t>
      </w:r>
      <w:r w:rsidRPr="00BC358E">
        <w:rPr>
          <w:rFonts w:ascii="Arial" w:hAnsi="Arial" w:cs="Arial"/>
          <w:sz w:val="24"/>
          <w:szCs w:val="24"/>
        </w:rPr>
        <w:t xml:space="preserve">n, degradation, and tissue solubility profile of pain medications as taken from </w:t>
      </w:r>
      <w:r w:rsidRPr="00257355">
        <w:rPr>
          <w:rFonts w:ascii="Arial" w:hAnsi="Arial" w:cs="Arial"/>
          <w:sz w:val="24"/>
          <w:szCs w:val="24"/>
        </w:rPr>
        <w:t>PK studies by Ummenhofer et al and as summarized in Table 1. Morphine has a</w:t>
      </w:r>
      <w:r w:rsidRPr="00BC358E">
        <w:rPr>
          <w:rFonts w:ascii="Arial" w:hAnsi="Arial" w:cs="Arial"/>
          <w:sz w:val="24"/>
          <w:szCs w:val="24"/>
        </w:rPr>
        <w:t xml:space="preserve"> </w:t>
      </w:r>
      <w:r>
        <w:rPr>
          <w:rFonts w:ascii="Arial" w:hAnsi="Arial" w:cs="Arial"/>
          <w:sz w:val="24"/>
          <w:szCs w:val="24"/>
        </w:rPr>
        <w:t>s</w:t>
      </w:r>
      <w:r w:rsidRPr="00BC358E">
        <w:rPr>
          <w:rFonts w:ascii="Arial" w:hAnsi="Arial" w:cs="Arial"/>
          <w:sz w:val="24"/>
          <w:szCs w:val="24"/>
        </w:rPr>
        <w:t>low tissue uptake and low blood clearance. Alfentanil, an opioid with moderate lipophilicity is modeled with high tissue uptake and high blood clearance. Sufentanil is</w:t>
      </w:r>
      <w:r>
        <w:rPr>
          <w:rFonts w:ascii="Arial" w:hAnsi="Arial" w:cs="Arial"/>
          <w:sz w:val="24"/>
          <w:szCs w:val="24"/>
        </w:rPr>
        <w:t xml:space="preserve"> an opioid with</w:t>
      </w:r>
      <w:r w:rsidRPr="00BC358E">
        <w:rPr>
          <w:rFonts w:ascii="Arial" w:hAnsi="Arial" w:cs="Arial"/>
          <w:sz w:val="24"/>
          <w:szCs w:val="24"/>
        </w:rPr>
        <w:t xml:space="preserve"> very low tissue uptake and low clearance. </w:t>
      </w:r>
    </w:p>
    <w:p w:rsidR="00AA695D" w:rsidRDefault="00AA695D" w:rsidP="00AA695D">
      <w:pPr>
        <w:pStyle w:val="NoSpacing"/>
        <w:spacing w:line="480" w:lineRule="auto"/>
        <w:rPr>
          <w:rFonts w:ascii="Arial" w:hAnsi="Arial" w:cs="Arial"/>
          <w:b/>
          <w:sz w:val="24"/>
          <w:szCs w:val="24"/>
        </w:rPr>
      </w:pPr>
    </w:p>
    <w:p w:rsidR="001C047C" w:rsidRPr="00E34A39" w:rsidRDefault="001C047C" w:rsidP="00AA695D">
      <w:pPr>
        <w:pStyle w:val="NoSpacing"/>
        <w:numPr>
          <w:ilvl w:val="0"/>
          <w:numId w:val="2"/>
        </w:numPr>
        <w:spacing w:line="480" w:lineRule="auto"/>
        <w:rPr>
          <w:rFonts w:ascii="Arial" w:hAnsi="Arial" w:cs="Arial"/>
          <w:b/>
          <w:sz w:val="24"/>
          <w:szCs w:val="24"/>
        </w:rPr>
      </w:pPr>
      <w:r w:rsidRPr="00E34A39">
        <w:rPr>
          <w:rFonts w:ascii="Arial" w:hAnsi="Arial" w:cs="Arial"/>
          <w:b/>
          <w:sz w:val="24"/>
          <w:szCs w:val="24"/>
        </w:rPr>
        <w:t xml:space="preserve">Reaction kinetics in CNS tissue </w:t>
      </w:r>
    </w:p>
    <w:p w:rsidR="001C047C" w:rsidRPr="00E34A39" w:rsidRDefault="001C047C" w:rsidP="001C047C">
      <w:pPr>
        <w:pStyle w:val="NoSpacing"/>
        <w:spacing w:line="480" w:lineRule="auto"/>
        <w:ind w:firstLine="360"/>
        <w:rPr>
          <w:rFonts w:ascii="Arial" w:hAnsi="Arial" w:cs="Arial"/>
          <w:sz w:val="24"/>
          <w:szCs w:val="24"/>
        </w:rPr>
      </w:pPr>
      <w:r w:rsidRPr="00E34A39">
        <w:rPr>
          <w:rFonts w:ascii="Arial" w:hAnsi="Arial" w:cs="Arial"/>
          <w:sz w:val="24"/>
          <w:szCs w:val="24"/>
        </w:rPr>
        <w:t xml:space="preserve">In addition, after drugs travel from the CSF across the leptomeningeal layers, they can </w:t>
      </w:r>
      <w:r w:rsidRPr="001B0879">
        <w:rPr>
          <w:rFonts w:ascii="Arial" w:hAnsi="Arial" w:cs="Arial"/>
          <w:sz w:val="24"/>
          <w:szCs w:val="24"/>
        </w:rPr>
        <w:t xml:space="preserve">diffuse through the porous tissue extracellular space (ECS) or be taken up by cells, </w:t>
      </w:r>
      <w:r w:rsidRPr="00570D91">
        <w:rPr>
          <w:rFonts w:ascii="Arial" w:hAnsi="Arial" w:cs="Arial"/>
          <w:sz w:val="24"/>
          <w:szCs w:val="24"/>
        </w:rPr>
        <w:lastRenderedPageBreak/>
        <w:t>U(</w:t>
      </w:r>
      <w:proofErr w:type="spellStart"/>
      <w:r w:rsidRPr="00570D91">
        <w:rPr>
          <w:rFonts w:ascii="Arial" w:hAnsi="Arial" w:cs="Arial"/>
          <w:sz w:val="24"/>
          <w:szCs w:val="24"/>
        </w:rPr>
        <w:t>x,t</w:t>
      </w:r>
      <w:proofErr w:type="spellEnd"/>
      <w:r w:rsidRPr="00570D91">
        <w:rPr>
          <w:rFonts w:ascii="Arial" w:hAnsi="Arial" w:cs="Arial"/>
          <w:sz w:val="24"/>
          <w:szCs w:val="24"/>
        </w:rPr>
        <w:t xml:space="preserve">) as described by </w:t>
      </w:r>
      <w:proofErr w:type="spellStart"/>
      <w:r w:rsidRPr="00570D91">
        <w:rPr>
          <w:rFonts w:ascii="Arial" w:hAnsi="Arial" w:cs="Arial"/>
          <w:sz w:val="24"/>
          <w:szCs w:val="24"/>
        </w:rPr>
        <w:t>Sykova</w:t>
      </w:r>
      <w:proofErr w:type="spellEnd"/>
      <w:r w:rsidRPr="00570D91">
        <w:rPr>
          <w:rFonts w:ascii="Arial" w:hAnsi="Arial" w:cs="Arial"/>
          <w:sz w:val="24"/>
          <w:szCs w:val="24"/>
        </w:rPr>
        <w:t xml:space="preserve"> and Nicholson, 2008</w:t>
      </w:r>
      <w:r w:rsidRPr="00570D91">
        <w:rPr>
          <w:rFonts w:ascii="Arial" w:hAnsi="Arial" w:cs="Arial"/>
          <w:sz w:val="24"/>
          <w:szCs w:val="24"/>
        </w:rPr>
        <w:fldChar w:fldCharType="begin"/>
      </w:r>
      <w:r w:rsidRPr="00570D91">
        <w:rPr>
          <w:rFonts w:ascii="Arial" w:hAnsi="Arial" w:cs="Arial"/>
          <w:sz w:val="24"/>
          <w:szCs w:val="24"/>
        </w:rPr>
        <w:instrText xml:space="preserve"> ADDIN ZOTERO_ITEM CSL_CITATION {"citationID":"12n18bmrum","properties":{"formattedCitation":"[26]","plainCitation":"[26]"},"citationItems":[{"id":3201,"uris":["http://zotero.org/users/local/7pLcNjZw/items/K5JGHZFN"],"uri":["http://zotero.org/users/local/7pLcNjZw/items/K5JGHZFN"],"itemData":{"id":3201,"type":"article-journal","title":"Diffusion in brain extracellular space","container-title":"Physiological Reviews","page":"1277-1340","volume":"88","issue":"4","source":"PubMed","abstract":"Diffusion in the extracellular space (ECS) of the brain is constrained by the volume fraction and the tortuosity and a modified diffusion equation represents the transport behavior of many molecules in the brain. Deviations from the equation reveal loss of molecules across the blood-brain barrier, through cellular uptake, binding, or other mechanisms. Early diffusion measurements used radiolabeled sucrose and other tracers. Presently, the real-time iontophoresis (RTI) method is employed for small ions and the integrative optical imaging (IOI) method for fluorescent macromolecules, including dextrans or proteins. Theoretical models and simulations of the ECS have explored the influence of ECS geometry, effects of dead-space microdomains, extracellular matrix, and interaction of macromolecules with ECS channels. Extensive experimental studies with the RTI method employing the cation tetramethylammonium (TMA) in normal brain tissue show that the volume fraction of the ECS typically is approximately 20% and the tortuosity is approximately 1.6 (i.e., free diffusion coefficient of TMA is reduced by 2.6), although there are regional variations. These parameters change during development and aging. Diffusion properties have been characterized in several interventions, including brain stimulation, osmotic challenge, and knockout of extracellular matrix components. Measurements have also been made during ischemia, in models of Alzheimer's and Parkinson's diseases, and in human gliomas. Overall, these studies improve our conception of ECS structure and the roles of glia and extracellular matrix in modulating the ECS microenvironment. Knowledge of ECS diffusion properties is valuable in contexts ranging from understanding extrasynaptic volume transmission to the development of paradigms for drug delivery to the brain.","DOI":"10.1152/physrev.00027.2007","ISSN":"0031-9333","note":"PMID: 18923183\nPMCID: PMC2785730","journalAbbreviation":"Physiol. Rev.","language":"eng","author":[{"family":"Syková","given":"Eva"},{"family":"Nicholson","given":"Charles"}],"issued":{"date-parts":[["2008",10]]},"PMID":"18923183","PMCID":"PMC2785730"}}],"schema":"https://github.com/citation-style-language/schema/raw/master/csl-citation.json"} </w:instrText>
      </w:r>
      <w:r w:rsidRPr="00570D91">
        <w:rPr>
          <w:rFonts w:ascii="Arial" w:hAnsi="Arial" w:cs="Arial"/>
          <w:sz w:val="24"/>
          <w:szCs w:val="24"/>
        </w:rPr>
        <w:fldChar w:fldCharType="separate"/>
      </w:r>
      <w:r w:rsidRPr="00570D91">
        <w:rPr>
          <w:rFonts w:ascii="Arial" w:hAnsi="Arial" w:cs="Arial"/>
          <w:sz w:val="24"/>
        </w:rPr>
        <w:t>[26]</w:t>
      </w:r>
      <w:r w:rsidRPr="00570D91">
        <w:rPr>
          <w:rFonts w:ascii="Arial" w:hAnsi="Arial" w:cs="Arial"/>
          <w:sz w:val="24"/>
          <w:szCs w:val="24"/>
        </w:rPr>
        <w:fldChar w:fldCharType="end"/>
      </w:r>
      <w:r w:rsidRPr="00570D91">
        <w:rPr>
          <w:rFonts w:ascii="Arial" w:hAnsi="Arial" w:cs="Arial"/>
          <w:sz w:val="24"/>
          <w:szCs w:val="24"/>
        </w:rPr>
        <w:t>.</w:t>
      </w:r>
      <w:r w:rsidRPr="001B0879">
        <w:rPr>
          <w:rFonts w:ascii="Arial" w:hAnsi="Arial" w:cs="Arial"/>
          <w:sz w:val="24"/>
          <w:szCs w:val="24"/>
        </w:rPr>
        <w:t xml:space="preserve"> An additional important biochemical reaction is the </w:t>
      </w:r>
      <w:r>
        <w:rPr>
          <w:rFonts w:ascii="Arial" w:hAnsi="Arial" w:cs="Arial"/>
          <w:sz w:val="24"/>
          <w:szCs w:val="24"/>
        </w:rPr>
        <w:t>elimination</w:t>
      </w:r>
      <w:r w:rsidRPr="001B0879">
        <w:rPr>
          <w:rFonts w:ascii="Arial" w:hAnsi="Arial" w:cs="Arial"/>
          <w:sz w:val="24"/>
          <w:szCs w:val="24"/>
        </w:rPr>
        <w:t xml:space="preserve"> of drugs</w:t>
      </w:r>
      <w:r w:rsidRPr="00E34A39">
        <w:rPr>
          <w:rFonts w:ascii="Arial" w:hAnsi="Arial" w:cs="Arial"/>
          <w:sz w:val="24"/>
          <w:szCs w:val="24"/>
        </w:rPr>
        <w:t xml:space="preserve"> into the bloodstream across the blood brain barrier, R(</w:t>
      </w:r>
      <w:proofErr w:type="spellStart"/>
      <w:r w:rsidRPr="00E34A39">
        <w:rPr>
          <w:rFonts w:ascii="Arial" w:hAnsi="Arial" w:cs="Arial"/>
          <w:sz w:val="24"/>
          <w:szCs w:val="24"/>
        </w:rPr>
        <w:t>x</w:t>
      </w:r>
      <w:proofErr w:type="gramStart"/>
      <w:r w:rsidRPr="00E34A39">
        <w:rPr>
          <w:rFonts w:ascii="Arial" w:hAnsi="Arial" w:cs="Arial"/>
          <w:sz w:val="24"/>
          <w:szCs w:val="24"/>
        </w:rPr>
        <w:t>,t</w:t>
      </w:r>
      <w:proofErr w:type="spellEnd"/>
      <w:proofErr w:type="gramEnd"/>
      <w:r w:rsidRPr="00E34A39">
        <w:rPr>
          <w:rFonts w:ascii="Arial" w:hAnsi="Arial" w:cs="Arial"/>
          <w:sz w:val="24"/>
          <w:szCs w:val="24"/>
        </w:rPr>
        <w:t xml:space="preserve">). </w:t>
      </w:r>
      <w:r>
        <w:rPr>
          <w:rFonts w:ascii="Arial" w:hAnsi="Arial" w:cs="Arial"/>
          <w:sz w:val="24"/>
          <w:szCs w:val="24"/>
        </w:rPr>
        <w:t>B</w:t>
      </w:r>
      <w:r w:rsidRPr="00E34A39">
        <w:rPr>
          <w:rFonts w:ascii="Arial" w:hAnsi="Arial" w:cs="Arial"/>
          <w:sz w:val="24"/>
          <w:szCs w:val="24"/>
        </w:rPr>
        <w:t xml:space="preserve">lood </w:t>
      </w:r>
      <w:r>
        <w:rPr>
          <w:rFonts w:ascii="Arial" w:hAnsi="Arial" w:cs="Arial"/>
          <w:sz w:val="24"/>
          <w:szCs w:val="24"/>
        </w:rPr>
        <w:t xml:space="preserve">clearance </w:t>
      </w:r>
      <w:r w:rsidRPr="00E34A39">
        <w:rPr>
          <w:rFonts w:ascii="Arial" w:hAnsi="Arial" w:cs="Arial"/>
          <w:sz w:val="24"/>
          <w:szCs w:val="24"/>
        </w:rPr>
        <w:t>is considered</w:t>
      </w:r>
      <w:r>
        <w:rPr>
          <w:rFonts w:ascii="Arial" w:hAnsi="Arial" w:cs="Arial"/>
          <w:sz w:val="24"/>
          <w:szCs w:val="24"/>
        </w:rPr>
        <w:t xml:space="preserve"> an</w:t>
      </w:r>
      <w:r w:rsidRPr="00E34A39">
        <w:rPr>
          <w:rFonts w:ascii="Arial" w:hAnsi="Arial" w:cs="Arial"/>
          <w:sz w:val="24"/>
          <w:szCs w:val="24"/>
        </w:rPr>
        <w:t xml:space="preserve"> irreversible</w:t>
      </w:r>
      <w:r>
        <w:rPr>
          <w:rFonts w:ascii="Arial" w:hAnsi="Arial" w:cs="Arial"/>
          <w:sz w:val="24"/>
          <w:szCs w:val="24"/>
        </w:rPr>
        <w:t xml:space="preserve"> reaction</w:t>
      </w:r>
      <w:r w:rsidRPr="00E34A39">
        <w:rPr>
          <w:rFonts w:ascii="Arial" w:hAnsi="Arial" w:cs="Arial"/>
          <w:sz w:val="24"/>
          <w:szCs w:val="24"/>
        </w:rPr>
        <w:t xml:space="preserve"> in this model, and included as a destruction term.</w:t>
      </w:r>
    </w:p>
    <w:p w:rsidR="001C047C" w:rsidRPr="00E34A39" w:rsidRDefault="001C047C" w:rsidP="001C047C">
      <w:pPr>
        <w:pStyle w:val="NoSpacing"/>
        <w:spacing w:line="48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6"/>
        <w:gridCol w:w="644"/>
      </w:tblGrid>
      <w:tr w:rsidR="001C047C" w:rsidRPr="00AF726C" w:rsidTr="00DD794D">
        <w:tc>
          <w:tcPr>
            <w:tcW w:w="8815" w:type="dxa"/>
          </w:tcPr>
          <w:p w:rsidR="001C047C" w:rsidRPr="00E34A39" w:rsidRDefault="00694F07" w:rsidP="00DD794D">
            <w:pPr>
              <w:pStyle w:val="NoSpacing"/>
              <w:spacing w:line="480" w:lineRule="auto"/>
              <w:rPr>
                <w:rFonts w:ascii="Arial" w:eastAsia="Calibri" w:hAnsi="Arial" w:cs="Arial"/>
              </w:rPr>
            </w:pPr>
            <m:oMathPara>
              <m:oMath>
                <m:f>
                  <m:fPr>
                    <m:ctrlPr>
                      <w:rPr>
                        <w:rFonts w:ascii="Cambria Math" w:hAnsi="Cambria Math"/>
                      </w:rPr>
                    </m:ctrlPr>
                  </m:fPr>
                  <m:num>
                    <m:r>
                      <w:rPr>
                        <w:rFonts w:ascii="Cambria Math" w:hAnsi="Cambria Math"/>
                      </w:rPr>
                      <m:t>∂C</m:t>
                    </m:r>
                  </m:num>
                  <m:den>
                    <m:r>
                      <w:rPr>
                        <w:rFonts w:ascii="Cambria Math" w:hAnsi="Cambria Math"/>
                      </w:rPr>
                      <m:t>∂t</m:t>
                    </m:r>
                  </m:den>
                </m:f>
                <m:r>
                  <m:rPr>
                    <m:sty m:val="p"/>
                  </m:rPr>
                  <w:rPr>
                    <w:rFonts w:ascii="Cambria Math" w:hAnsi="Cambria Math"/>
                  </w:rPr>
                  <m:t>=</m:t>
                </m:r>
                <m:acc>
                  <m:accPr>
                    <m:chr m:val="⃑"/>
                    <m:ctrlPr>
                      <w:rPr>
                        <w:rFonts w:ascii="Cambria Math" w:hAnsi="Cambria Math"/>
                      </w:rPr>
                    </m:ctrlPr>
                  </m:accPr>
                  <m:e>
                    <m:r>
                      <w:rPr>
                        <w:rFonts w:ascii="Cambria Math" w:hAnsi="Cambria Math"/>
                      </w:rPr>
                      <m:t>∇</m:t>
                    </m:r>
                  </m:e>
                </m:acc>
                <m:r>
                  <m:rPr>
                    <m:sty m:val="p"/>
                  </m:rPr>
                  <w:rPr>
                    <w:rFonts w:ascii="Cambria Math" w:hAnsi="Cambria Math"/>
                  </w:rPr>
                  <m:t>∙</m:t>
                </m:r>
                <m:d>
                  <m:dPr>
                    <m:begChr m:val="["/>
                    <m:endChr m:val="]"/>
                    <m:ctrlPr>
                      <w:rPr>
                        <w:rFonts w:ascii="Cambria Math" w:hAnsi="Cambria Math"/>
                      </w:rPr>
                    </m:ctrlPr>
                  </m:dPr>
                  <m:e>
                    <m:sSub>
                      <m:sSubPr>
                        <m:ctrlPr>
                          <w:rPr>
                            <w:rFonts w:ascii="Cambria Math" w:hAnsi="Cambria Math"/>
                            <w:i/>
                          </w:rPr>
                        </m:ctrlPr>
                      </m:sSubPr>
                      <m:e>
                        <m:r>
                          <w:rPr>
                            <w:rFonts w:ascii="Cambria Math" w:hAnsi="Cambria Math"/>
                          </w:rPr>
                          <m:t>D</m:t>
                        </m:r>
                      </m:e>
                      <m:sub>
                        <m:r>
                          <w:rPr>
                            <w:rFonts w:ascii="Cambria Math" w:hAnsi="Cambria Math"/>
                          </w:rPr>
                          <m:t>t</m:t>
                        </m:r>
                      </m:sub>
                    </m:sSub>
                    <m:acc>
                      <m:accPr>
                        <m:chr m:val="⃑"/>
                        <m:ctrlPr>
                          <w:rPr>
                            <w:rFonts w:ascii="Cambria Math" w:hAnsi="Cambria Math"/>
                          </w:rPr>
                        </m:ctrlPr>
                      </m:accPr>
                      <m:e>
                        <m:r>
                          <w:rPr>
                            <w:rFonts w:ascii="Cambria Math" w:hAnsi="Cambria Math"/>
                          </w:rPr>
                          <m:t>∇</m:t>
                        </m:r>
                      </m:e>
                    </m:acc>
                    <m:r>
                      <w:rPr>
                        <w:rFonts w:ascii="Cambria Math" w:hAnsi="Cambria Math"/>
                      </w:rPr>
                      <m:t>C</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t</m:t>
                        </m:r>
                      </m:e>
                    </m:d>
                  </m:e>
                </m:d>
                <m:r>
                  <w:rPr>
                    <w:rFonts w:ascii="Cambria Math" w:hAnsi="Cambria Math"/>
                  </w:rPr>
                  <m:t>-R</m:t>
                </m:r>
                <m:d>
                  <m:dPr>
                    <m:ctrlPr>
                      <w:rPr>
                        <w:rFonts w:ascii="Cambria Math" w:hAnsi="Cambria Math"/>
                        <w:i/>
                      </w:rPr>
                    </m:ctrlPr>
                  </m:dPr>
                  <m:e>
                    <m:r>
                      <w:rPr>
                        <w:rFonts w:ascii="Cambria Math" w:hAnsi="Cambria Math"/>
                      </w:rPr>
                      <m:t>x,t</m:t>
                    </m:r>
                  </m:e>
                </m:d>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+T</m:t>
                </m:r>
                <m:r>
                  <w:rPr>
                    <w:rFonts w:ascii="Cambria Math" w:eastAsiaTheme="minorEastAsia" w:hAnsi="Cambria Math"/>
                  </w:rPr>
                  <m:t>(x,t)</m:t>
                </m:r>
              </m:oMath>
            </m:oMathPara>
          </w:p>
        </w:tc>
        <w:tc>
          <w:tcPr>
            <w:tcW w:w="535" w:type="dxa"/>
          </w:tcPr>
          <w:p w:rsidR="001C047C" w:rsidRPr="00AF726C" w:rsidRDefault="001C047C" w:rsidP="00DD794D">
            <w:pPr>
              <w:pStyle w:val="NoSpacing"/>
              <w:spacing w:line="480" w:lineRule="auto"/>
            </w:pPr>
            <w:r w:rsidRPr="00E34A39">
              <w:t>(</w:t>
            </w:r>
            <w:r w:rsidR="001A43C7">
              <w:t>A.</w:t>
            </w:r>
            <w:r w:rsidR="00E13690">
              <w:t>4</w:t>
            </w:r>
            <w:r w:rsidRPr="00E34A39">
              <w:t>)</w:t>
            </w:r>
          </w:p>
        </w:tc>
      </w:tr>
      <w:tr w:rsidR="001C047C" w:rsidRPr="00532CA9" w:rsidTr="00DD794D">
        <w:tc>
          <w:tcPr>
            <w:tcW w:w="8815" w:type="dxa"/>
          </w:tcPr>
          <w:p w:rsidR="001C047C" w:rsidRPr="00AF726C" w:rsidRDefault="001C047C" w:rsidP="00DD794D">
            <w:pPr>
              <w:pStyle w:val="NoSpacing"/>
              <w:spacing w:line="480" w:lineRule="auto"/>
              <w:rPr>
                <w:rFonts w:ascii="Arial" w:eastAsia="Calibri" w:hAnsi="Arial" w:cs="Arial"/>
              </w:rPr>
            </w:pPr>
            <w:r w:rsidRPr="00AF726C">
              <w:rPr>
                <w:rFonts w:ascii="Arial" w:eastAsia="Calibri" w:hAnsi="Arial" w:cs="Arial"/>
              </w:rPr>
              <w:t xml:space="preserve">              Accumu</w:t>
            </w:r>
            <w:r>
              <w:rPr>
                <w:rFonts w:ascii="Arial" w:eastAsia="Calibri" w:hAnsi="Arial" w:cs="Arial"/>
              </w:rPr>
              <w:t>lation       Diffusion     Clearance  Cell Uptake</w:t>
            </w:r>
            <w:r w:rsidRPr="00AF726C">
              <w:rPr>
                <w:rFonts w:ascii="Arial" w:eastAsia="Calibri" w:hAnsi="Arial" w:cs="Arial"/>
              </w:rPr>
              <w:t xml:space="preserve"> </w:t>
            </w:r>
            <w:r>
              <w:rPr>
                <w:rFonts w:ascii="Arial" w:eastAsia="Calibri" w:hAnsi="Arial" w:cs="Arial"/>
              </w:rPr>
              <w:t xml:space="preserve">   CSF-Tissue Transfer</w:t>
            </w:r>
            <w:r w:rsidRPr="00AF726C">
              <w:rPr>
                <w:rFonts w:ascii="Arial" w:eastAsia="Calibri" w:hAnsi="Arial" w:cs="Arial"/>
              </w:rPr>
              <w:t xml:space="preserve">      </w:t>
            </w:r>
          </w:p>
        </w:tc>
        <w:tc>
          <w:tcPr>
            <w:tcW w:w="535" w:type="dxa"/>
          </w:tcPr>
          <w:p w:rsidR="001C047C" w:rsidRPr="00AF726C" w:rsidRDefault="001C047C" w:rsidP="00DD794D">
            <w:pPr>
              <w:pStyle w:val="NoSpacing"/>
              <w:spacing w:line="480" w:lineRule="auto"/>
            </w:pPr>
          </w:p>
        </w:tc>
      </w:tr>
    </w:tbl>
    <w:p w:rsidR="00F96339" w:rsidRDefault="00F96339" w:rsidP="00E13690">
      <w:pPr>
        <w:pStyle w:val="NoSpacing"/>
        <w:spacing w:line="480" w:lineRule="auto"/>
        <w:rPr>
          <w:rFonts w:ascii="Arial" w:hAnsi="Arial" w:cs="Arial"/>
          <w:sz w:val="24"/>
          <w:szCs w:val="24"/>
        </w:rPr>
      </w:pPr>
    </w:p>
    <w:sectPr w:rsidR="00F96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B3400"/>
    <w:multiLevelType w:val="hybridMultilevel"/>
    <w:tmpl w:val="580C3F10"/>
    <w:lvl w:ilvl="0" w:tplc="15B64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7B48C3"/>
    <w:multiLevelType w:val="hybridMultilevel"/>
    <w:tmpl w:val="BAE80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BC32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E0F3FEA"/>
    <w:multiLevelType w:val="hybridMultilevel"/>
    <w:tmpl w:val="EE665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6171E7"/>
    <w:multiLevelType w:val="hybridMultilevel"/>
    <w:tmpl w:val="BAE80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7C"/>
    <w:rsid w:val="00053935"/>
    <w:rsid w:val="001A43C7"/>
    <w:rsid w:val="001C047C"/>
    <w:rsid w:val="00270E23"/>
    <w:rsid w:val="00277F55"/>
    <w:rsid w:val="003C2522"/>
    <w:rsid w:val="00514348"/>
    <w:rsid w:val="005B3E87"/>
    <w:rsid w:val="00694F07"/>
    <w:rsid w:val="006E00E7"/>
    <w:rsid w:val="0095314B"/>
    <w:rsid w:val="0095534A"/>
    <w:rsid w:val="00AA695D"/>
    <w:rsid w:val="00AB072F"/>
    <w:rsid w:val="00D6341D"/>
    <w:rsid w:val="00E13690"/>
    <w:rsid w:val="00F9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92735-279C-4CA2-BE36-2BAE9E5C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Kevin's"/>
    <w:next w:val="NoSpacing"/>
    <w:qFormat/>
    <w:rsid w:val="001C047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47C"/>
    <w:pPr>
      <w:spacing w:after="0" w:line="240" w:lineRule="auto"/>
    </w:pPr>
  </w:style>
  <w:style w:type="table" w:styleId="TableGrid">
    <w:name w:val="Table Grid"/>
    <w:basedOn w:val="TableNormal"/>
    <w:uiPriority w:val="39"/>
    <w:rsid w:val="001C0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1299</Words>
  <Characters>6716</Characters>
  <Application>Microsoft Office Word</Application>
  <DocSecurity>0</DocSecurity>
  <Lines>203</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lppd</dc:creator>
  <cp:keywords/>
  <dc:description/>
  <cp:lastModifiedBy>lppd</cp:lastModifiedBy>
  <cp:revision>3</cp:revision>
  <dcterms:created xsi:type="dcterms:W3CDTF">2016-11-17T17:43:00Z</dcterms:created>
  <dcterms:modified xsi:type="dcterms:W3CDTF">2016-11-17T17:49:00Z</dcterms:modified>
</cp:coreProperties>
</file>