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E29C" w14:textId="794A252F" w:rsidR="00DA3F88" w:rsidRPr="00DA3F88" w:rsidRDefault="004336E6" w:rsidP="00DA3F8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Table</w:t>
      </w:r>
      <w:r w:rsidR="00DA3F88" w:rsidRPr="00B96CCD">
        <w:rPr>
          <w:rFonts w:ascii="Arial" w:hAnsi="Arial" w:cs="Arial"/>
          <w:b/>
          <w:sz w:val="24"/>
          <w:szCs w:val="24"/>
        </w:rPr>
        <w:t xml:space="preserve">. </w:t>
      </w:r>
      <w:r w:rsidR="00DA3F88">
        <w:rPr>
          <w:rFonts w:ascii="Arial" w:hAnsi="Arial" w:cs="Arial"/>
          <w:sz w:val="24"/>
          <w:szCs w:val="24"/>
        </w:rPr>
        <w:t>Odds Ratios (with 95% CI)</w:t>
      </w:r>
      <w:r w:rsidR="00DA3F88" w:rsidRPr="00B96CCD">
        <w:rPr>
          <w:rFonts w:ascii="Arial" w:hAnsi="Arial" w:cs="Arial"/>
          <w:sz w:val="24"/>
          <w:szCs w:val="24"/>
        </w:rPr>
        <w:t xml:space="preserve"> of Stroke Using Nadir and Average </w:t>
      </w:r>
      <w:r w:rsidR="00DA3F88">
        <w:rPr>
          <w:rFonts w:ascii="Arial" w:hAnsi="Arial" w:cs="Arial"/>
          <w:sz w:val="24"/>
          <w:szCs w:val="24"/>
        </w:rPr>
        <w:t>PaO</w:t>
      </w:r>
      <w:r w:rsidR="00DA3F88" w:rsidRPr="00B96CCD">
        <w:rPr>
          <w:rFonts w:ascii="Arial" w:hAnsi="Arial" w:cs="Arial"/>
          <w:sz w:val="24"/>
          <w:szCs w:val="24"/>
          <w:vertAlign w:val="subscript"/>
        </w:rPr>
        <w:t>2</w:t>
      </w:r>
      <w:r w:rsidR="00DA3F88" w:rsidRPr="00B96CCD">
        <w:rPr>
          <w:rFonts w:ascii="Arial" w:hAnsi="Arial" w:cs="Arial"/>
          <w:sz w:val="24"/>
          <w:szCs w:val="24"/>
        </w:rPr>
        <w:t xml:space="preserve"> Values as Predictors</w:t>
      </w:r>
      <w:r w:rsidR="00DA3F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with adjustment for continuous generalized propensity score</w:t>
      </w:r>
      <w:r w:rsidR="00DA3F88">
        <w:rPr>
          <w:rFonts w:ascii="Arial" w:hAnsi="Arial" w:cs="Arial"/>
          <w:sz w:val="24"/>
          <w:szCs w:val="24"/>
        </w:rPr>
        <w:t xml:space="preserve"> (total N=251).</w:t>
      </w:r>
    </w:p>
    <w:tbl>
      <w:tblPr>
        <w:tblStyle w:val="TableGrid"/>
        <w:tblW w:w="5106" w:type="pct"/>
        <w:tblLook w:val="04A0" w:firstRow="1" w:lastRow="0" w:firstColumn="1" w:lastColumn="0" w:noHBand="0" w:noVBand="1"/>
      </w:tblPr>
      <w:tblGrid>
        <w:gridCol w:w="6688"/>
        <w:gridCol w:w="1247"/>
        <w:gridCol w:w="1190"/>
        <w:gridCol w:w="902"/>
        <w:gridCol w:w="1079"/>
        <w:gridCol w:w="1217"/>
        <w:gridCol w:w="902"/>
      </w:tblGrid>
      <w:tr w:rsidR="00DA3F88" w14:paraId="138E943E" w14:textId="77777777" w:rsidTr="00EC410B">
        <w:trPr>
          <w:trHeight w:val="692"/>
        </w:trPr>
        <w:tc>
          <w:tcPr>
            <w:tcW w:w="2529" w:type="pct"/>
          </w:tcPr>
          <w:p w14:paraId="15A725E0" w14:textId="77777777" w:rsidR="00DA3F88" w:rsidRPr="00B96CCD" w:rsidRDefault="00DA3F88" w:rsidP="00EC410B">
            <w:pPr>
              <w:pStyle w:val="Style1"/>
            </w:pPr>
          </w:p>
        </w:tc>
        <w:tc>
          <w:tcPr>
            <w:tcW w:w="471" w:type="pct"/>
          </w:tcPr>
          <w:p w14:paraId="4864CA15" w14:textId="77777777" w:rsidR="00DA3F88" w:rsidRPr="00B96CCD" w:rsidRDefault="00DA3F88" w:rsidP="00EC410B">
            <w:pPr>
              <w:pStyle w:val="Style1"/>
            </w:pPr>
            <w:r w:rsidRPr="00B96CCD">
              <w:t xml:space="preserve">Unadjusted OR </w:t>
            </w:r>
          </w:p>
        </w:tc>
        <w:tc>
          <w:tcPr>
            <w:tcW w:w="450" w:type="pct"/>
          </w:tcPr>
          <w:p w14:paraId="5DA95AF3" w14:textId="77777777" w:rsidR="00DA3F88" w:rsidRPr="00B96CCD" w:rsidRDefault="00DA3F88" w:rsidP="00EC410B">
            <w:pPr>
              <w:pStyle w:val="Style1"/>
            </w:pPr>
            <w:r>
              <w:t>95% CI</w:t>
            </w:r>
          </w:p>
        </w:tc>
        <w:tc>
          <w:tcPr>
            <w:tcW w:w="341" w:type="pct"/>
          </w:tcPr>
          <w:p w14:paraId="4512F584" w14:textId="77777777" w:rsidR="00DA3F88" w:rsidRPr="00B96CCD" w:rsidRDefault="00DA3F88" w:rsidP="00EC410B">
            <w:pPr>
              <w:pStyle w:val="Style1"/>
            </w:pPr>
            <w:r>
              <w:t>p-value</w:t>
            </w:r>
          </w:p>
        </w:tc>
        <w:tc>
          <w:tcPr>
            <w:tcW w:w="408" w:type="pct"/>
          </w:tcPr>
          <w:p w14:paraId="0361AF9C" w14:textId="77777777" w:rsidR="00DA3F88" w:rsidRPr="00B96CCD" w:rsidRDefault="00DA3F88" w:rsidP="00EC410B">
            <w:pPr>
              <w:pStyle w:val="Style1"/>
            </w:pPr>
            <w:proofErr w:type="spellStart"/>
            <w:r w:rsidRPr="00B96CCD">
              <w:t>Adjusted</w:t>
            </w:r>
            <w:r w:rsidRPr="00B96CCD">
              <w:rPr>
                <w:vertAlign w:val="superscript"/>
              </w:rPr>
              <w:t>a</w:t>
            </w:r>
            <w:proofErr w:type="spellEnd"/>
            <w:r w:rsidRPr="00B96CCD">
              <w:t xml:space="preserve"> OR</w:t>
            </w:r>
          </w:p>
        </w:tc>
        <w:tc>
          <w:tcPr>
            <w:tcW w:w="460" w:type="pct"/>
          </w:tcPr>
          <w:p w14:paraId="559AA14D" w14:textId="77777777" w:rsidR="00DA3F88" w:rsidRPr="00B96CCD" w:rsidRDefault="00DA3F88" w:rsidP="00EC410B">
            <w:pPr>
              <w:pStyle w:val="Style1"/>
            </w:pPr>
            <w:r>
              <w:t>95% CI</w:t>
            </w:r>
          </w:p>
        </w:tc>
        <w:tc>
          <w:tcPr>
            <w:tcW w:w="341" w:type="pct"/>
          </w:tcPr>
          <w:p w14:paraId="282AF891" w14:textId="77777777" w:rsidR="00DA3F88" w:rsidRDefault="00DA3F88" w:rsidP="00EC410B">
            <w:pPr>
              <w:pStyle w:val="Style1"/>
            </w:pPr>
            <w:r>
              <w:t>p-value</w:t>
            </w:r>
          </w:p>
        </w:tc>
      </w:tr>
      <w:tr w:rsidR="00DA3F88" w:rsidRPr="001663C7" w14:paraId="3F956FF1" w14:textId="77777777" w:rsidTr="00EC410B">
        <w:trPr>
          <w:trHeight w:val="341"/>
        </w:trPr>
        <w:tc>
          <w:tcPr>
            <w:tcW w:w="5000" w:type="pct"/>
            <w:gridSpan w:val="7"/>
          </w:tcPr>
          <w:p w14:paraId="5FD9BF86" w14:textId="77777777" w:rsidR="00DA3F88" w:rsidRPr="001663C7" w:rsidRDefault="00DA3F88" w:rsidP="00EC410B">
            <w:pPr>
              <w:pStyle w:val="Style1"/>
            </w:pPr>
            <w:r w:rsidRPr="001663C7">
              <w:t>Nadir PaO</w:t>
            </w:r>
            <w:r w:rsidRPr="001663C7">
              <w:rPr>
                <w:vertAlign w:val="subscript"/>
              </w:rPr>
              <w:t>2</w:t>
            </w:r>
            <w:r w:rsidRPr="001663C7">
              <w:t xml:space="preserve"> as exposure</w:t>
            </w:r>
          </w:p>
        </w:tc>
      </w:tr>
      <w:tr w:rsidR="00DA3F88" w14:paraId="7D4CB2FC" w14:textId="77777777" w:rsidTr="00EC410B">
        <w:trPr>
          <w:trHeight w:val="359"/>
        </w:trPr>
        <w:tc>
          <w:tcPr>
            <w:tcW w:w="2529" w:type="pct"/>
          </w:tcPr>
          <w:p w14:paraId="62F4387B" w14:textId="77777777" w:rsidR="00DA3F88" w:rsidRPr="00B96CCD" w:rsidRDefault="00DA3F88" w:rsidP="00EC410B">
            <w:pPr>
              <w:pStyle w:val="Style1"/>
            </w:pPr>
            <w:r>
              <w:t>OR p</w:t>
            </w:r>
            <w:r w:rsidRPr="00B96CCD">
              <w:t xml:space="preserve">er 10 mmHg lower nadir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  <w:r w:rsidRPr="00B96CCD">
              <w:t xml:space="preserve"> </w:t>
            </w:r>
          </w:p>
        </w:tc>
        <w:tc>
          <w:tcPr>
            <w:tcW w:w="471" w:type="pct"/>
          </w:tcPr>
          <w:p w14:paraId="4E27AEE9" w14:textId="77777777" w:rsidR="00DA3F88" w:rsidRPr="00B96CCD" w:rsidRDefault="00DA3F88" w:rsidP="00EC410B">
            <w:pPr>
              <w:pStyle w:val="Style1"/>
            </w:pPr>
            <w:r>
              <w:t>1.24</w:t>
            </w:r>
          </w:p>
        </w:tc>
        <w:tc>
          <w:tcPr>
            <w:tcW w:w="450" w:type="pct"/>
          </w:tcPr>
          <w:p w14:paraId="636DED85" w14:textId="77777777" w:rsidR="00DA3F88" w:rsidRPr="00B96CCD" w:rsidRDefault="00DA3F88" w:rsidP="00EC410B">
            <w:pPr>
              <w:pStyle w:val="Style1"/>
            </w:pPr>
            <w:r>
              <w:t>1.10-1.41</w:t>
            </w:r>
          </w:p>
        </w:tc>
        <w:tc>
          <w:tcPr>
            <w:tcW w:w="341" w:type="pct"/>
          </w:tcPr>
          <w:p w14:paraId="0B3DEF18" w14:textId="77777777" w:rsidR="00DA3F88" w:rsidRPr="00B96CCD" w:rsidRDefault="00DA3F88" w:rsidP="00EC410B">
            <w:pPr>
              <w:pStyle w:val="Style1"/>
            </w:pPr>
            <w:r>
              <w:t>0.001</w:t>
            </w:r>
            <w:r w:rsidRPr="00485A7C">
              <w:rPr>
                <w:vertAlign w:val="superscript"/>
              </w:rPr>
              <w:t>b</w:t>
            </w:r>
          </w:p>
        </w:tc>
        <w:tc>
          <w:tcPr>
            <w:tcW w:w="408" w:type="pct"/>
          </w:tcPr>
          <w:p w14:paraId="620A3526" w14:textId="57E98C53" w:rsidR="00DA3F88" w:rsidRPr="00B96CCD" w:rsidRDefault="0052437C" w:rsidP="00EC410B">
            <w:pPr>
              <w:pStyle w:val="Style1"/>
            </w:pPr>
            <w:r>
              <w:t>1.25</w:t>
            </w:r>
          </w:p>
        </w:tc>
        <w:tc>
          <w:tcPr>
            <w:tcW w:w="460" w:type="pct"/>
          </w:tcPr>
          <w:p w14:paraId="3CA5CCF2" w14:textId="1F7A662A" w:rsidR="00DA3F88" w:rsidRPr="00B96CCD" w:rsidRDefault="0052437C" w:rsidP="00EC410B">
            <w:pPr>
              <w:pStyle w:val="Style1"/>
            </w:pPr>
            <w:r>
              <w:t>1.11-1.42</w:t>
            </w:r>
          </w:p>
        </w:tc>
        <w:tc>
          <w:tcPr>
            <w:tcW w:w="341" w:type="pct"/>
          </w:tcPr>
          <w:p w14:paraId="3FB42719" w14:textId="1FBC8D4E" w:rsidR="00DA3F88" w:rsidRDefault="0052437C" w:rsidP="00EC410B">
            <w:pPr>
              <w:pStyle w:val="Style1"/>
            </w:pPr>
            <w:r>
              <w:t>&lt;0.001</w:t>
            </w:r>
            <w:r w:rsidRPr="0052437C">
              <w:rPr>
                <w:vertAlign w:val="superscript"/>
              </w:rPr>
              <w:t>b</w:t>
            </w:r>
          </w:p>
        </w:tc>
      </w:tr>
      <w:tr w:rsidR="00DA3F88" w:rsidRPr="00B96CCD" w14:paraId="22924390" w14:textId="77777777" w:rsidTr="00EC410B">
        <w:trPr>
          <w:trHeight w:val="377"/>
        </w:trPr>
        <w:tc>
          <w:tcPr>
            <w:tcW w:w="2529" w:type="pct"/>
          </w:tcPr>
          <w:p w14:paraId="027B63A3" w14:textId="77777777" w:rsidR="00DA3F88" w:rsidRPr="00B96CCD" w:rsidRDefault="00DA3F88" w:rsidP="00EC410B">
            <w:pPr>
              <w:pStyle w:val="Style1"/>
            </w:pPr>
            <w:r w:rsidRPr="00B96CCD">
              <w:t xml:space="preserve">OR </w:t>
            </w:r>
            <w:r>
              <w:t>for each category</w:t>
            </w:r>
            <w:r w:rsidRPr="00B96CCD">
              <w:t xml:space="preserve"> lower quartile of nadir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</w:p>
        </w:tc>
        <w:tc>
          <w:tcPr>
            <w:tcW w:w="471" w:type="pct"/>
          </w:tcPr>
          <w:p w14:paraId="52AA21E1" w14:textId="77777777" w:rsidR="00DA3F88" w:rsidRPr="00B96CCD" w:rsidRDefault="00DA3F88" w:rsidP="00EC410B">
            <w:pPr>
              <w:pStyle w:val="Style1"/>
            </w:pPr>
            <w:r>
              <w:t>1.64</w:t>
            </w:r>
          </w:p>
        </w:tc>
        <w:tc>
          <w:tcPr>
            <w:tcW w:w="450" w:type="pct"/>
          </w:tcPr>
          <w:p w14:paraId="63E2A163" w14:textId="77777777" w:rsidR="00DA3F88" w:rsidRPr="00B96CCD" w:rsidRDefault="00DA3F88" w:rsidP="00EC410B">
            <w:pPr>
              <w:pStyle w:val="Style1"/>
            </w:pPr>
            <w:r>
              <w:t>1.26-2.15</w:t>
            </w:r>
          </w:p>
        </w:tc>
        <w:tc>
          <w:tcPr>
            <w:tcW w:w="341" w:type="pct"/>
          </w:tcPr>
          <w:p w14:paraId="08562BFC" w14:textId="77777777" w:rsidR="00DA3F88" w:rsidRPr="00B96CCD" w:rsidRDefault="00DA3F88" w:rsidP="00EC410B">
            <w:pPr>
              <w:pStyle w:val="Style1"/>
            </w:pPr>
            <w:r>
              <w:t>&lt;0.001</w:t>
            </w:r>
            <w:r w:rsidRPr="00485A7C">
              <w:rPr>
                <w:vertAlign w:val="superscript"/>
              </w:rPr>
              <w:t>b</w:t>
            </w:r>
          </w:p>
        </w:tc>
        <w:tc>
          <w:tcPr>
            <w:tcW w:w="408" w:type="pct"/>
          </w:tcPr>
          <w:p w14:paraId="6CE20DEE" w14:textId="78D88787" w:rsidR="00DA3F88" w:rsidRPr="00B96CCD" w:rsidRDefault="00AD1D34" w:rsidP="00EC410B">
            <w:pPr>
              <w:pStyle w:val="Style1"/>
            </w:pPr>
            <w:r>
              <w:t>1.65</w:t>
            </w:r>
          </w:p>
        </w:tc>
        <w:tc>
          <w:tcPr>
            <w:tcW w:w="460" w:type="pct"/>
          </w:tcPr>
          <w:p w14:paraId="373D43D2" w14:textId="25D44D11" w:rsidR="00DA3F88" w:rsidRPr="00B96CCD" w:rsidRDefault="00AD1D34" w:rsidP="00EC410B">
            <w:pPr>
              <w:pStyle w:val="Style1"/>
            </w:pPr>
            <w:r>
              <w:t>1.26-2.15</w:t>
            </w:r>
          </w:p>
        </w:tc>
        <w:tc>
          <w:tcPr>
            <w:tcW w:w="341" w:type="pct"/>
          </w:tcPr>
          <w:p w14:paraId="445F998B" w14:textId="186A9B22" w:rsidR="00DA3F88" w:rsidRPr="00AD1D34" w:rsidRDefault="00AD1D34" w:rsidP="00EC410B">
            <w:pPr>
              <w:pStyle w:val="Style1"/>
              <w:rPr>
                <w:vertAlign w:val="superscript"/>
              </w:rPr>
            </w:pPr>
            <w:r>
              <w:t>&lt;0.001</w:t>
            </w:r>
            <w:r>
              <w:rPr>
                <w:vertAlign w:val="superscript"/>
              </w:rPr>
              <w:t>b</w:t>
            </w:r>
          </w:p>
        </w:tc>
      </w:tr>
      <w:tr w:rsidR="00DA3F88" w:rsidRPr="00B96CCD" w14:paraId="5D23E2BB" w14:textId="77777777" w:rsidTr="00EC410B">
        <w:trPr>
          <w:trHeight w:val="1493"/>
        </w:trPr>
        <w:tc>
          <w:tcPr>
            <w:tcW w:w="2529" w:type="pct"/>
          </w:tcPr>
          <w:p w14:paraId="6036AB86" w14:textId="77777777" w:rsidR="00DA3F88" w:rsidRDefault="00DA3F88" w:rsidP="00EC410B">
            <w:pPr>
              <w:pStyle w:val="Style1"/>
            </w:pPr>
            <w:r w:rsidRPr="00B96CCD">
              <w:t xml:space="preserve">OR </w:t>
            </w:r>
            <w:r>
              <w:t>for lowest</w:t>
            </w:r>
            <w:r w:rsidRPr="00B96CCD">
              <w:t xml:space="preserve"> nadir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  <w:r w:rsidRPr="00B96CCD">
              <w:t xml:space="preserve"> quartile </w:t>
            </w:r>
            <w:r>
              <w:t xml:space="preserve">(Q1) </w:t>
            </w:r>
            <w:r w:rsidRPr="00B96CCD">
              <w:t>relative to each quartile:</w:t>
            </w:r>
          </w:p>
          <w:p w14:paraId="2C5F2712" w14:textId="77777777" w:rsidR="00DA3F88" w:rsidRDefault="00DA3F88" w:rsidP="00EC410B">
            <w:pPr>
              <w:pStyle w:val="Style1"/>
            </w:pPr>
            <w:r>
              <w:t>1</w:t>
            </w:r>
            <w:r w:rsidRPr="001663C7">
              <w:rPr>
                <w:vertAlign w:val="superscript"/>
              </w:rPr>
              <w:t>st</w:t>
            </w:r>
            <w:r>
              <w:t xml:space="preserve"> vs 2</w:t>
            </w:r>
            <w:r w:rsidRPr="001663C7">
              <w:rPr>
                <w:vertAlign w:val="superscript"/>
              </w:rPr>
              <w:t>nd</w:t>
            </w:r>
            <w:r>
              <w:t xml:space="preserve"> quartile</w:t>
            </w:r>
          </w:p>
          <w:p w14:paraId="596AACE3" w14:textId="77777777" w:rsidR="00DA3F88" w:rsidRDefault="00DA3F88" w:rsidP="00EC410B">
            <w:pPr>
              <w:pStyle w:val="Style1"/>
            </w:pPr>
            <w:r>
              <w:t>1</w:t>
            </w:r>
            <w:r w:rsidRPr="001663C7">
              <w:rPr>
                <w:vertAlign w:val="superscript"/>
              </w:rPr>
              <w:t>st</w:t>
            </w:r>
            <w:r>
              <w:t xml:space="preserve"> vs 3</w:t>
            </w:r>
            <w:r w:rsidRPr="001663C7">
              <w:rPr>
                <w:vertAlign w:val="superscript"/>
              </w:rPr>
              <w:t>rd</w:t>
            </w:r>
            <w:r>
              <w:t xml:space="preserve"> quartile</w:t>
            </w:r>
          </w:p>
          <w:p w14:paraId="6C776803" w14:textId="77777777" w:rsidR="00DA3F88" w:rsidRPr="00B96CCD" w:rsidRDefault="00DA3F88" w:rsidP="00EC410B">
            <w:pPr>
              <w:pStyle w:val="Style1"/>
            </w:pPr>
            <w:r>
              <w:t>1</w:t>
            </w:r>
            <w:r w:rsidRPr="001663C7">
              <w:rPr>
                <w:vertAlign w:val="superscript"/>
              </w:rPr>
              <w:t>st</w:t>
            </w:r>
            <w:r>
              <w:t xml:space="preserve"> vs 4</w:t>
            </w:r>
            <w:r w:rsidRPr="001663C7">
              <w:rPr>
                <w:vertAlign w:val="superscript"/>
              </w:rPr>
              <w:t>th</w:t>
            </w:r>
            <w:r>
              <w:t xml:space="preserve"> quartile</w:t>
            </w:r>
          </w:p>
        </w:tc>
        <w:tc>
          <w:tcPr>
            <w:tcW w:w="471" w:type="pct"/>
          </w:tcPr>
          <w:p w14:paraId="3BDE3C57" w14:textId="77777777" w:rsidR="00DA3F88" w:rsidRDefault="00DA3F88" w:rsidP="00EC410B">
            <w:pPr>
              <w:pStyle w:val="Style1"/>
            </w:pPr>
          </w:p>
          <w:p w14:paraId="57BDBC2E" w14:textId="77777777" w:rsidR="00DA3F88" w:rsidRDefault="00DA3F88" w:rsidP="00EC410B">
            <w:pPr>
              <w:pStyle w:val="Style1"/>
            </w:pPr>
            <w:r>
              <w:t>1.63</w:t>
            </w:r>
          </w:p>
          <w:p w14:paraId="24E9241A" w14:textId="77777777" w:rsidR="00DA3F88" w:rsidRDefault="00DA3F88" w:rsidP="00EC410B">
            <w:pPr>
              <w:pStyle w:val="Style1"/>
            </w:pPr>
            <w:r>
              <w:t>3.56</w:t>
            </w:r>
          </w:p>
          <w:p w14:paraId="1F1AC8CC" w14:textId="77777777" w:rsidR="00DA3F88" w:rsidRPr="00B96CCD" w:rsidRDefault="00DA3F88" w:rsidP="00EC410B">
            <w:pPr>
              <w:pStyle w:val="Style1"/>
            </w:pPr>
            <w:r>
              <w:t>3.93</w:t>
            </w:r>
          </w:p>
        </w:tc>
        <w:tc>
          <w:tcPr>
            <w:tcW w:w="450" w:type="pct"/>
          </w:tcPr>
          <w:p w14:paraId="6195FB4C" w14:textId="77777777" w:rsidR="00DA3F88" w:rsidRDefault="00DA3F88" w:rsidP="00EC410B">
            <w:pPr>
              <w:pStyle w:val="Style1"/>
            </w:pPr>
          </w:p>
          <w:p w14:paraId="51D66D7F" w14:textId="77777777" w:rsidR="00DA3F88" w:rsidRDefault="00DA3F88" w:rsidP="00EC410B">
            <w:pPr>
              <w:pStyle w:val="Style1"/>
            </w:pPr>
            <w:r>
              <w:t>0.79-3.36</w:t>
            </w:r>
          </w:p>
          <w:p w14:paraId="2A3387A4" w14:textId="77777777" w:rsidR="00DA3F88" w:rsidRDefault="00DA3F88" w:rsidP="00EC410B">
            <w:pPr>
              <w:pStyle w:val="Style1"/>
            </w:pPr>
            <w:r>
              <w:t>1.58-8.01</w:t>
            </w:r>
          </w:p>
          <w:p w14:paraId="15E764A4" w14:textId="77777777" w:rsidR="00DA3F88" w:rsidRPr="00B96CCD" w:rsidRDefault="00DA3F88" w:rsidP="00EC410B">
            <w:pPr>
              <w:pStyle w:val="Style1"/>
            </w:pPr>
            <w:r>
              <w:t>1.72-8.99</w:t>
            </w:r>
          </w:p>
        </w:tc>
        <w:tc>
          <w:tcPr>
            <w:tcW w:w="341" w:type="pct"/>
          </w:tcPr>
          <w:p w14:paraId="690C94AF" w14:textId="77777777" w:rsidR="00DA3F88" w:rsidRPr="00B96CCD" w:rsidRDefault="00DA3F88" w:rsidP="00EC410B">
            <w:pPr>
              <w:pStyle w:val="Style1"/>
            </w:pPr>
            <w:r>
              <w:t>0.002</w:t>
            </w:r>
            <w:r w:rsidRPr="00485A7C">
              <w:rPr>
                <w:vertAlign w:val="superscript"/>
              </w:rPr>
              <w:t>b</w:t>
            </w:r>
          </w:p>
        </w:tc>
        <w:tc>
          <w:tcPr>
            <w:tcW w:w="408" w:type="pct"/>
          </w:tcPr>
          <w:p w14:paraId="3475F2D1" w14:textId="77777777" w:rsidR="00DA3F88" w:rsidRDefault="00DA3F88" w:rsidP="00EC410B">
            <w:pPr>
              <w:pStyle w:val="Style1"/>
            </w:pPr>
          </w:p>
          <w:p w14:paraId="2BF10D4D" w14:textId="77777777" w:rsidR="00BD0136" w:rsidRDefault="00BD0136" w:rsidP="00EC410B">
            <w:pPr>
              <w:pStyle w:val="Style1"/>
            </w:pPr>
            <w:r>
              <w:t>1.54</w:t>
            </w:r>
          </w:p>
          <w:p w14:paraId="3910D645" w14:textId="77777777" w:rsidR="00BD0136" w:rsidRDefault="00BD0136" w:rsidP="00EC410B">
            <w:pPr>
              <w:pStyle w:val="Style1"/>
            </w:pPr>
            <w:r>
              <w:t>3.34</w:t>
            </w:r>
          </w:p>
          <w:p w14:paraId="7B5A04D6" w14:textId="47AA8635" w:rsidR="00BD0136" w:rsidRPr="00B96CCD" w:rsidRDefault="00BD0136" w:rsidP="00EC410B">
            <w:pPr>
              <w:pStyle w:val="Style1"/>
            </w:pPr>
            <w:r>
              <w:t>4.00</w:t>
            </w:r>
          </w:p>
        </w:tc>
        <w:tc>
          <w:tcPr>
            <w:tcW w:w="460" w:type="pct"/>
          </w:tcPr>
          <w:p w14:paraId="73EB7139" w14:textId="77777777" w:rsidR="00DA3F88" w:rsidRDefault="00DA3F88" w:rsidP="00EC410B">
            <w:pPr>
              <w:pStyle w:val="Style1"/>
            </w:pPr>
          </w:p>
          <w:p w14:paraId="2A638CF9" w14:textId="77777777" w:rsidR="00BD0136" w:rsidRDefault="00BD0136" w:rsidP="00EC410B">
            <w:pPr>
              <w:pStyle w:val="Style1"/>
            </w:pPr>
            <w:r>
              <w:t>0.69-3.46</w:t>
            </w:r>
          </w:p>
          <w:p w14:paraId="24DF53A7" w14:textId="77777777" w:rsidR="00BD0136" w:rsidRDefault="00BD0136" w:rsidP="00EC410B">
            <w:pPr>
              <w:pStyle w:val="Style1"/>
            </w:pPr>
            <w:r>
              <w:t>1.33-8.34</w:t>
            </w:r>
          </w:p>
          <w:p w14:paraId="07FF76B8" w14:textId="52F38F40" w:rsidR="00BD0136" w:rsidRPr="00B96CCD" w:rsidRDefault="00BD0136" w:rsidP="00EC410B">
            <w:pPr>
              <w:pStyle w:val="Style1"/>
            </w:pPr>
            <w:r>
              <w:t>1.73-9.21</w:t>
            </w:r>
          </w:p>
        </w:tc>
        <w:tc>
          <w:tcPr>
            <w:tcW w:w="341" w:type="pct"/>
          </w:tcPr>
          <w:p w14:paraId="6E7A1927" w14:textId="64CB62BD" w:rsidR="00DA3F88" w:rsidRPr="00B96CCD" w:rsidRDefault="00BD0136" w:rsidP="00EC410B">
            <w:pPr>
              <w:pStyle w:val="Style1"/>
            </w:pPr>
            <w:r>
              <w:t>0.003</w:t>
            </w:r>
            <w:r w:rsidRPr="00BD0136">
              <w:rPr>
                <w:vertAlign w:val="superscript"/>
              </w:rPr>
              <w:t>b</w:t>
            </w:r>
          </w:p>
        </w:tc>
      </w:tr>
      <w:tr w:rsidR="00DA3F88" w14:paraId="27130B49" w14:textId="77777777" w:rsidTr="00EC410B">
        <w:tc>
          <w:tcPr>
            <w:tcW w:w="2529" w:type="pct"/>
          </w:tcPr>
          <w:p w14:paraId="44BDF99F" w14:textId="2698E771" w:rsidR="00DA3F88" w:rsidRPr="00B96CCD" w:rsidRDefault="00DA3F88" w:rsidP="00EC410B">
            <w:pPr>
              <w:pStyle w:val="Style1"/>
            </w:pPr>
            <w:r w:rsidRPr="00B96CCD">
              <w:t xml:space="preserve">OR </w:t>
            </w:r>
            <w:r>
              <w:t>for</w:t>
            </w:r>
            <w:r w:rsidRPr="00B96CCD">
              <w:t xml:space="preserve"> lowest quartile nadir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  <w:r w:rsidRPr="00B96CCD">
              <w:t xml:space="preserve"> </w:t>
            </w:r>
            <w:r>
              <w:t>vs</w:t>
            </w:r>
            <w:r w:rsidRPr="00B96CCD">
              <w:t xml:space="preserve"> all other quartiles (Q1 vs Q2-4)</w:t>
            </w:r>
          </w:p>
        </w:tc>
        <w:tc>
          <w:tcPr>
            <w:tcW w:w="471" w:type="pct"/>
          </w:tcPr>
          <w:p w14:paraId="471E32DC" w14:textId="77777777" w:rsidR="00DA3F88" w:rsidRPr="00B96CCD" w:rsidRDefault="00DA3F88" w:rsidP="00EC410B">
            <w:pPr>
              <w:pStyle w:val="Style1"/>
            </w:pPr>
            <w:r>
              <w:t>2.64</w:t>
            </w:r>
          </w:p>
        </w:tc>
        <w:tc>
          <w:tcPr>
            <w:tcW w:w="450" w:type="pct"/>
          </w:tcPr>
          <w:p w14:paraId="6C92038D" w14:textId="77777777" w:rsidR="00DA3F88" w:rsidRPr="00B96CCD" w:rsidRDefault="00DA3F88" w:rsidP="00EC410B">
            <w:pPr>
              <w:pStyle w:val="Style1"/>
            </w:pPr>
            <w:r>
              <w:t>1.41-4.94</w:t>
            </w:r>
          </w:p>
        </w:tc>
        <w:tc>
          <w:tcPr>
            <w:tcW w:w="341" w:type="pct"/>
          </w:tcPr>
          <w:p w14:paraId="389F2C10" w14:textId="77777777" w:rsidR="00DA3F88" w:rsidRPr="00B96CCD" w:rsidRDefault="00DA3F88" w:rsidP="00EC410B">
            <w:pPr>
              <w:pStyle w:val="Style1"/>
            </w:pPr>
            <w:r>
              <w:t>0.002</w:t>
            </w:r>
            <w:r w:rsidRPr="00485A7C">
              <w:rPr>
                <w:vertAlign w:val="superscript"/>
              </w:rPr>
              <w:t>b</w:t>
            </w:r>
          </w:p>
        </w:tc>
        <w:tc>
          <w:tcPr>
            <w:tcW w:w="408" w:type="pct"/>
          </w:tcPr>
          <w:p w14:paraId="4D6A34C2" w14:textId="3A259367" w:rsidR="00DA3F88" w:rsidRPr="00B96CCD" w:rsidRDefault="00363B02" w:rsidP="00EC410B">
            <w:pPr>
              <w:pStyle w:val="Style1"/>
            </w:pPr>
            <w:r>
              <w:t>2.74</w:t>
            </w:r>
          </w:p>
        </w:tc>
        <w:tc>
          <w:tcPr>
            <w:tcW w:w="460" w:type="pct"/>
          </w:tcPr>
          <w:p w14:paraId="7E76D33C" w14:textId="4E94A8FD" w:rsidR="00DA3F88" w:rsidRPr="00B96CCD" w:rsidRDefault="00363B02" w:rsidP="00EC410B">
            <w:pPr>
              <w:pStyle w:val="Style1"/>
            </w:pPr>
            <w:r>
              <w:t>1.42-5.28</w:t>
            </w:r>
          </w:p>
        </w:tc>
        <w:tc>
          <w:tcPr>
            <w:tcW w:w="341" w:type="pct"/>
          </w:tcPr>
          <w:p w14:paraId="2F92A00E" w14:textId="51438B4D" w:rsidR="00DA3F88" w:rsidRPr="00363B02" w:rsidRDefault="00363B02" w:rsidP="00EC410B">
            <w:pPr>
              <w:pStyle w:val="Style1"/>
              <w:rPr>
                <w:vertAlign w:val="superscript"/>
              </w:rPr>
            </w:pPr>
            <w:r>
              <w:t>0.003</w:t>
            </w:r>
            <w:r>
              <w:rPr>
                <w:vertAlign w:val="superscript"/>
              </w:rPr>
              <w:t>b</w:t>
            </w:r>
          </w:p>
        </w:tc>
      </w:tr>
      <w:tr w:rsidR="00DA3F88" w14:paraId="6544CD8B" w14:textId="77777777" w:rsidTr="00EC410B">
        <w:tc>
          <w:tcPr>
            <w:tcW w:w="4659" w:type="pct"/>
            <w:gridSpan w:val="6"/>
          </w:tcPr>
          <w:p w14:paraId="20A4ACF7" w14:textId="77777777" w:rsidR="00DA3F88" w:rsidRPr="00907D9C" w:rsidRDefault="00DA3F88" w:rsidP="00EC410B">
            <w:pPr>
              <w:pStyle w:val="Style1"/>
              <w:rPr>
                <w:b/>
              </w:rPr>
            </w:pPr>
            <w:r>
              <w:rPr>
                <w:b/>
              </w:rPr>
              <w:t>Average PaO</w:t>
            </w:r>
            <w:r w:rsidRPr="00907D9C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as exposure</w:t>
            </w:r>
          </w:p>
        </w:tc>
        <w:tc>
          <w:tcPr>
            <w:tcW w:w="341" w:type="pct"/>
          </w:tcPr>
          <w:p w14:paraId="688C311B" w14:textId="77777777" w:rsidR="00DA3F88" w:rsidRDefault="00DA3F88" w:rsidP="00EC410B">
            <w:pPr>
              <w:pStyle w:val="Style1"/>
            </w:pPr>
          </w:p>
        </w:tc>
      </w:tr>
      <w:tr w:rsidR="00DA3F88" w14:paraId="633DDA22" w14:textId="77777777" w:rsidTr="00EC410B">
        <w:trPr>
          <w:trHeight w:val="539"/>
        </w:trPr>
        <w:tc>
          <w:tcPr>
            <w:tcW w:w="2529" w:type="pct"/>
          </w:tcPr>
          <w:p w14:paraId="1B8E4D8D" w14:textId="77777777" w:rsidR="00DA3F88" w:rsidRPr="00B96CCD" w:rsidRDefault="00DA3F88" w:rsidP="00EC410B">
            <w:pPr>
              <w:pStyle w:val="Style1"/>
            </w:pPr>
            <w:r w:rsidRPr="00B96CCD">
              <w:t xml:space="preserve">OR per 10 mmHg lower average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</w:p>
        </w:tc>
        <w:tc>
          <w:tcPr>
            <w:tcW w:w="471" w:type="pct"/>
          </w:tcPr>
          <w:p w14:paraId="3D41DDF5" w14:textId="77777777" w:rsidR="00DA3F88" w:rsidRPr="00B96CCD" w:rsidRDefault="00DA3F88" w:rsidP="00EC410B">
            <w:pPr>
              <w:pStyle w:val="Style1"/>
            </w:pPr>
            <w:r>
              <w:t>1.07</w:t>
            </w:r>
          </w:p>
        </w:tc>
        <w:tc>
          <w:tcPr>
            <w:tcW w:w="450" w:type="pct"/>
          </w:tcPr>
          <w:p w14:paraId="22ECE1A3" w14:textId="77777777" w:rsidR="00DA3F88" w:rsidRPr="00B96CCD" w:rsidRDefault="00DA3F88" w:rsidP="00EC410B">
            <w:pPr>
              <w:pStyle w:val="Style1"/>
            </w:pPr>
            <w:r>
              <w:t>1.005-1.15</w:t>
            </w:r>
          </w:p>
        </w:tc>
        <w:tc>
          <w:tcPr>
            <w:tcW w:w="341" w:type="pct"/>
          </w:tcPr>
          <w:p w14:paraId="7498F7B0" w14:textId="77777777" w:rsidR="00DA3F88" w:rsidRPr="00B96CCD" w:rsidRDefault="00DA3F88" w:rsidP="00EC410B">
            <w:pPr>
              <w:pStyle w:val="Style1"/>
            </w:pPr>
            <w:r>
              <w:t>0.03</w:t>
            </w:r>
          </w:p>
        </w:tc>
        <w:tc>
          <w:tcPr>
            <w:tcW w:w="408" w:type="pct"/>
          </w:tcPr>
          <w:p w14:paraId="2B631419" w14:textId="70A1602C" w:rsidR="00DA3F88" w:rsidRPr="00B96CCD" w:rsidRDefault="0052437C" w:rsidP="00EC410B">
            <w:pPr>
              <w:pStyle w:val="Style1"/>
            </w:pPr>
            <w:r>
              <w:t>1.08</w:t>
            </w:r>
          </w:p>
        </w:tc>
        <w:tc>
          <w:tcPr>
            <w:tcW w:w="460" w:type="pct"/>
          </w:tcPr>
          <w:p w14:paraId="1306D1FC" w14:textId="0D2B519E" w:rsidR="00DA3F88" w:rsidRPr="00B96CCD" w:rsidRDefault="0052437C" w:rsidP="00EC410B">
            <w:pPr>
              <w:pStyle w:val="Style1"/>
            </w:pPr>
            <w:r>
              <w:t>1.01-1.16</w:t>
            </w:r>
          </w:p>
        </w:tc>
        <w:tc>
          <w:tcPr>
            <w:tcW w:w="341" w:type="pct"/>
          </w:tcPr>
          <w:p w14:paraId="07B26E4B" w14:textId="51E6D66A" w:rsidR="00DA3F88" w:rsidRDefault="0052437C" w:rsidP="00EC410B">
            <w:pPr>
              <w:pStyle w:val="Style1"/>
            </w:pPr>
            <w:r>
              <w:t>0.04</w:t>
            </w:r>
          </w:p>
        </w:tc>
      </w:tr>
      <w:tr w:rsidR="00DA3F88" w:rsidRPr="00B96CCD" w14:paraId="3302089C" w14:textId="77777777" w:rsidTr="00EC410B">
        <w:trPr>
          <w:trHeight w:val="278"/>
        </w:trPr>
        <w:tc>
          <w:tcPr>
            <w:tcW w:w="2529" w:type="pct"/>
          </w:tcPr>
          <w:p w14:paraId="56E62E9B" w14:textId="77777777" w:rsidR="00DA3F88" w:rsidRPr="00B96CCD" w:rsidRDefault="00DA3F88" w:rsidP="00EC410B">
            <w:pPr>
              <w:pStyle w:val="Style1"/>
            </w:pPr>
            <w:r w:rsidRPr="00B96CCD">
              <w:t xml:space="preserve">OR </w:t>
            </w:r>
            <w:r>
              <w:t>for each category</w:t>
            </w:r>
            <w:r w:rsidRPr="00B96CCD">
              <w:t xml:space="preserve"> lower quartile of average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  <w:r w:rsidRPr="00B96CCD">
              <w:t xml:space="preserve">  </w:t>
            </w:r>
          </w:p>
        </w:tc>
        <w:tc>
          <w:tcPr>
            <w:tcW w:w="471" w:type="pct"/>
          </w:tcPr>
          <w:p w14:paraId="5796CB7F" w14:textId="77777777" w:rsidR="00DA3F88" w:rsidRPr="00B96CCD" w:rsidRDefault="00DA3F88" w:rsidP="00EC410B">
            <w:pPr>
              <w:pStyle w:val="Style1"/>
            </w:pPr>
            <w:r>
              <w:t>1.36</w:t>
            </w:r>
          </w:p>
        </w:tc>
        <w:tc>
          <w:tcPr>
            <w:tcW w:w="450" w:type="pct"/>
          </w:tcPr>
          <w:p w14:paraId="4F09A326" w14:textId="77777777" w:rsidR="00DA3F88" w:rsidRPr="00B96CCD" w:rsidRDefault="00DA3F88" w:rsidP="00EC410B">
            <w:pPr>
              <w:pStyle w:val="Style1"/>
            </w:pPr>
            <w:r>
              <w:t>1.05-1.76</w:t>
            </w:r>
          </w:p>
        </w:tc>
        <w:tc>
          <w:tcPr>
            <w:tcW w:w="341" w:type="pct"/>
          </w:tcPr>
          <w:p w14:paraId="3FC4C4BE" w14:textId="77777777" w:rsidR="00DA3F88" w:rsidRPr="00B96CCD" w:rsidRDefault="00DA3F88" w:rsidP="00EC410B">
            <w:pPr>
              <w:pStyle w:val="Style1"/>
            </w:pPr>
            <w:r>
              <w:t>0.02</w:t>
            </w:r>
          </w:p>
        </w:tc>
        <w:tc>
          <w:tcPr>
            <w:tcW w:w="408" w:type="pct"/>
          </w:tcPr>
          <w:p w14:paraId="7ABC81FD" w14:textId="25ED1085" w:rsidR="00DA3F88" w:rsidRPr="00B96CCD" w:rsidRDefault="00C136F2" w:rsidP="00EC410B">
            <w:pPr>
              <w:pStyle w:val="Style1"/>
            </w:pPr>
            <w:r>
              <w:t>1.38</w:t>
            </w:r>
          </w:p>
        </w:tc>
        <w:tc>
          <w:tcPr>
            <w:tcW w:w="460" w:type="pct"/>
          </w:tcPr>
          <w:p w14:paraId="2CD3C65D" w14:textId="129F96F6" w:rsidR="00DA3F88" w:rsidRPr="00B96CCD" w:rsidRDefault="00C136F2" w:rsidP="00EC410B">
            <w:pPr>
              <w:pStyle w:val="Style1"/>
            </w:pPr>
            <w:r>
              <w:t>1.06-1.80</w:t>
            </w:r>
          </w:p>
        </w:tc>
        <w:tc>
          <w:tcPr>
            <w:tcW w:w="341" w:type="pct"/>
          </w:tcPr>
          <w:p w14:paraId="536DB693" w14:textId="0F6F0A47" w:rsidR="00DA3F88" w:rsidRPr="00B96CCD" w:rsidRDefault="00C136F2" w:rsidP="00EC410B">
            <w:pPr>
              <w:pStyle w:val="Style1"/>
            </w:pPr>
            <w:r>
              <w:t>0.02</w:t>
            </w:r>
          </w:p>
        </w:tc>
      </w:tr>
      <w:tr w:rsidR="00DA3F88" w:rsidRPr="00B96CCD" w14:paraId="369D0848" w14:textId="77777777" w:rsidTr="00EC410B">
        <w:trPr>
          <w:trHeight w:val="1511"/>
        </w:trPr>
        <w:tc>
          <w:tcPr>
            <w:tcW w:w="2529" w:type="pct"/>
          </w:tcPr>
          <w:p w14:paraId="70110F07" w14:textId="08623205" w:rsidR="00DA3F88" w:rsidRPr="00B96CCD" w:rsidRDefault="00DA3F88" w:rsidP="00EC410B">
            <w:pPr>
              <w:pStyle w:val="Style1"/>
            </w:pPr>
            <w:r w:rsidRPr="00B96CCD">
              <w:t xml:space="preserve">OR </w:t>
            </w:r>
            <w:r>
              <w:t>for</w:t>
            </w:r>
            <w:r w:rsidRPr="00B96CCD">
              <w:t xml:space="preserve"> lowest</w:t>
            </w:r>
            <w:r>
              <w:t xml:space="preserve"> average</w:t>
            </w:r>
            <w:r w:rsidRPr="00B96CCD">
              <w:t xml:space="preserve"> </w:t>
            </w:r>
            <w:r>
              <w:t>PaO</w:t>
            </w:r>
            <w:r w:rsidRPr="00B96CCD">
              <w:rPr>
                <w:vertAlign w:val="subscript"/>
              </w:rPr>
              <w:t>2</w:t>
            </w:r>
            <w:r w:rsidR="00363B02">
              <w:t xml:space="preserve"> quartile (Q1) </w:t>
            </w:r>
            <w:r w:rsidRPr="00B96CCD">
              <w:t>relative to each quartile:</w:t>
            </w:r>
          </w:p>
          <w:p w14:paraId="597A6EE3" w14:textId="77777777" w:rsidR="00DA3F88" w:rsidRPr="00B96CCD" w:rsidRDefault="00DA3F88" w:rsidP="00EC410B">
            <w:pPr>
              <w:pStyle w:val="Style1"/>
            </w:pPr>
            <w:r w:rsidRPr="00B96CCD">
              <w:t>1</w:t>
            </w:r>
            <w:r w:rsidRPr="00B96CCD">
              <w:rPr>
                <w:vertAlign w:val="superscript"/>
              </w:rPr>
              <w:t>st</w:t>
            </w:r>
            <w:r w:rsidRPr="00B96CCD">
              <w:t xml:space="preserve"> vs 2</w:t>
            </w:r>
            <w:r w:rsidRPr="00B96CCD">
              <w:rPr>
                <w:vertAlign w:val="superscript"/>
              </w:rPr>
              <w:t>nd</w:t>
            </w:r>
            <w:r w:rsidRPr="00B96CCD">
              <w:t xml:space="preserve"> quartile</w:t>
            </w:r>
          </w:p>
          <w:p w14:paraId="48FCD14E" w14:textId="77777777" w:rsidR="00DA3F88" w:rsidRPr="00B96CCD" w:rsidRDefault="00DA3F88" w:rsidP="00EC410B">
            <w:pPr>
              <w:pStyle w:val="Style1"/>
            </w:pPr>
            <w:r w:rsidRPr="00B96CCD">
              <w:t>1</w:t>
            </w:r>
            <w:r w:rsidRPr="00B96CCD">
              <w:rPr>
                <w:vertAlign w:val="superscript"/>
              </w:rPr>
              <w:t>st</w:t>
            </w:r>
            <w:r w:rsidRPr="00B96CCD">
              <w:t xml:space="preserve"> vs 3</w:t>
            </w:r>
            <w:r w:rsidRPr="00B96CCD">
              <w:rPr>
                <w:vertAlign w:val="superscript"/>
              </w:rPr>
              <w:t>rd</w:t>
            </w:r>
            <w:r w:rsidRPr="00B96CCD">
              <w:t xml:space="preserve"> quartile</w:t>
            </w:r>
          </w:p>
          <w:p w14:paraId="25F68B2F" w14:textId="77777777" w:rsidR="00DA3F88" w:rsidRPr="00B96CCD" w:rsidRDefault="00DA3F88" w:rsidP="00EC410B">
            <w:pPr>
              <w:pStyle w:val="Style1"/>
            </w:pPr>
            <w:r w:rsidRPr="00B96CCD">
              <w:t>1</w:t>
            </w:r>
            <w:r w:rsidRPr="00B96CCD">
              <w:rPr>
                <w:vertAlign w:val="superscript"/>
              </w:rPr>
              <w:t>st</w:t>
            </w:r>
            <w:r w:rsidRPr="00B96CCD">
              <w:t xml:space="preserve"> vs 4</w:t>
            </w:r>
            <w:r w:rsidRPr="00B96CCD">
              <w:rPr>
                <w:vertAlign w:val="superscript"/>
              </w:rPr>
              <w:t>th</w:t>
            </w:r>
            <w:r w:rsidRPr="00B96CCD">
              <w:t xml:space="preserve"> quartile  (highest)</w:t>
            </w:r>
          </w:p>
        </w:tc>
        <w:tc>
          <w:tcPr>
            <w:tcW w:w="471" w:type="pct"/>
          </w:tcPr>
          <w:p w14:paraId="7E46487C" w14:textId="77777777" w:rsidR="00DA3F88" w:rsidRDefault="00DA3F88" w:rsidP="00EC410B">
            <w:pPr>
              <w:pStyle w:val="Style1"/>
            </w:pPr>
          </w:p>
          <w:p w14:paraId="6957C903" w14:textId="77777777" w:rsidR="00DA3F88" w:rsidRDefault="00DA3F88" w:rsidP="00EC410B">
            <w:pPr>
              <w:pStyle w:val="Style1"/>
            </w:pPr>
            <w:r>
              <w:t>0.96</w:t>
            </w:r>
          </w:p>
          <w:p w14:paraId="67C75D9E" w14:textId="77777777" w:rsidR="00DA3F88" w:rsidRDefault="00DA3F88" w:rsidP="00EC410B">
            <w:pPr>
              <w:pStyle w:val="Style1"/>
            </w:pPr>
            <w:r>
              <w:t>1.99</w:t>
            </w:r>
          </w:p>
          <w:p w14:paraId="665F54F5" w14:textId="77777777" w:rsidR="00DA3F88" w:rsidRPr="00B96CCD" w:rsidRDefault="00DA3F88" w:rsidP="00EC410B">
            <w:pPr>
              <w:pStyle w:val="Style1"/>
            </w:pPr>
            <w:r>
              <w:t>2.27</w:t>
            </w:r>
          </w:p>
        </w:tc>
        <w:tc>
          <w:tcPr>
            <w:tcW w:w="450" w:type="pct"/>
          </w:tcPr>
          <w:p w14:paraId="724B1DAF" w14:textId="77777777" w:rsidR="00DA3F88" w:rsidRDefault="00DA3F88" w:rsidP="00EC410B">
            <w:pPr>
              <w:pStyle w:val="Style1"/>
            </w:pPr>
          </w:p>
          <w:p w14:paraId="46BEA4E1" w14:textId="77777777" w:rsidR="00DA3F88" w:rsidRDefault="00DA3F88" w:rsidP="00EC410B">
            <w:pPr>
              <w:pStyle w:val="Style1"/>
            </w:pPr>
            <w:r>
              <w:t>0.47-1.95</w:t>
            </w:r>
          </w:p>
          <w:p w14:paraId="1AC83192" w14:textId="77777777" w:rsidR="00DA3F88" w:rsidRDefault="00DA3F88" w:rsidP="00EC410B">
            <w:pPr>
              <w:pStyle w:val="Style1"/>
            </w:pPr>
            <w:r>
              <w:t>0.90-4.40</w:t>
            </w:r>
          </w:p>
          <w:p w14:paraId="0D225BC0" w14:textId="77777777" w:rsidR="00DA3F88" w:rsidRPr="00B96CCD" w:rsidRDefault="00DA3F88" w:rsidP="00EC410B">
            <w:pPr>
              <w:pStyle w:val="Style1"/>
            </w:pPr>
            <w:r>
              <w:t>1.00-5.14</w:t>
            </w:r>
          </w:p>
        </w:tc>
        <w:tc>
          <w:tcPr>
            <w:tcW w:w="341" w:type="pct"/>
          </w:tcPr>
          <w:p w14:paraId="7A268094" w14:textId="77777777" w:rsidR="00DA3F88" w:rsidRPr="00B96CCD" w:rsidRDefault="00DA3F88" w:rsidP="00EC410B">
            <w:pPr>
              <w:pStyle w:val="Style1"/>
            </w:pPr>
            <w:r>
              <w:t>0.08</w:t>
            </w:r>
          </w:p>
        </w:tc>
        <w:tc>
          <w:tcPr>
            <w:tcW w:w="408" w:type="pct"/>
          </w:tcPr>
          <w:p w14:paraId="5299D97B" w14:textId="77777777" w:rsidR="00DA3F88" w:rsidRDefault="00DA3F88" w:rsidP="00EC410B">
            <w:pPr>
              <w:pStyle w:val="Style1"/>
            </w:pPr>
          </w:p>
          <w:p w14:paraId="733937E5" w14:textId="77777777" w:rsidR="00EF7EB6" w:rsidRDefault="00EF7EB6" w:rsidP="00EC410B">
            <w:pPr>
              <w:pStyle w:val="Style1"/>
            </w:pPr>
            <w:r>
              <w:t>0.92</w:t>
            </w:r>
          </w:p>
          <w:p w14:paraId="3E4442C0" w14:textId="77777777" w:rsidR="00EF7EB6" w:rsidRDefault="00EF7EB6" w:rsidP="00EC410B">
            <w:pPr>
              <w:pStyle w:val="Style1"/>
            </w:pPr>
            <w:r>
              <w:t>1.89</w:t>
            </w:r>
          </w:p>
          <w:p w14:paraId="4AC30C69" w14:textId="2A4E28A3" w:rsidR="00EF7EB6" w:rsidRPr="00B96CCD" w:rsidRDefault="00EF7EB6" w:rsidP="00EC410B">
            <w:pPr>
              <w:pStyle w:val="Style1"/>
            </w:pPr>
            <w:r>
              <w:t>2.45</w:t>
            </w:r>
          </w:p>
        </w:tc>
        <w:tc>
          <w:tcPr>
            <w:tcW w:w="460" w:type="pct"/>
          </w:tcPr>
          <w:p w14:paraId="1379BB6D" w14:textId="77777777" w:rsidR="00DA3F88" w:rsidRDefault="00DA3F88" w:rsidP="00EC410B">
            <w:pPr>
              <w:pStyle w:val="Style1"/>
            </w:pPr>
          </w:p>
          <w:p w14:paraId="73B71582" w14:textId="77777777" w:rsidR="00EF7EB6" w:rsidRDefault="00EF7EB6" w:rsidP="00EC410B">
            <w:pPr>
              <w:pStyle w:val="Style1"/>
            </w:pPr>
            <w:r>
              <w:t>0.45-1.89</w:t>
            </w:r>
          </w:p>
          <w:p w14:paraId="79389099" w14:textId="77777777" w:rsidR="00EF7EB6" w:rsidRDefault="00EF7EB6" w:rsidP="00EC410B">
            <w:pPr>
              <w:pStyle w:val="Style1"/>
            </w:pPr>
            <w:r>
              <w:t>0.85-4.21</w:t>
            </w:r>
          </w:p>
          <w:p w14:paraId="2ECECDF5" w14:textId="2A89CC14" w:rsidR="00EF7EB6" w:rsidRPr="00B96CCD" w:rsidRDefault="00EF7EB6" w:rsidP="00EC410B">
            <w:pPr>
              <w:pStyle w:val="Style1"/>
            </w:pPr>
            <w:r>
              <w:t>1.06-5.71</w:t>
            </w:r>
          </w:p>
        </w:tc>
        <w:tc>
          <w:tcPr>
            <w:tcW w:w="341" w:type="pct"/>
          </w:tcPr>
          <w:p w14:paraId="4EBFFEC1" w14:textId="38D51BB4" w:rsidR="00DA3F88" w:rsidRPr="00B96CCD" w:rsidRDefault="00CB34C9" w:rsidP="00EC410B">
            <w:pPr>
              <w:pStyle w:val="Style1"/>
            </w:pPr>
            <w:r>
              <w:t>0.06</w:t>
            </w:r>
          </w:p>
        </w:tc>
      </w:tr>
      <w:tr w:rsidR="00DA3F88" w:rsidRPr="00B96CCD" w14:paraId="413A768C" w14:textId="77777777" w:rsidTr="00EC410B">
        <w:trPr>
          <w:trHeight w:val="368"/>
        </w:trPr>
        <w:tc>
          <w:tcPr>
            <w:tcW w:w="2529" w:type="pct"/>
          </w:tcPr>
          <w:p w14:paraId="415387A6" w14:textId="0A103339" w:rsidR="00DA3F88" w:rsidRPr="00B96CCD" w:rsidRDefault="00DA3F88" w:rsidP="00EC410B">
            <w:pPr>
              <w:pStyle w:val="Style1"/>
            </w:pPr>
            <w:r w:rsidRPr="00B96CCD">
              <w:t xml:space="preserve">OR </w:t>
            </w:r>
            <w:r>
              <w:t>for</w:t>
            </w:r>
            <w:r w:rsidRPr="00B96CCD">
              <w:t xml:space="preserve"> lowest quartile </w:t>
            </w:r>
            <w:r>
              <w:t>average PaO</w:t>
            </w:r>
            <w:r w:rsidRPr="00B96CCD">
              <w:rPr>
                <w:vertAlign w:val="subscript"/>
              </w:rPr>
              <w:t>2</w:t>
            </w:r>
            <w:r w:rsidRPr="00B96CCD">
              <w:t xml:space="preserve"> </w:t>
            </w:r>
            <w:r>
              <w:t>vs</w:t>
            </w:r>
            <w:r w:rsidRPr="00B96CCD">
              <w:t xml:space="preserve"> all other quartiles (Q1 vs Q2-4)</w:t>
            </w:r>
          </w:p>
        </w:tc>
        <w:tc>
          <w:tcPr>
            <w:tcW w:w="471" w:type="pct"/>
          </w:tcPr>
          <w:p w14:paraId="3C87CECF" w14:textId="77777777" w:rsidR="00DA3F88" w:rsidRPr="00B96CCD" w:rsidRDefault="00DA3F88" w:rsidP="00EC410B">
            <w:pPr>
              <w:pStyle w:val="Style1"/>
            </w:pPr>
            <w:r>
              <w:t>1.52</w:t>
            </w:r>
          </w:p>
        </w:tc>
        <w:tc>
          <w:tcPr>
            <w:tcW w:w="450" w:type="pct"/>
          </w:tcPr>
          <w:p w14:paraId="4115BD6E" w14:textId="77777777" w:rsidR="00DA3F88" w:rsidRPr="00B96CCD" w:rsidRDefault="00DA3F88" w:rsidP="00EC410B">
            <w:pPr>
              <w:pStyle w:val="Style1"/>
            </w:pPr>
            <w:r>
              <w:t>0.84-2.75</w:t>
            </w:r>
          </w:p>
        </w:tc>
        <w:tc>
          <w:tcPr>
            <w:tcW w:w="341" w:type="pct"/>
          </w:tcPr>
          <w:p w14:paraId="7A1103D1" w14:textId="77777777" w:rsidR="00DA3F88" w:rsidRPr="00B96CCD" w:rsidRDefault="00DA3F88" w:rsidP="00EC410B">
            <w:pPr>
              <w:pStyle w:val="Style1"/>
            </w:pPr>
            <w:r>
              <w:t>0.17</w:t>
            </w:r>
          </w:p>
        </w:tc>
        <w:tc>
          <w:tcPr>
            <w:tcW w:w="408" w:type="pct"/>
          </w:tcPr>
          <w:p w14:paraId="79CC677A" w14:textId="464D854E" w:rsidR="00DA3F88" w:rsidRPr="00B96CCD" w:rsidRDefault="008F2EFA" w:rsidP="00EC410B">
            <w:pPr>
              <w:pStyle w:val="Style1"/>
            </w:pPr>
            <w:r>
              <w:t>1.51</w:t>
            </w:r>
          </w:p>
        </w:tc>
        <w:tc>
          <w:tcPr>
            <w:tcW w:w="460" w:type="pct"/>
          </w:tcPr>
          <w:p w14:paraId="31AAAB95" w14:textId="26FFD4E2" w:rsidR="00DA3F88" w:rsidRPr="00B96CCD" w:rsidRDefault="008F2EFA" w:rsidP="00EC410B">
            <w:pPr>
              <w:pStyle w:val="Style1"/>
            </w:pPr>
            <w:r>
              <w:t>0.83-2.74</w:t>
            </w:r>
          </w:p>
        </w:tc>
        <w:tc>
          <w:tcPr>
            <w:tcW w:w="341" w:type="pct"/>
          </w:tcPr>
          <w:p w14:paraId="7B853B22" w14:textId="3F96A9E2" w:rsidR="00DA3F88" w:rsidRPr="00B96CCD" w:rsidRDefault="008F2EFA" w:rsidP="00EC410B">
            <w:pPr>
              <w:pStyle w:val="Style1"/>
            </w:pPr>
            <w:r>
              <w:t>0.18</w:t>
            </w:r>
          </w:p>
        </w:tc>
      </w:tr>
    </w:tbl>
    <w:p w14:paraId="2C8177EF" w14:textId="6CE36C4A" w:rsidR="004336E6" w:rsidRPr="004336E6" w:rsidRDefault="004336E6" w:rsidP="004336E6">
      <w:pPr>
        <w:ind w:firstLine="0"/>
      </w:pPr>
      <w:proofErr w:type="spellStart"/>
      <w:r w:rsidRPr="002643EC">
        <w:rPr>
          <w:vertAlign w:val="superscript"/>
        </w:rPr>
        <w:t>a</w:t>
      </w:r>
      <w:r w:rsidRPr="002643EC">
        <w:t>Adjusted</w:t>
      </w:r>
      <w:proofErr w:type="spellEnd"/>
      <w:r w:rsidRPr="002643EC">
        <w:t xml:space="preserve"> for continuous value of generalized propensity score, which estimates </w:t>
      </w:r>
      <w:r w:rsidR="00361C6E" w:rsidRPr="002643EC">
        <w:t xml:space="preserve">log-transformed </w:t>
      </w:r>
      <w:r w:rsidRPr="002643EC">
        <w:t>continuous nadir PaO</w:t>
      </w:r>
      <w:r w:rsidRPr="002643EC">
        <w:rPr>
          <w:vertAlign w:val="subscript"/>
        </w:rPr>
        <w:t xml:space="preserve">2 </w:t>
      </w:r>
      <w:r w:rsidRPr="002643EC">
        <w:t>from: age, sex, h/o hypertension, hypercholesterolemia, diabetes, prior stroke, peripheral vascular disease, current smoking status, history of myocardial infarction, obesity, cardiopulmonary bypass time, presence of any circulatory arrest, and procedure type.</w:t>
      </w:r>
      <w:r w:rsidR="00EB0A0E" w:rsidRPr="002643EC">
        <w:t xml:space="preserve"> The score</w:t>
      </w:r>
      <w:r w:rsidR="0065318F" w:rsidRPr="002643EC">
        <w:t xml:space="preserve">, created using the </w:t>
      </w:r>
      <w:proofErr w:type="spellStart"/>
      <w:r w:rsidR="0065318F" w:rsidRPr="002643EC">
        <w:t>gpscore</w:t>
      </w:r>
      <w:proofErr w:type="spellEnd"/>
      <w:r w:rsidR="0065318F" w:rsidRPr="002643EC">
        <w:t xml:space="preserve"> module in Stata,</w:t>
      </w:r>
      <w:r w:rsidR="00EB0A0E" w:rsidRPr="002643EC">
        <w:t xml:space="preserve"> </w:t>
      </w:r>
      <w:r w:rsidR="00F36191" w:rsidRPr="002643EC">
        <w:t xml:space="preserve">creates the propensity score using a maximum likelihood regression, and </w:t>
      </w:r>
      <w:r w:rsidR="00361C6E" w:rsidRPr="002643EC">
        <w:t xml:space="preserve">then </w:t>
      </w:r>
      <w:r w:rsidR="003D14E1" w:rsidRPr="002643EC">
        <w:t xml:space="preserve">uses the following pO2 </w:t>
      </w:r>
      <w:proofErr w:type="spellStart"/>
      <w:r w:rsidR="003D14E1" w:rsidRPr="002643EC">
        <w:t>quantile</w:t>
      </w:r>
      <w:proofErr w:type="spellEnd"/>
      <w:r w:rsidR="003D14E1" w:rsidRPr="002643EC">
        <w:t xml:space="preserve"> </w:t>
      </w:r>
      <w:proofErr w:type="spellStart"/>
      <w:r w:rsidR="003D14E1" w:rsidRPr="002643EC">
        <w:t>cutpoints</w:t>
      </w:r>
      <w:proofErr w:type="spellEnd"/>
      <w:r w:rsidR="00361C6E" w:rsidRPr="002643EC">
        <w:t xml:space="preserve"> to create intervals to test balance</w:t>
      </w:r>
      <w:r w:rsidR="003D14E1" w:rsidRPr="002643EC">
        <w:t xml:space="preserve">: &lt;70 mm Hg, &lt;84 mm Hg, &lt;105 mm Hg, &lt;257 mm </w:t>
      </w:r>
      <w:r w:rsidR="00361C6E" w:rsidRPr="002643EC">
        <w:t>Hg (</w:t>
      </w:r>
      <w:r w:rsidR="008B67C8" w:rsidRPr="002643EC">
        <w:t xml:space="preserve">then, </w:t>
      </w:r>
      <w:r w:rsidR="00361C6E" w:rsidRPr="002643EC">
        <w:t>the conditional means of the variables</w:t>
      </w:r>
      <w:r w:rsidR="008B67C8" w:rsidRPr="002643EC">
        <w:t xml:space="preserve"> in each interval</w:t>
      </w:r>
      <w:r w:rsidR="00C5117E" w:rsidRPr="002643EC">
        <w:t>, given the propensity score,</w:t>
      </w:r>
      <w:r w:rsidR="0085082D" w:rsidRPr="002643EC">
        <w:t xml:space="preserve"> </w:t>
      </w:r>
      <w:r w:rsidR="00C5117E" w:rsidRPr="002643EC">
        <w:t>were</w:t>
      </w:r>
      <w:r w:rsidR="00361C6E" w:rsidRPr="002643EC">
        <w:t xml:space="preserve"> not different between units in different intervals, t</w:t>
      </w:r>
      <w:bookmarkStart w:id="0" w:name="_GoBack"/>
      <w:bookmarkEnd w:id="0"/>
      <w:r w:rsidR="00361C6E" w:rsidRPr="002643EC">
        <w:t>hus verifying appropriate balance).</w:t>
      </w:r>
      <w:r w:rsidR="00361C6E">
        <w:t xml:space="preserve"> </w:t>
      </w:r>
    </w:p>
    <w:sectPr w:rsidR="004336E6" w:rsidRPr="004336E6" w:rsidSect="00DA3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D"/>
    <w:rsid w:val="00004232"/>
    <w:rsid w:val="00006A64"/>
    <w:rsid w:val="00011372"/>
    <w:rsid w:val="00013812"/>
    <w:rsid w:val="00014895"/>
    <w:rsid w:val="00022FC3"/>
    <w:rsid w:val="00023251"/>
    <w:rsid w:val="00040362"/>
    <w:rsid w:val="00043E20"/>
    <w:rsid w:val="00054FA9"/>
    <w:rsid w:val="00057FC9"/>
    <w:rsid w:val="00060653"/>
    <w:rsid w:val="000673C6"/>
    <w:rsid w:val="00070D3F"/>
    <w:rsid w:val="0008204C"/>
    <w:rsid w:val="000845DF"/>
    <w:rsid w:val="00093C04"/>
    <w:rsid w:val="000D7BAC"/>
    <w:rsid w:val="00141E6F"/>
    <w:rsid w:val="001428CB"/>
    <w:rsid w:val="0014546F"/>
    <w:rsid w:val="001532DC"/>
    <w:rsid w:val="00162530"/>
    <w:rsid w:val="00164767"/>
    <w:rsid w:val="001723CE"/>
    <w:rsid w:val="001767BE"/>
    <w:rsid w:val="00180217"/>
    <w:rsid w:val="00180642"/>
    <w:rsid w:val="00183B8F"/>
    <w:rsid w:val="0018474C"/>
    <w:rsid w:val="00197159"/>
    <w:rsid w:val="001B1A2C"/>
    <w:rsid w:val="001B5850"/>
    <w:rsid w:val="001C3DF0"/>
    <w:rsid w:val="001C7A5F"/>
    <w:rsid w:val="001D016E"/>
    <w:rsid w:val="001E5024"/>
    <w:rsid w:val="001F3E3B"/>
    <w:rsid w:val="001F7E14"/>
    <w:rsid w:val="0020362D"/>
    <w:rsid w:val="00206913"/>
    <w:rsid w:val="002162E7"/>
    <w:rsid w:val="00227FDD"/>
    <w:rsid w:val="00230685"/>
    <w:rsid w:val="00236426"/>
    <w:rsid w:val="00244A75"/>
    <w:rsid w:val="002472BA"/>
    <w:rsid w:val="0025375A"/>
    <w:rsid w:val="002548A7"/>
    <w:rsid w:val="002643EC"/>
    <w:rsid w:val="00277B4D"/>
    <w:rsid w:val="00287244"/>
    <w:rsid w:val="00291679"/>
    <w:rsid w:val="002A75D6"/>
    <w:rsid w:val="002B0FFF"/>
    <w:rsid w:val="002B1BE4"/>
    <w:rsid w:val="002D0E2F"/>
    <w:rsid w:val="002E550A"/>
    <w:rsid w:val="002F2803"/>
    <w:rsid w:val="002F467F"/>
    <w:rsid w:val="002F678C"/>
    <w:rsid w:val="00306572"/>
    <w:rsid w:val="0033477A"/>
    <w:rsid w:val="00361C6E"/>
    <w:rsid w:val="00363B02"/>
    <w:rsid w:val="00380190"/>
    <w:rsid w:val="00381519"/>
    <w:rsid w:val="003A2296"/>
    <w:rsid w:val="003B6510"/>
    <w:rsid w:val="003C2A54"/>
    <w:rsid w:val="003C7CBE"/>
    <w:rsid w:val="003D14E1"/>
    <w:rsid w:val="00415157"/>
    <w:rsid w:val="00420BC1"/>
    <w:rsid w:val="004336E6"/>
    <w:rsid w:val="00443ED5"/>
    <w:rsid w:val="004610B5"/>
    <w:rsid w:val="00461715"/>
    <w:rsid w:val="00465A76"/>
    <w:rsid w:val="0047620A"/>
    <w:rsid w:val="00482F89"/>
    <w:rsid w:val="00493918"/>
    <w:rsid w:val="00497D2E"/>
    <w:rsid w:val="004A0D63"/>
    <w:rsid w:val="004B353E"/>
    <w:rsid w:val="004C43D2"/>
    <w:rsid w:val="004D3125"/>
    <w:rsid w:val="004F3A77"/>
    <w:rsid w:val="005016BA"/>
    <w:rsid w:val="0050499E"/>
    <w:rsid w:val="0052437C"/>
    <w:rsid w:val="0053573A"/>
    <w:rsid w:val="00562964"/>
    <w:rsid w:val="0057672F"/>
    <w:rsid w:val="005A2A63"/>
    <w:rsid w:val="005C718D"/>
    <w:rsid w:val="005D1EA7"/>
    <w:rsid w:val="005D2E51"/>
    <w:rsid w:val="005E3212"/>
    <w:rsid w:val="005F1BC0"/>
    <w:rsid w:val="005F4A93"/>
    <w:rsid w:val="00601FD0"/>
    <w:rsid w:val="006309E8"/>
    <w:rsid w:val="0063261F"/>
    <w:rsid w:val="00637BA0"/>
    <w:rsid w:val="0065318F"/>
    <w:rsid w:val="00660AD1"/>
    <w:rsid w:val="0066400F"/>
    <w:rsid w:val="0067160A"/>
    <w:rsid w:val="006832B6"/>
    <w:rsid w:val="00693EE6"/>
    <w:rsid w:val="006A783F"/>
    <w:rsid w:val="006C0426"/>
    <w:rsid w:val="006C1554"/>
    <w:rsid w:val="006C2FDC"/>
    <w:rsid w:val="006C6628"/>
    <w:rsid w:val="006D6B19"/>
    <w:rsid w:val="006E0514"/>
    <w:rsid w:val="006E1706"/>
    <w:rsid w:val="006E595D"/>
    <w:rsid w:val="006F152C"/>
    <w:rsid w:val="006F15BB"/>
    <w:rsid w:val="006F4590"/>
    <w:rsid w:val="007049AC"/>
    <w:rsid w:val="00711CD2"/>
    <w:rsid w:val="00717FBC"/>
    <w:rsid w:val="00722BB5"/>
    <w:rsid w:val="007262BD"/>
    <w:rsid w:val="00735276"/>
    <w:rsid w:val="00736882"/>
    <w:rsid w:val="00737C80"/>
    <w:rsid w:val="00743A25"/>
    <w:rsid w:val="00743B18"/>
    <w:rsid w:val="00781301"/>
    <w:rsid w:val="00793C39"/>
    <w:rsid w:val="00794922"/>
    <w:rsid w:val="007A1EA7"/>
    <w:rsid w:val="007A23BA"/>
    <w:rsid w:val="007B348D"/>
    <w:rsid w:val="007B4CA6"/>
    <w:rsid w:val="007B7CD6"/>
    <w:rsid w:val="007C0959"/>
    <w:rsid w:val="007E71AD"/>
    <w:rsid w:val="007F40C3"/>
    <w:rsid w:val="007F7840"/>
    <w:rsid w:val="0081725C"/>
    <w:rsid w:val="00817576"/>
    <w:rsid w:val="0085082D"/>
    <w:rsid w:val="00861B1D"/>
    <w:rsid w:val="00877232"/>
    <w:rsid w:val="0089502D"/>
    <w:rsid w:val="00895F0B"/>
    <w:rsid w:val="008B67C8"/>
    <w:rsid w:val="008C3EB0"/>
    <w:rsid w:val="008D39EF"/>
    <w:rsid w:val="008D3F7C"/>
    <w:rsid w:val="008F2EFA"/>
    <w:rsid w:val="00907122"/>
    <w:rsid w:val="00917B07"/>
    <w:rsid w:val="00930A90"/>
    <w:rsid w:val="00943D8C"/>
    <w:rsid w:val="00947E99"/>
    <w:rsid w:val="00953953"/>
    <w:rsid w:val="0096260E"/>
    <w:rsid w:val="00973721"/>
    <w:rsid w:val="00974AB6"/>
    <w:rsid w:val="00981EC8"/>
    <w:rsid w:val="009827FF"/>
    <w:rsid w:val="00987147"/>
    <w:rsid w:val="00987DA1"/>
    <w:rsid w:val="0099029A"/>
    <w:rsid w:val="009956D5"/>
    <w:rsid w:val="009A397C"/>
    <w:rsid w:val="009B2D95"/>
    <w:rsid w:val="009C1C6B"/>
    <w:rsid w:val="009D3602"/>
    <w:rsid w:val="009D4458"/>
    <w:rsid w:val="009D4463"/>
    <w:rsid w:val="009D6BFB"/>
    <w:rsid w:val="009E5A70"/>
    <w:rsid w:val="009F67C4"/>
    <w:rsid w:val="009F78DB"/>
    <w:rsid w:val="00A0309A"/>
    <w:rsid w:val="00A03FFF"/>
    <w:rsid w:val="00A14807"/>
    <w:rsid w:val="00A23F37"/>
    <w:rsid w:val="00A37089"/>
    <w:rsid w:val="00A41A29"/>
    <w:rsid w:val="00A47074"/>
    <w:rsid w:val="00A562F7"/>
    <w:rsid w:val="00A5778F"/>
    <w:rsid w:val="00A86BEB"/>
    <w:rsid w:val="00A909FB"/>
    <w:rsid w:val="00AA2679"/>
    <w:rsid w:val="00AA35E4"/>
    <w:rsid w:val="00AB27FC"/>
    <w:rsid w:val="00AC0282"/>
    <w:rsid w:val="00AD1D34"/>
    <w:rsid w:val="00AD7662"/>
    <w:rsid w:val="00B1623B"/>
    <w:rsid w:val="00B27834"/>
    <w:rsid w:val="00B5074B"/>
    <w:rsid w:val="00B806BE"/>
    <w:rsid w:val="00B84D01"/>
    <w:rsid w:val="00B87A40"/>
    <w:rsid w:val="00B90C16"/>
    <w:rsid w:val="00BA3895"/>
    <w:rsid w:val="00BA79F5"/>
    <w:rsid w:val="00BC4BB4"/>
    <w:rsid w:val="00BC6DD9"/>
    <w:rsid w:val="00BD0136"/>
    <w:rsid w:val="00BD02BD"/>
    <w:rsid w:val="00BF61E7"/>
    <w:rsid w:val="00C0295E"/>
    <w:rsid w:val="00C05D36"/>
    <w:rsid w:val="00C06E7E"/>
    <w:rsid w:val="00C136F2"/>
    <w:rsid w:val="00C14F9B"/>
    <w:rsid w:val="00C4769E"/>
    <w:rsid w:val="00C5117E"/>
    <w:rsid w:val="00C60249"/>
    <w:rsid w:val="00C74FC0"/>
    <w:rsid w:val="00C751DB"/>
    <w:rsid w:val="00C77ADA"/>
    <w:rsid w:val="00C81CC9"/>
    <w:rsid w:val="00C8349C"/>
    <w:rsid w:val="00CA6E46"/>
    <w:rsid w:val="00CB34C9"/>
    <w:rsid w:val="00CC4E85"/>
    <w:rsid w:val="00D138BB"/>
    <w:rsid w:val="00D1542E"/>
    <w:rsid w:val="00D2027F"/>
    <w:rsid w:val="00D501BF"/>
    <w:rsid w:val="00D70B69"/>
    <w:rsid w:val="00D72334"/>
    <w:rsid w:val="00D86C8A"/>
    <w:rsid w:val="00D91FEC"/>
    <w:rsid w:val="00DA3F88"/>
    <w:rsid w:val="00DC0F33"/>
    <w:rsid w:val="00DC17B2"/>
    <w:rsid w:val="00DD39AD"/>
    <w:rsid w:val="00DF0BE7"/>
    <w:rsid w:val="00DF2B67"/>
    <w:rsid w:val="00E044D1"/>
    <w:rsid w:val="00E1454F"/>
    <w:rsid w:val="00E15D0C"/>
    <w:rsid w:val="00E26DC8"/>
    <w:rsid w:val="00E32117"/>
    <w:rsid w:val="00E46A84"/>
    <w:rsid w:val="00E6525A"/>
    <w:rsid w:val="00E67553"/>
    <w:rsid w:val="00E7159C"/>
    <w:rsid w:val="00EA1785"/>
    <w:rsid w:val="00EB0A0E"/>
    <w:rsid w:val="00EB100D"/>
    <w:rsid w:val="00EC054D"/>
    <w:rsid w:val="00ED5687"/>
    <w:rsid w:val="00ED578E"/>
    <w:rsid w:val="00EE55C1"/>
    <w:rsid w:val="00EF7EB6"/>
    <w:rsid w:val="00F36191"/>
    <w:rsid w:val="00F45F06"/>
    <w:rsid w:val="00F50819"/>
    <w:rsid w:val="00F702AA"/>
    <w:rsid w:val="00F91237"/>
    <w:rsid w:val="00FC1A83"/>
    <w:rsid w:val="00FC2B2B"/>
    <w:rsid w:val="00FC7BC5"/>
    <w:rsid w:val="00FD554E"/>
    <w:rsid w:val="00FD7393"/>
    <w:rsid w:val="00FF2F0C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A78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88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F88"/>
    <w:pPr>
      <w:ind w:firstLine="72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odyText"/>
    <w:link w:val="Style1Char"/>
    <w:qFormat/>
    <w:rsid w:val="00DA3F88"/>
    <w:pPr>
      <w:ind w:firstLine="0"/>
    </w:pPr>
  </w:style>
  <w:style w:type="character" w:customStyle="1" w:styleId="Style1Char">
    <w:name w:val="Style1 Char"/>
    <w:basedOn w:val="BodyTextChar"/>
    <w:link w:val="Style1"/>
    <w:rsid w:val="00DA3F88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F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F88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A3F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F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Gottesman</dc:creator>
  <cp:keywords/>
  <dc:description/>
  <cp:lastModifiedBy>Rebecca Gottesman</cp:lastModifiedBy>
  <cp:revision>11</cp:revision>
  <dcterms:created xsi:type="dcterms:W3CDTF">2017-03-14T13:58:00Z</dcterms:created>
  <dcterms:modified xsi:type="dcterms:W3CDTF">2017-03-14T17:56:00Z</dcterms:modified>
</cp:coreProperties>
</file>