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1" w:rsidRPr="00765EBB" w:rsidRDefault="004B0FA1" w:rsidP="004B0FA1">
      <w:pPr>
        <w:spacing w:line="480" w:lineRule="auto"/>
        <w:rPr>
          <w:b/>
        </w:rPr>
      </w:pPr>
      <w:r w:rsidRPr="00765EBB">
        <w:rPr>
          <w:b/>
        </w:rPr>
        <w:t>Appendix A.</w:t>
      </w:r>
    </w:p>
    <w:p w:rsidR="004B0FA1" w:rsidRPr="00765EBB" w:rsidRDefault="00083B65" w:rsidP="004B0FA1">
      <w:pPr>
        <w:spacing w:line="480" w:lineRule="auto"/>
      </w:pPr>
      <w:r w:rsidRPr="00765EBB">
        <w:t>In order t</w:t>
      </w:r>
      <w:r w:rsidR="004B0FA1" w:rsidRPr="00765EBB">
        <w:t xml:space="preserve">o </w:t>
      </w:r>
      <w:r w:rsidRPr="00765EBB">
        <w:t>register</w:t>
      </w:r>
      <w:r w:rsidR="004B0FA1" w:rsidRPr="00765EBB">
        <w:t xml:space="preserve"> comorbid</w:t>
      </w:r>
      <w:r w:rsidR="0083214F" w:rsidRPr="00765EBB">
        <w:t xml:space="preserve"> conditions</w:t>
      </w:r>
      <w:r w:rsidR="00BB5B62" w:rsidRPr="00765EBB">
        <w:t xml:space="preserve"> patients were asked about them</w:t>
      </w:r>
      <w:r w:rsidR="004B0FA1" w:rsidRPr="00765EBB">
        <w:t xml:space="preserve"> and </w:t>
      </w:r>
      <w:r w:rsidR="0083214F" w:rsidRPr="00765EBB">
        <w:t xml:space="preserve">both </w:t>
      </w:r>
      <w:r w:rsidR="004B0FA1" w:rsidRPr="00765EBB">
        <w:t xml:space="preserve">their medical records as well as their medication charts </w:t>
      </w:r>
      <w:r w:rsidR="0083214F" w:rsidRPr="00765EBB">
        <w:t xml:space="preserve">were </w:t>
      </w:r>
      <w:r w:rsidR="004B0FA1" w:rsidRPr="00765EBB">
        <w:t>reviewed. When</w:t>
      </w:r>
      <w:r w:rsidR="0083214F" w:rsidRPr="00765EBB">
        <w:t>ever</w:t>
      </w:r>
      <w:r w:rsidR="004B0FA1" w:rsidRPr="00765EBB">
        <w:t xml:space="preserve"> discrepancies or inconsistencies </w:t>
      </w:r>
      <w:r w:rsidR="0083214F" w:rsidRPr="00765EBB">
        <w:t xml:space="preserve">were found </w:t>
      </w:r>
      <w:r w:rsidR="004B0FA1" w:rsidRPr="00765EBB">
        <w:t xml:space="preserve">the general practitioners were contacted. </w:t>
      </w:r>
    </w:p>
    <w:p w:rsidR="004B0FA1" w:rsidRPr="00765EBB" w:rsidRDefault="004B0FA1" w:rsidP="004B0FA1">
      <w:pPr>
        <w:spacing w:line="480" w:lineRule="auto"/>
      </w:pPr>
      <w:r w:rsidRPr="00765EBB">
        <w:t>T</w:t>
      </w:r>
      <w:r w:rsidR="00420144" w:rsidRPr="00765EBB">
        <w:t>he specific comorbidities consi</w:t>
      </w:r>
      <w:r w:rsidRPr="00765EBB">
        <w:t xml:space="preserve">dered were: </w:t>
      </w:r>
    </w:p>
    <w:p w:rsidR="004B0FA1" w:rsidRPr="00765EBB" w:rsidRDefault="004B0FA1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 xml:space="preserve">Congestive heart failure </w:t>
      </w:r>
      <w:r w:rsidR="009D08AC" w:rsidRPr="00765EBB">
        <w:t>(CHF)</w:t>
      </w:r>
    </w:p>
    <w:p w:rsidR="004B0FA1" w:rsidRPr="00765EBB" w:rsidRDefault="004B0FA1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 xml:space="preserve">Ischemic </w:t>
      </w:r>
      <w:r w:rsidR="007B5A8C" w:rsidRPr="00765EBB">
        <w:t>heart disease</w:t>
      </w:r>
    </w:p>
    <w:p w:rsidR="004B0FA1" w:rsidRPr="00765EBB" w:rsidRDefault="004B0FA1" w:rsidP="00420144">
      <w:pPr>
        <w:pStyle w:val="Prrafodelista"/>
        <w:numPr>
          <w:ilvl w:val="0"/>
          <w:numId w:val="3"/>
        </w:numPr>
        <w:spacing w:line="480" w:lineRule="auto"/>
      </w:pPr>
      <w:bookmarkStart w:id="0" w:name="_GoBack"/>
      <w:bookmarkEnd w:id="0"/>
      <w:r w:rsidRPr="00765EBB">
        <w:t>Peripheral vascular disease</w:t>
      </w:r>
    </w:p>
    <w:p w:rsidR="004B0FA1" w:rsidRPr="00765EBB" w:rsidRDefault="004B0FA1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>Atrial fibrillation (AF): current or paroxistic on anticoagulant treatment (past history of AF, or AF successfully ablated was not considered)</w:t>
      </w:r>
    </w:p>
    <w:p w:rsidR="004B0FA1" w:rsidRPr="00765EBB" w:rsidRDefault="004B0FA1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 xml:space="preserve">Hypertension </w:t>
      </w:r>
    </w:p>
    <w:p w:rsidR="00D42A86" w:rsidRPr="00765EBB" w:rsidRDefault="004B0FA1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>Chronic obstructive pulmonary disease (COPD)</w:t>
      </w:r>
      <w:r w:rsidR="00D42A86" w:rsidRPr="00765EBB">
        <w:t xml:space="preserve">: no distinction was made </w:t>
      </w:r>
      <w:r w:rsidR="00825FF3" w:rsidRPr="00765EBB">
        <w:t>among</w:t>
      </w:r>
      <w:r w:rsidR="00D42A86" w:rsidRPr="00765EBB">
        <w:t xml:space="preserve"> the specific entities</w:t>
      </w:r>
      <w:r w:rsidR="00825FF3" w:rsidRPr="00765EBB">
        <w:t xml:space="preserve"> comprised within this overarching concept</w:t>
      </w:r>
      <w:r w:rsidR="005B4FED" w:rsidRPr="00765EBB">
        <w:t>. It</w:t>
      </w:r>
      <w:r w:rsidR="00D42A86" w:rsidRPr="00765EBB">
        <w:t xml:space="preserve"> </w:t>
      </w:r>
      <w:r w:rsidR="00420144" w:rsidRPr="00765EBB">
        <w:t>was considered</w:t>
      </w:r>
      <w:r w:rsidR="002A0369" w:rsidRPr="00765EBB">
        <w:t xml:space="preserve"> to be present whenever </w:t>
      </w:r>
      <w:r w:rsidR="00D42A86" w:rsidRPr="00765EBB">
        <w:t xml:space="preserve">patients </w:t>
      </w:r>
      <w:r w:rsidR="002A0369" w:rsidRPr="00765EBB">
        <w:t xml:space="preserve">with such a diagnosis </w:t>
      </w:r>
      <w:r w:rsidR="00D42A86" w:rsidRPr="00765EBB">
        <w:t xml:space="preserve">were on broncodilating treatment, or </w:t>
      </w:r>
      <w:r w:rsidR="005B4FED" w:rsidRPr="00765EBB">
        <w:t xml:space="preserve">at least </w:t>
      </w:r>
      <w:r w:rsidR="00D42A86" w:rsidRPr="00765EBB">
        <w:t>in Stage II according to the GOLD guidelines</w:t>
      </w:r>
      <w:r w:rsidR="00A12FA7" w:rsidRPr="00765EBB">
        <w:fldChar w:fldCharType="begin"/>
      </w:r>
      <w:r w:rsidR="006376C6" w:rsidRPr="00765EBB">
        <w:instrText xml:space="preserve"> ADDIN EN.CITE &lt;EndNote&gt;&lt;Cite&gt;&lt;Author&gt;Global Initiative for Chronic Obstructive Lung Disease (GOLD). Global strategy for the diagnosis&lt;/Author&gt;&lt;Year&gt;2011&lt;/Year&gt;&lt;RecNum&gt;184&lt;/RecNum&gt;&lt;DisplayText&gt;(1)&lt;/DisplayText&gt;&lt;record&gt;&lt;rec-number&gt;184&lt;/rec-number&gt;&lt;foreign-keys&gt;&lt;key app="EN" db-id="r0xd5ttx3dz5voedtsop0azv9ssv5ppfazdw" timestamp="1483095961"&gt;184&lt;/key&gt;&lt;/foreign-keys&gt;&lt;ref-type name="Electronic Article"&gt;43&lt;/ref-type&gt;&lt;contributors&gt;&lt;authors&gt;&lt;author&gt;Global Initiative for Chronic Obstructive Lung Disease (GOLD). Global strategy for the diagnosis, management and prevention of chronic pulmonary disease, 2011&lt;/author&gt;&lt;/authors&gt;&lt;/contributors&gt;&lt;titles&gt;&lt;secondary-title&gt;http:///Guidelines/guidelines-resources.html.&lt;/secondary-title&gt;&lt;tertiary-title&gt;http:///Guidelines/guidelines-resources.html.&lt;/tertiary-title&gt;&lt;/titles&gt;&lt;periodical&gt;&lt;full-title&gt;http:///Guidelines/guidelines-resources.html.&lt;/full-title&gt;&lt;/periodical&gt;&lt;dates&gt;&lt;year&gt;2011&lt;/year&gt;&lt;/dates&gt;&lt;urls&gt;&lt;/urls&gt;&lt;/record&gt;&lt;/Cite&gt;&lt;/EndNote&gt;</w:instrText>
      </w:r>
      <w:r w:rsidR="00A12FA7" w:rsidRPr="00765EBB">
        <w:fldChar w:fldCharType="separate"/>
      </w:r>
      <w:r w:rsidR="006376C6" w:rsidRPr="00765EBB">
        <w:t>(1)</w:t>
      </w:r>
      <w:r w:rsidR="00A12FA7" w:rsidRPr="00765EBB">
        <w:fldChar w:fldCharType="end"/>
      </w:r>
      <w:r w:rsidR="00D42A86" w:rsidRPr="00765EBB">
        <w:t xml:space="preserve"> (none of our cases was on </w:t>
      </w:r>
      <w:r w:rsidR="005B4FED" w:rsidRPr="00765EBB">
        <w:t>home oxygen therapy).</w:t>
      </w:r>
    </w:p>
    <w:p w:rsidR="005B4FED" w:rsidRPr="00765EBB" w:rsidRDefault="005B4FED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>A</w:t>
      </w:r>
      <w:r w:rsidR="009D02F8" w:rsidRPr="00765EBB">
        <w:t>n</w:t>
      </w:r>
      <w:r w:rsidR="004B0FA1" w:rsidRPr="00765EBB">
        <w:t>emia</w:t>
      </w:r>
      <w:r w:rsidRPr="00765EBB">
        <w:t>: as defined by the Worl</w:t>
      </w:r>
      <w:r w:rsidR="001F0799" w:rsidRPr="00765EBB">
        <w:t>d Health Organization criteria.</w:t>
      </w:r>
      <w:r w:rsidR="00A12FA7" w:rsidRPr="00765EBB">
        <w:fldChar w:fldCharType="begin"/>
      </w:r>
      <w:r w:rsidR="006376C6" w:rsidRPr="00765EBB">
        <w:instrText xml:space="preserve"> ADDIN EN.CITE &lt;EndNote&gt;&lt;Cite&gt;&lt;Author&gt;Steensma&lt;/Author&gt;&lt;Year&gt;2007&lt;/Year&gt;&lt;RecNum&gt;185&lt;/RecNum&gt;&lt;DisplayText&gt;(2)&lt;/DisplayText&gt;&lt;record&gt;&lt;rec-number&gt;185&lt;/rec-number&gt;&lt;foreign-keys&gt;&lt;key app="EN" db-id="r0xd5ttx3dz5voedtsop0azv9ssv5ppfazdw" timestamp="1483357594"&gt;185&lt;/key&gt;&lt;/foreign-keys&gt;&lt;ref-type name="Journal Article"&gt;17&lt;/ref-type&gt;&lt;contributors&gt;&lt;authors&gt;&lt;author&gt;Steensma, D. P.&lt;/author&gt;&lt;author&gt;Tefferi, A.&lt;/author&gt;&lt;/authors&gt;&lt;/contributors&gt;&lt;auth-address&gt;Division of Hematology, Mayo Clinic, Mayo Clinic, 200 First Street SW, Rochester, MN 55905, USA. steensma.david@mayo.edu&lt;/auth-address&gt;&lt;titles&gt;&lt;title&gt;Anemia in the elderly: how should we define it, when does it matter, and what can be done?&lt;/title&gt;&lt;secondary-title&gt;Mayo Clin Proc&lt;/secondary-title&gt;&lt;/titles&gt;&lt;periodical&gt;&lt;full-title&gt;Mayo Clin Proc&lt;/full-title&gt;&lt;/periodical&gt;&lt;pages&gt;958-66&lt;/pages&gt;&lt;volume&gt;82&lt;/volume&gt;&lt;number&gt;8&lt;/number&gt;&lt;keywords&gt;&lt;keyword&gt;Aged&lt;/keyword&gt;&lt;keyword&gt;Anemia/blood/*classification/etiology&lt;/keyword&gt;&lt;keyword&gt;Health Status&lt;/keyword&gt;&lt;keyword&gt;Hematinics/therapeutic use&lt;/keyword&gt;&lt;keyword&gt;Hemoglobins/analysis&lt;/keyword&gt;&lt;keyword&gt;Humans&lt;/keyword&gt;&lt;keyword&gt;Myelodysplastic Syndromes/complications&lt;/keyword&gt;&lt;keyword&gt;Nutrition Disorders/complications&lt;/keyword&gt;&lt;keyword&gt;Renal Insufficiency/complications&lt;/keyword&gt;&lt;keyword&gt;Survival Rate&lt;/keyword&gt;&lt;/keywords&gt;&lt;dates&gt;&lt;year&gt;2007&lt;/year&gt;&lt;pub-dates&gt;&lt;date&gt;Aug&lt;/date&gt;&lt;/pub-dates&gt;&lt;/dates&gt;&lt;isbn&gt;0025-6196 (Print)&amp;#xD;0025-6196 (Linking)&lt;/isbn&gt;&lt;accession-num&gt;17673065&lt;/accession-num&gt;&lt;urls&gt;&lt;related-urls&gt;&lt;url&gt;https://www.ncbi.nlm.nih.gov/pubmed/17673065&lt;/url&gt;&lt;/related-urls&gt;&lt;/urls&gt;&lt;electronic-resource-num&gt;10.4065/82.8.958&lt;/electronic-resource-num&gt;&lt;/record&gt;&lt;/Cite&gt;&lt;/EndNote&gt;</w:instrText>
      </w:r>
      <w:r w:rsidR="00A12FA7" w:rsidRPr="00765EBB">
        <w:fldChar w:fldCharType="separate"/>
      </w:r>
      <w:r w:rsidR="006376C6" w:rsidRPr="00765EBB">
        <w:t>(2)</w:t>
      </w:r>
      <w:r w:rsidR="00A12FA7" w:rsidRPr="00765EBB">
        <w:fldChar w:fldCharType="end"/>
      </w:r>
    </w:p>
    <w:p w:rsidR="005B4FED" w:rsidRPr="00765EBB" w:rsidRDefault="005B4FED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>C</w:t>
      </w:r>
      <w:r w:rsidR="004B0FA1" w:rsidRPr="00765EBB">
        <w:t>erebrovascular accident</w:t>
      </w:r>
    </w:p>
    <w:p w:rsidR="005B4FED" w:rsidRPr="00765EBB" w:rsidRDefault="005B4FED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>D</w:t>
      </w:r>
      <w:r w:rsidR="004B0FA1" w:rsidRPr="00765EBB">
        <w:t>iabetes</w:t>
      </w:r>
    </w:p>
    <w:p w:rsidR="005B4FED" w:rsidRPr="00765EBB" w:rsidRDefault="005B4FED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>C</w:t>
      </w:r>
      <w:r w:rsidR="004B0FA1" w:rsidRPr="00765EBB">
        <w:t>hronic renal failure</w:t>
      </w:r>
    </w:p>
    <w:p w:rsidR="005B4FED" w:rsidRPr="00765EBB" w:rsidRDefault="005B4FED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>N</w:t>
      </w:r>
      <w:r w:rsidR="004B0FA1" w:rsidRPr="00765EBB">
        <w:t>eoplasms</w:t>
      </w:r>
      <w:r w:rsidR="00420144" w:rsidRPr="00765EBB">
        <w:t xml:space="preserve">: stages of neoplasic disease were not recorded. </w:t>
      </w:r>
      <w:r w:rsidR="00825FF3" w:rsidRPr="00765EBB">
        <w:t>(</w:t>
      </w:r>
      <w:r w:rsidR="00420144" w:rsidRPr="00765EBB">
        <w:t>However, metastatic fractures were considered as a surrogate measure of advanced cancer</w:t>
      </w:r>
      <w:r w:rsidR="00825FF3" w:rsidRPr="00765EBB">
        <w:t>)</w:t>
      </w:r>
      <w:r w:rsidR="00420144" w:rsidRPr="00765EBB">
        <w:t>.</w:t>
      </w:r>
      <w:r w:rsidR="004B0FA1" w:rsidRPr="00765EBB">
        <w:t xml:space="preserve"> </w:t>
      </w:r>
    </w:p>
    <w:p w:rsidR="005B4FED" w:rsidRPr="00765EBB" w:rsidRDefault="004B0FA1" w:rsidP="00420144">
      <w:pPr>
        <w:pStyle w:val="Prrafodelista"/>
        <w:numPr>
          <w:ilvl w:val="0"/>
          <w:numId w:val="3"/>
        </w:numPr>
        <w:spacing w:line="480" w:lineRule="auto"/>
      </w:pPr>
      <w:r w:rsidRPr="00765EBB">
        <w:t xml:space="preserve">Parkinson’s disease </w:t>
      </w:r>
    </w:p>
    <w:p w:rsidR="00420144" w:rsidRPr="00765EBB" w:rsidRDefault="005B4FED" w:rsidP="00420144">
      <w:pPr>
        <w:pStyle w:val="Prrafodelista"/>
        <w:numPr>
          <w:ilvl w:val="0"/>
          <w:numId w:val="3"/>
        </w:numPr>
        <w:spacing w:line="480" w:lineRule="auto"/>
        <w:rPr>
          <w:b/>
        </w:rPr>
      </w:pPr>
      <w:r w:rsidRPr="00765EBB">
        <w:t>O</w:t>
      </w:r>
      <w:r w:rsidR="001F7EBB" w:rsidRPr="00765EBB">
        <w:t>steoporosis/ot</w:t>
      </w:r>
      <w:r w:rsidR="004B0FA1" w:rsidRPr="00765EBB">
        <w:t>eoporosis-related fractures</w:t>
      </w:r>
      <w:r w:rsidR="004B0FA1" w:rsidRPr="00765EBB">
        <w:rPr>
          <w:lang w:val="en-US"/>
        </w:rPr>
        <w:t xml:space="preserve"> (excluding metastatic</w:t>
      </w:r>
      <w:r w:rsidR="00420144" w:rsidRPr="00765EBB">
        <w:rPr>
          <w:lang w:val="en-US"/>
        </w:rPr>
        <w:t xml:space="preserve"> fractures</w:t>
      </w:r>
      <w:r w:rsidR="004B0FA1" w:rsidRPr="00765EBB">
        <w:rPr>
          <w:lang w:val="en-US"/>
        </w:rPr>
        <w:t>)</w:t>
      </w:r>
    </w:p>
    <w:p w:rsidR="00420144" w:rsidRPr="00765EBB" w:rsidRDefault="00420144" w:rsidP="00420144">
      <w:pPr>
        <w:pStyle w:val="Prrafodelista"/>
        <w:numPr>
          <w:ilvl w:val="0"/>
          <w:numId w:val="3"/>
        </w:numPr>
        <w:spacing w:line="480" w:lineRule="auto"/>
        <w:rPr>
          <w:b/>
        </w:rPr>
      </w:pPr>
      <w:r w:rsidRPr="00765EBB">
        <w:lastRenderedPageBreak/>
        <w:t>A</w:t>
      </w:r>
      <w:r w:rsidR="004B0FA1" w:rsidRPr="00765EBB">
        <w:t>rthrosis</w:t>
      </w:r>
    </w:p>
    <w:p w:rsidR="004B0FA1" w:rsidRPr="00765EBB" w:rsidRDefault="00420144" w:rsidP="00420144">
      <w:pPr>
        <w:pStyle w:val="Prrafodelista"/>
        <w:numPr>
          <w:ilvl w:val="0"/>
          <w:numId w:val="3"/>
        </w:numPr>
        <w:spacing w:line="480" w:lineRule="auto"/>
        <w:rPr>
          <w:b/>
        </w:rPr>
      </w:pPr>
      <w:r w:rsidRPr="00765EBB">
        <w:t>S</w:t>
      </w:r>
      <w:r w:rsidR="004B0FA1" w:rsidRPr="00765EBB">
        <w:t>ensory problems (blindness, deafness).</w:t>
      </w:r>
    </w:p>
    <w:p w:rsidR="004B0FA1" w:rsidRPr="00765EBB" w:rsidRDefault="004B0FA1" w:rsidP="004B0FA1">
      <w:pPr>
        <w:spacing w:line="480" w:lineRule="auto"/>
        <w:rPr>
          <w:b/>
        </w:rPr>
      </w:pPr>
    </w:p>
    <w:p w:rsidR="00966558" w:rsidRPr="00765EBB" w:rsidRDefault="00966558">
      <w:pPr>
        <w:rPr>
          <w:b/>
        </w:rPr>
      </w:pPr>
      <w:r w:rsidRPr="00765EBB">
        <w:rPr>
          <w:b/>
        </w:rPr>
        <w:br w:type="page"/>
      </w:r>
    </w:p>
    <w:p w:rsidR="00F810D5" w:rsidRPr="00765EBB" w:rsidRDefault="00F810D5" w:rsidP="004B0FA1">
      <w:pPr>
        <w:spacing w:line="480" w:lineRule="auto"/>
        <w:rPr>
          <w:b/>
        </w:rPr>
      </w:pPr>
      <w:r w:rsidRPr="00765EBB">
        <w:rPr>
          <w:b/>
        </w:rPr>
        <w:lastRenderedPageBreak/>
        <w:t xml:space="preserve">Appendix </w:t>
      </w:r>
      <w:r w:rsidR="004B0FA1" w:rsidRPr="00765EBB">
        <w:rPr>
          <w:b/>
        </w:rPr>
        <w:t>B</w:t>
      </w:r>
      <w:r w:rsidRPr="00765EBB">
        <w:rPr>
          <w:b/>
        </w:rPr>
        <w:t>.</w:t>
      </w:r>
    </w:p>
    <w:p w:rsidR="00F46285" w:rsidRPr="00765EBB" w:rsidRDefault="00F810D5" w:rsidP="004B0FA1">
      <w:pPr>
        <w:spacing w:line="480" w:lineRule="auto"/>
      </w:pPr>
      <w:r w:rsidRPr="00765EBB">
        <w:t>Functional reserve was me</w:t>
      </w:r>
      <w:r w:rsidR="00536EDB" w:rsidRPr="00765EBB">
        <w:t>a</w:t>
      </w:r>
      <w:r w:rsidRPr="00765EBB">
        <w:t>sured through a questionnaire based on the Compendium of Physical activities.</w:t>
      </w:r>
      <w:r w:rsidR="00A12FA7" w:rsidRPr="00765EBB">
        <w:fldChar w:fldCharType="begin"/>
      </w:r>
      <w:r w:rsidR="006376C6" w:rsidRPr="00765EBB">
        <w:instrText xml:space="preserve"> ADDIN EN.CITE &lt;EndNote&gt;&lt;Cite&gt;&lt;Author&gt;Ainsworth&lt;/Author&gt;&lt;Year&gt;2011&lt;/Year&gt;&lt;RecNum&gt;179&lt;/RecNum&gt;&lt;DisplayText&gt;(3)&lt;/DisplayText&gt;&lt;record&gt;&lt;rec-number&gt;179&lt;/rec-number&gt;&lt;foreign-keys&gt;&lt;key app="EN" db-id="r0xd5ttx3dz5voedtsop0azv9ssv5ppfazdw" timestamp="1482184781"&gt;179&lt;/key&gt;&lt;/foreign-keys&gt;&lt;ref-type name="Journal Article"&gt;17&lt;/ref-type&gt;&lt;contributors&gt;&lt;authors&gt;&lt;author&gt;Ainsworth, B. E.&lt;/author&gt;&lt;author&gt;Haskell, W. L.&lt;/author&gt;&lt;author&gt;Herrmann, S. D.&lt;/author&gt;&lt;author&gt;Meckes, N.&lt;/author&gt;&lt;author&gt;Bassett, D. R., Jr.&lt;/author&gt;&lt;author&gt;Tudor-Locke, C.&lt;/author&gt;&lt;author&gt;Greer, J. L.&lt;/author&gt;&lt;author&gt;Vezina, J.&lt;/author&gt;&lt;author&gt;Whitt-Glover, M. C.&lt;/author&gt;&lt;author&gt;Leon, A. S.&lt;/author&gt;&lt;/authors&gt;&lt;/contributors&gt;&lt;auth-address&gt;Exercise and Wellness Program, School of Nutrition and Health Promotion, Arizona State University, Phoenix, AZ 85004, USA. Barbara.Ainsworth@asu.edu&lt;/auth-address&gt;&lt;titles&gt;&lt;title&gt;2011 Compendium of Physical Activities: a second update of codes and MET values&lt;/title&gt;&lt;secondary-title&gt;Med Sci Sports Exerc&lt;/secondary-title&gt;&lt;/titles&gt;&lt;periodical&gt;&lt;full-title&gt;Med Sci Sports Exerc&lt;/full-title&gt;&lt;/periodical&gt;&lt;pages&gt;1575-81&lt;/pages&gt;&lt;volume&gt;43&lt;/volume&gt;&lt;number&gt;8&lt;/number&gt;&lt;keywords&gt;&lt;keyword&gt;Activities of Daily Living/classification&lt;/keyword&gt;&lt;keyword&gt;Adult&lt;/keyword&gt;&lt;keyword&gt;*Clinical Coding&lt;/keyword&gt;&lt;keyword&gt;Data Collection/classification&lt;/keyword&gt;&lt;keyword&gt;Energy Metabolism&lt;/keyword&gt;&lt;keyword&gt;Female&lt;/keyword&gt;&lt;keyword&gt;Humans&lt;/keyword&gt;&lt;keyword&gt;Male&lt;/keyword&gt;&lt;keyword&gt;Middle Aged&lt;/keyword&gt;&lt;keyword&gt;*Motor Activity&lt;/keyword&gt;&lt;keyword&gt;Young Adult&lt;/keyword&gt;&lt;/keywords&gt;&lt;dates&gt;&lt;year&gt;2011&lt;/year&gt;&lt;pub-dates&gt;&lt;date&gt;Aug&lt;/date&gt;&lt;/pub-dates&gt;&lt;/dates&gt;&lt;isbn&gt;1530-0315 (Electronic)&amp;#xD;0195-9131 (Linking)&lt;/isbn&gt;&lt;accession-num&gt;21681120&lt;/accession-num&gt;&lt;urls&gt;&lt;related-urls&gt;&lt;url&gt;https://www.ncbi.nlm.nih.gov/pubmed/21681120&lt;/url&gt;&lt;/related-urls&gt;&lt;/urls&gt;&lt;electronic-resource-num&gt;10.1249/MSS.0b013e31821ece12&lt;/electronic-resource-num&gt;&lt;/record&gt;&lt;/Cite&gt;&lt;/EndNote&gt;</w:instrText>
      </w:r>
      <w:r w:rsidR="00A12FA7" w:rsidRPr="00765EBB">
        <w:fldChar w:fldCharType="separate"/>
      </w:r>
      <w:r w:rsidR="006376C6" w:rsidRPr="00765EBB">
        <w:t>(3)</w:t>
      </w:r>
      <w:r w:rsidR="00A12FA7" w:rsidRPr="00765EBB">
        <w:fldChar w:fldCharType="end"/>
      </w:r>
      <w:r w:rsidRPr="00765EBB">
        <w:t xml:space="preserve"> Patients were</w:t>
      </w:r>
      <w:r w:rsidR="0083214F" w:rsidRPr="00765EBB">
        <w:t xml:space="preserve"> asked</w:t>
      </w:r>
      <w:r w:rsidRPr="00765EBB">
        <w:t xml:space="preserve"> </w:t>
      </w:r>
      <w:r w:rsidR="00F46285" w:rsidRPr="00765EBB">
        <w:t>whether they were capable of carrying out any of the following activities</w:t>
      </w:r>
      <w:r w:rsidR="00825FF3" w:rsidRPr="00765EBB">
        <w:t>. A single activity from Group 2</w:t>
      </w:r>
      <w:r w:rsidR="00F46285" w:rsidRPr="00765EBB">
        <w:t xml:space="preserve"> was enough to consider that the functional reserve was normal. </w:t>
      </w:r>
    </w:p>
    <w:p w:rsidR="00F46285" w:rsidRPr="00765EBB" w:rsidRDefault="00825FF3" w:rsidP="004B0FA1">
      <w:pPr>
        <w:spacing w:line="480" w:lineRule="auto"/>
      </w:pPr>
      <w:r w:rsidRPr="00765EBB">
        <w:t>Group 1</w:t>
      </w:r>
    </w:p>
    <w:p w:rsidR="00F810D5" w:rsidRPr="00765EBB" w:rsidRDefault="00F46285" w:rsidP="004B0FA1">
      <w:pPr>
        <w:spacing w:line="480" w:lineRule="auto"/>
      </w:pPr>
      <w:r w:rsidRPr="00765EBB">
        <w:t>Any of the following activities requires up to 3 METS:</w:t>
      </w:r>
    </w:p>
    <w:p w:rsidR="00F46285" w:rsidRPr="00765EBB" w:rsidRDefault="00F46285" w:rsidP="004B0FA1">
      <w:pPr>
        <w:pStyle w:val="Prrafodelista"/>
        <w:numPr>
          <w:ilvl w:val="0"/>
          <w:numId w:val="1"/>
        </w:numPr>
        <w:spacing w:line="480" w:lineRule="auto"/>
      </w:pPr>
      <w:r w:rsidRPr="00765EBB">
        <w:t>Eating /drinking</w:t>
      </w:r>
    </w:p>
    <w:p w:rsidR="00F46285" w:rsidRPr="00765EBB" w:rsidRDefault="00F46285" w:rsidP="004B0FA1">
      <w:pPr>
        <w:pStyle w:val="Prrafodelista"/>
        <w:numPr>
          <w:ilvl w:val="0"/>
          <w:numId w:val="1"/>
        </w:numPr>
        <w:spacing w:line="480" w:lineRule="auto"/>
      </w:pPr>
      <w:r w:rsidRPr="00765EBB">
        <w:t>Geting dressed</w:t>
      </w:r>
    </w:p>
    <w:p w:rsidR="00F46285" w:rsidRPr="00765EBB" w:rsidRDefault="00F46285" w:rsidP="004B0FA1">
      <w:pPr>
        <w:pStyle w:val="Prrafodelista"/>
        <w:numPr>
          <w:ilvl w:val="0"/>
          <w:numId w:val="1"/>
        </w:numPr>
        <w:spacing w:line="480" w:lineRule="auto"/>
      </w:pPr>
      <w:r w:rsidRPr="00765EBB">
        <w:t>Going to the toilet on one´s own</w:t>
      </w:r>
    </w:p>
    <w:p w:rsidR="00F46285" w:rsidRPr="00765EBB" w:rsidRDefault="00F46285" w:rsidP="004B0FA1">
      <w:pPr>
        <w:pStyle w:val="Prrafodelista"/>
        <w:numPr>
          <w:ilvl w:val="0"/>
          <w:numId w:val="1"/>
        </w:numPr>
        <w:spacing w:line="480" w:lineRule="auto"/>
      </w:pPr>
      <w:r w:rsidRPr="00765EBB">
        <w:t>Walking wihtin the house</w:t>
      </w:r>
    </w:p>
    <w:p w:rsidR="00F46285" w:rsidRPr="00765EBB" w:rsidRDefault="00F46285" w:rsidP="004B0FA1">
      <w:pPr>
        <w:pStyle w:val="Prrafodelista"/>
        <w:numPr>
          <w:ilvl w:val="0"/>
          <w:numId w:val="1"/>
        </w:numPr>
        <w:spacing w:line="480" w:lineRule="auto"/>
      </w:pPr>
      <w:r w:rsidRPr="00765EBB">
        <w:t>Walking 100 meters on a flat surface</w:t>
      </w:r>
    </w:p>
    <w:p w:rsidR="00F46285" w:rsidRPr="00765EBB" w:rsidRDefault="00825FF3" w:rsidP="004B0FA1">
      <w:pPr>
        <w:spacing w:line="480" w:lineRule="auto"/>
      </w:pPr>
      <w:r w:rsidRPr="00765EBB">
        <w:t>Group 2</w:t>
      </w:r>
      <w:r w:rsidR="00F46285" w:rsidRPr="00765EBB">
        <w:t xml:space="preserve">: </w:t>
      </w:r>
    </w:p>
    <w:p w:rsidR="00F46285" w:rsidRPr="00765EBB" w:rsidRDefault="00F46285" w:rsidP="004B0FA1">
      <w:pPr>
        <w:spacing w:line="480" w:lineRule="auto"/>
      </w:pPr>
      <w:r w:rsidRPr="00765EBB">
        <w:t>Any of the following activities requires more than 3 METS:</w:t>
      </w:r>
    </w:p>
    <w:p w:rsidR="00F46285" w:rsidRPr="00765EBB" w:rsidRDefault="00F46285" w:rsidP="004B0FA1">
      <w:pPr>
        <w:pStyle w:val="Prrafodelista"/>
        <w:numPr>
          <w:ilvl w:val="0"/>
          <w:numId w:val="2"/>
        </w:numPr>
        <w:spacing w:line="480" w:lineRule="auto"/>
      </w:pPr>
      <w:r w:rsidRPr="00765EBB">
        <w:t>Climbing up a flight of stairs</w:t>
      </w:r>
    </w:p>
    <w:p w:rsidR="00F46285" w:rsidRPr="00765EBB" w:rsidRDefault="00F46285" w:rsidP="004B0FA1">
      <w:pPr>
        <w:pStyle w:val="Prrafodelista"/>
        <w:numPr>
          <w:ilvl w:val="0"/>
          <w:numId w:val="2"/>
        </w:numPr>
        <w:spacing w:line="480" w:lineRule="auto"/>
      </w:pPr>
      <w:r w:rsidRPr="00765EBB">
        <w:t>Walking 100 meters up a slope</w:t>
      </w:r>
    </w:p>
    <w:p w:rsidR="00F46285" w:rsidRPr="00765EBB" w:rsidRDefault="00F46285" w:rsidP="004B0FA1">
      <w:pPr>
        <w:pStyle w:val="Prrafodelista"/>
        <w:numPr>
          <w:ilvl w:val="0"/>
          <w:numId w:val="2"/>
        </w:numPr>
        <w:spacing w:line="480" w:lineRule="auto"/>
      </w:pPr>
      <w:r w:rsidRPr="00765EBB">
        <w:t>Mop</w:t>
      </w:r>
      <w:r w:rsidR="00536EDB" w:rsidRPr="00765EBB">
        <w:t>p</w:t>
      </w:r>
      <w:r w:rsidRPr="00765EBB">
        <w:t>ing the floor, general cleaning</w:t>
      </w:r>
    </w:p>
    <w:p w:rsidR="00F46285" w:rsidRPr="00765EBB" w:rsidRDefault="00F46285" w:rsidP="004B0FA1">
      <w:pPr>
        <w:pStyle w:val="Prrafodelista"/>
        <w:numPr>
          <w:ilvl w:val="0"/>
          <w:numId w:val="2"/>
        </w:numPr>
        <w:spacing w:line="480" w:lineRule="auto"/>
      </w:pPr>
      <w:r w:rsidRPr="00765EBB">
        <w:t>Lifting items repeatedly (4.5-9kg)</w:t>
      </w:r>
    </w:p>
    <w:p w:rsidR="00F46285" w:rsidRPr="00765EBB" w:rsidRDefault="00F46285" w:rsidP="004B0FA1">
      <w:pPr>
        <w:pStyle w:val="Prrafodelista"/>
        <w:numPr>
          <w:ilvl w:val="0"/>
          <w:numId w:val="2"/>
        </w:numPr>
        <w:spacing w:line="480" w:lineRule="auto"/>
      </w:pPr>
      <w:r w:rsidRPr="00765EBB">
        <w:t>Playing with animals, bathing pets</w:t>
      </w:r>
    </w:p>
    <w:p w:rsidR="00F316DA" w:rsidRPr="00765EBB" w:rsidRDefault="00F46285" w:rsidP="00F316DA">
      <w:pPr>
        <w:pStyle w:val="Prrafodelista"/>
        <w:numPr>
          <w:ilvl w:val="0"/>
          <w:numId w:val="2"/>
        </w:numPr>
        <w:spacing w:line="480" w:lineRule="auto"/>
      </w:pPr>
      <w:r w:rsidRPr="00765EBB">
        <w:t>Tailoring, weaving</w:t>
      </w:r>
    </w:p>
    <w:p w:rsidR="001724A9" w:rsidRPr="00765EBB" w:rsidRDefault="001724A9" w:rsidP="004B0FA1">
      <w:pPr>
        <w:spacing w:line="480" w:lineRule="auto"/>
      </w:pPr>
      <w:r w:rsidRPr="00765EBB">
        <w:br w:type="page"/>
      </w:r>
    </w:p>
    <w:p w:rsidR="00F316DA" w:rsidRPr="00765EBB" w:rsidRDefault="00F316DA" w:rsidP="004B0FA1">
      <w:pPr>
        <w:widowControl w:val="0"/>
        <w:autoSpaceDE w:val="0"/>
        <w:autoSpaceDN w:val="0"/>
        <w:adjustRightInd w:val="0"/>
        <w:spacing w:line="480" w:lineRule="auto"/>
        <w:rPr>
          <w:b/>
          <w:noProof w:val="0"/>
          <w:lang w:val="en-US" w:eastAsia="ja-JP"/>
        </w:rPr>
      </w:pPr>
      <w:r w:rsidRPr="00765EBB">
        <w:rPr>
          <w:b/>
          <w:noProof w:val="0"/>
          <w:lang w:val="en-US" w:eastAsia="ja-JP"/>
        </w:rPr>
        <w:lastRenderedPageBreak/>
        <w:t xml:space="preserve">Appendix C: </w:t>
      </w:r>
    </w:p>
    <w:p w:rsidR="009D08AC" w:rsidRPr="00765EBB" w:rsidRDefault="00F316DA" w:rsidP="004B0FA1">
      <w:pPr>
        <w:widowControl w:val="0"/>
        <w:autoSpaceDE w:val="0"/>
        <w:autoSpaceDN w:val="0"/>
        <w:adjustRightInd w:val="0"/>
        <w:spacing w:line="480" w:lineRule="auto"/>
      </w:pPr>
      <w:r w:rsidRPr="00765EBB">
        <w:t>A postoperative complication was considered to be clinically relevant if it required specific treatment, further work-up, longer stay in a critic</w:t>
      </w:r>
      <w:r w:rsidR="00536EDB" w:rsidRPr="00765EBB">
        <w:t>al care</w:t>
      </w:r>
      <w:r w:rsidRPr="00765EBB">
        <w:t xml:space="preserve"> unit or </w:t>
      </w:r>
      <w:r w:rsidR="009D08AC" w:rsidRPr="00765EBB">
        <w:t>transfer to a higher acuity ward.</w:t>
      </w:r>
      <w:r w:rsidR="00A12FA7" w:rsidRPr="00765EBB">
        <w:fldChar w:fldCharType="begin"/>
      </w:r>
      <w:r w:rsidR="006376C6" w:rsidRPr="00765EBB">
        <w:instrText xml:space="preserve"> ADDIN EN.CITE &lt;EndNote&gt;&lt;Cite&gt;&lt;Author&gt;Liu&lt;/Author&gt;&lt;Year&gt;2000&lt;/Year&gt;&lt;RecNum&gt;172&lt;/RecNum&gt;&lt;DisplayText&gt;(4)&lt;/DisplayText&gt;&lt;record&gt;&lt;rec-number&gt;172&lt;/rec-number&gt;&lt;foreign-keys&gt;&lt;key app="EN" db-id="r0xd5ttx3dz5voedtsop0azv9ssv5ppfazdw" timestamp="1473798759"&gt;172&lt;/key&gt;&lt;/foreign-keys&gt;&lt;ref-type name="Journal Article"&gt;17&lt;/ref-type&gt;&lt;contributors&gt;&lt;authors&gt;&lt;author&gt;Liu, L. L.&lt;/author&gt;&lt;author&gt;Leung, J. M.&lt;/author&gt;&lt;/authors&gt;&lt;/contributors&gt;&lt;auth-address&gt;Department of Anesthesia, University of California, San Francisco, USA.&lt;/auth-address&gt;&lt;titles&gt;&lt;title&gt;Predicting adverse postoperative outcomes in patients aged 80 years or older&lt;/title&gt;&lt;secondary-title&gt;J Am Geriatr Soc&lt;/secondary-title&gt;&lt;/titles&gt;&lt;periodical&gt;&lt;full-title&gt;J Am Geriatr Soc&lt;/full-title&gt;&lt;/periodical&gt;&lt;pages&gt;405-12&lt;/pages&gt;&lt;volume&gt;48&lt;/volume&gt;&lt;number&gt;4&lt;/number&gt;&lt;keywords&gt;&lt;keyword&gt;Aged&lt;/keyword&gt;&lt;keyword&gt;Aged, 80 and over&lt;/keyword&gt;&lt;keyword&gt;Female&lt;/keyword&gt;&lt;keyword&gt;*Geriatric Assessment&lt;/keyword&gt;&lt;keyword&gt;*Hospital Mortality&lt;/keyword&gt;&lt;keyword&gt;Humans&lt;/keyword&gt;&lt;keyword&gt;Incidence&lt;/keyword&gt;&lt;keyword&gt;*Intraoperative Complications&lt;/keyword&gt;&lt;keyword&gt;Length of Stay&lt;/keyword&gt;&lt;keyword&gt;Male&lt;/keyword&gt;&lt;keyword&gt;Multivariate Analysis&lt;/keyword&gt;&lt;keyword&gt;*Postoperative Complications&lt;/keyword&gt;&lt;keyword&gt;Predictive Value of Tests&lt;/keyword&gt;&lt;keyword&gt;Reoperation&lt;/keyword&gt;&lt;keyword&gt;Retrospective Studies&lt;/keyword&gt;&lt;keyword&gt;Risk Factors&lt;/keyword&gt;&lt;keyword&gt;San Francisco/epidemiology&lt;/keyword&gt;&lt;keyword&gt;Sex Factors&lt;/keyword&gt;&lt;keyword&gt;Surgical Procedures, Operative&lt;/keyword&gt;&lt;/keywords&gt;&lt;dates&gt;&lt;year&gt;2000&lt;/year&gt;&lt;pub-dates&gt;&lt;date&gt;Apr&lt;/date&gt;&lt;/pub-dates&gt;&lt;/dates&gt;&lt;isbn&gt;0002-8614 (Print)&amp;#xD;0002-8614 (Linking)&lt;/isbn&gt;&lt;accession-num&gt;10798467&lt;/accession-num&gt;&lt;urls&gt;&lt;related-urls&gt;&lt;url&gt;https://www.ncbi.nlm.nih.gov/pubmed/10798467&lt;/url&gt;&lt;/related-urls&gt;&lt;/urls&gt;&lt;/record&gt;&lt;/Cite&gt;&lt;/EndNote&gt;</w:instrText>
      </w:r>
      <w:r w:rsidR="00A12FA7" w:rsidRPr="00765EBB">
        <w:fldChar w:fldCharType="separate"/>
      </w:r>
      <w:r w:rsidR="006376C6" w:rsidRPr="00765EBB">
        <w:t>(4)</w:t>
      </w:r>
      <w:r w:rsidR="00A12FA7" w:rsidRPr="00765EBB">
        <w:fldChar w:fldCharType="end"/>
      </w:r>
      <w:r w:rsidR="009D08AC" w:rsidRPr="00765EBB">
        <w:t xml:space="preserve"> </w:t>
      </w:r>
    </w:p>
    <w:p w:rsidR="009D08AC" w:rsidRPr="00765EBB" w:rsidRDefault="009D08AC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>Cardiovascular complications: diagnosis of myocardial infaction (chest pain, electrocardiogram, enzymes), clinical symptoms of CHF (</w:t>
      </w:r>
      <w:r w:rsidR="0009793A" w:rsidRPr="00765EBB">
        <w:t>dyspnea, reduced O</w:t>
      </w:r>
      <w:r w:rsidR="0009793A" w:rsidRPr="00765EBB">
        <w:rPr>
          <w:vertAlign w:val="subscript"/>
        </w:rPr>
        <w:t>2</w:t>
      </w:r>
      <w:r w:rsidR="0009793A" w:rsidRPr="00765EBB">
        <w:t xml:space="preserve"> saturation, rales</w:t>
      </w:r>
      <w:r w:rsidR="00F10001" w:rsidRPr="00765EBB">
        <w:t xml:space="preserve"> or crakles</w:t>
      </w:r>
      <w:r w:rsidR="0009793A" w:rsidRPr="00765EBB">
        <w:t>, S</w:t>
      </w:r>
      <w:r w:rsidR="0009793A" w:rsidRPr="00765EBB">
        <w:rPr>
          <w:vertAlign w:val="subscript"/>
        </w:rPr>
        <w:t>3</w:t>
      </w:r>
      <w:r w:rsidR="0009793A" w:rsidRPr="00765EBB">
        <w:t xml:space="preserve">, characteristic X-ray), </w:t>
      </w:r>
      <w:r w:rsidR="00F10001" w:rsidRPr="00765EBB">
        <w:t xml:space="preserve">new </w:t>
      </w:r>
      <w:r w:rsidRPr="00765EBB">
        <w:t>monitored arrhythmia</w:t>
      </w:r>
      <w:r w:rsidR="00966E0B" w:rsidRPr="00765EBB">
        <w:t xml:space="preserve"> (atrial or ventricular)</w:t>
      </w:r>
      <w:r w:rsidR="007C59C6" w:rsidRPr="00765EBB">
        <w:t>.</w:t>
      </w:r>
      <w:r w:rsidR="00A12FA7" w:rsidRPr="00765EBB">
        <w:fldChar w:fldCharType="begin"/>
      </w:r>
      <w:r w:rsidR="006376C6" w:rsidRPr="00765EBB">
        <w:instrText xml:space="preserve"> ADDIN EN.CITE &lt;EndNote&gt;&lt;Cite&gt;&lt;Author&gt;Liu&lt;/Author&gt;&lt;Year&gt;2000&lt;/Year&gt;&lt;RecNum&gt;172&lt;/RecNum&gt;&lt;DisplayText&gt;(4)&lt;/DisplayText&gt;&lt;record&gt;&lt;rec-number&gt;172&lt;/rec-number&gt;&lt;foreign-keys&gt;&lt;key app="EN" db-id="r0xd5ttx3dz5voedtsop0azv9ssv5ppfazdw" timestamp="1473798759"&gt;172&lt;/key&gt;&lt;/foreign-keys&gt;&lt;ref-type name="Journal Article"&gt;17&lt;/ref-type&gt;&lt;contributors&gt;&lt;authors&gt;&lt;author&gt;Liu, L. L.&lt;/author&gt;&lt;author&gt;Leung, J. M.&lt;/author&gt;&lt;/authors&gt;&lt;/contributors&gt;&lt;auth-address&gt;Department of Anesthesia, University of California, San Francisco, USA.&lt;/auth-address&gt;&lt;titles&gt;&lt;title&gt;Predicting adverse postoperative outcomes in patients aged 80 years or older&lt;/title&gt;&lt;secondary-title&gt;J Am Geriatr Soc&lt;/secondary-title&gt;&lt;/titles&gt;&lt;periodical&gt;&lt;full-title&gt;J Am Geriatr Soc&lt;/full-title&gt;&lt;/periodical&gt;&lt;pages&gt;405-12&lt;/pages&gt;&lt;volume&gt;48&lt;/volume&gt;&lt;number&gt;4&lt;/number&gt;&lt;keywords&gt;&lt;keyword&gt;Aged&lt;/keyword&gt;&lt;keyword&gt;Aged, 80 and over&lt;/keyword&gt;&lt;keyword&gt;Female&lt;/keyword&gt;&lt;keyword&gt;*Geriatric Assessment&lt;/keyword&gt;&lt;keyword&gt;*Hospital Mortality&lt;/keyword&gt;&lt;keyword&gt;Humans&lt;/keyword&gt;&lt;keyword&gt;Incidence&lt;/keyword&gt;&lt;keyword&gt;*Intraoperative Complications&lt;/keyword&gt;&lt;keyword&gt;Length of Stay&lt;/keyword&gt;&lt;keyword&gt;Male&lt;/keyword&gt;&lt;keyword&gt;Multivariate Analysis&lt;/keyword&gt;&lt;keyword&gt;*Postoperative Complications&lt;/keyword&gt;&lt;keyword&gt;Predictive Value of Tests&lt;/keyword&gt;&lt;keyword&gt;Reoperation&lt;/keyword&gt;&lt;keyword&gt;Retrospective Studies&lt;/keyword&gt;&lt;keyword&gt;Risk Factors&lt;/keyword&gt;&lt;keyword&gt;San Francisco/epidemiology&lt;/keyword&gt;&lt;keyword&gt;Sex Factors&lt;/keyword&gt;&lt;keyword&gt;Surgical Procedures, Operative&lt;/keyword&gt;&lt;/keywords&gt;&lt;dates&gt;&lt;year&gt;2000&lt;/year&gt;&lt;pub-dates&gt;&lt;date&gt;Apr&lt;/date&gt;&lt;/pub-dates&gt;&lt;/dates&gt;&lt;isbn&gt;0002-8614 (Print)&amp;#xD;0002-8614 (Linking)&lt;/isbn&gt;&lt;accession-num&gt;10798467&lt;/accession-num&gt;&lt;urls&gt;&lt;related-urls&gt;&lt;url&gt;https://www.ncbi.nlm.nih.gov/pubmed/10798467&lt;/url&gt;&lt;/related-urls&gt;&lt;/urls&gt;&lt;/record&gt;&lt;/Cite&gt;&lt;/EndNote&gt;</w:instrText>
      </w:r>
      <w:r w:rsidR="00A12FA7" w:rsidRPr="00765EBB">
        <w:fldChar w:fldCharType="separate"/>
      </w:r>
      <w:r w:rsidR="006376C6" w:rsidRPr="00765EBB">
        <w:t>(4)</w:t>
      </w:r>
      <w:r w:rsidR="00A12FA7" w:rsidRPr="00765EBB">
        <w:fldChar w:fldCharType="end"/>
      </w:r>
    </w:p>
    <w:p w:rsidR="0009793A" w:rsidRPr="00765EBB" w:rsidRDefault="0009793A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 xml:space="preserve">Respiratory complications: </w:t>
      </w:r>
      <w:r w:rsidR="007C59C6" w:rsidRPr="00765EBB">
        <w:t xml:space="preserve">clinical diagnosis of pneumonia (dyspnea, fever, rhonci, </w:t>
      </w:r>
      <w:r w:rsidR="00966E0B" w:rsidRPr="00765EBB">
        <w:t xml:space="preserve">new </w:t>
      </w:r>
      <w:r w:rsidR="007C59C6" w:rsidRPr="00765EBB">
        <w:t>X-ray infiltrates, cough, sputum, positive cultures)</w:t>
      </w:r>
      <w:r w:rsidRPr="00765EBB">
        <w:t xml:space="preserve">, </w:t>
      </w:r>
      <w:r w:rsidR="007C59C6" w:rsidRPr="00765EBB">
        <w:t>prolonged intubation or reintubation due to clinical respiratory failure</w:t>
      </w:r>
      <w:r w:rsidRPr="00765EBB">
        <w:t xml:space="preserve">, exacerbation of COPD, </w:t>
      </w:r>
      <w:r w:rsidR="007C59C6" w:rsidRPr="00765EBB">
        <w:t>adult respiratroy dystress syndrome (non-cardiac bilateral infiltrates in X-rays, paO</w:t>
      </w:r>
      <w:r w:rsidR="007C59C6" w:rsidRPr="00765EBB">
        <w:rPr>
          <w:vertAlign w:val="subscript"/>
        </w:rPr>
        <w:t>2</w:t>
      </w:r>
      <w:r w:rsidR="007C59C6" w:rsidRPr="00765EBB">
        <w:t>/FiO</w:t>
      </w:r>
      <w:r w:rsidR="007C59C6" w:rsidRPr="00765EBB">
        <w:rPr>
          <w:vertAlign w:val="subscript"/>
        </w:rPr>
        <w:t>2</w:t>
      </w:r>
      <w:r w:rsidR="007C59C6" w:rsidRPr="00765EBB">
        <w:t xml:space="preserve"> ≤ 200), pulmonary embolus</w:t>
      </w:r>
      <w:r w:rsidR="00D03488" w:rsidRPr="00765EBB">
        <w:t xml:space="preserve"> (diagnosis</w:t>
      </w:r>
      <w:r w:rsidR="00F10001" w:rsidRPr="00765EBB">
        <w:t xml:space="preserve"> required ventilation-perfusion scan or spiral CT scan)</w:t>
      </w:r>
      <w:r w:rsidR="00966E0B" w:rsidRPr="00765EBB">
        <w:t>.</w:t>
      </w:r>
      <w:r w:rsidR="008531BA" w:rsidRPr="00765EBB">
        <w:rPr>
          <w:noProof w:val="0"/>
          <w:lang w:val="en-US" w:eastAsia="ja-JP"/>
        </w:rPr>
        <w:t xml:space="preserve"> </w:t>
      </w:r>
    </w:p>
    <w:p w:rsidR="007C59C6" w:rsidRPr="00765EBB" w:rsidRDefault="007C59C6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 xml:space="preserve">Disorientation/delirium: </w:t>
      </w:r>
      <w:r w:rsidR="00F316DA" w:rsidRPr="00765EBB">
        <w:t xml:space="preserve">as defined by Dasgupta </w:t>
      </w:r>
      <w:r w:rsidRPr="00765EBB">
        <w:t>et al.</w:t>
      </w:r>
      <w:r w:rsidR="00A12FA7" w:rsidRPr="00765EBB">
        <w:fldChar w:fldCharType="begin">
          <w:fldData xml:space="preserve">PEVuZE5vdGU+PENpdGU+PEF1dGhvcj5EYXNndXB0YTwvQXV0aG9yPjxZZWFyPjIwMDk8L1llYXI+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=
</w:fldData>
        </w:fldChar>
      </w:r>
      <w:r w:rsidR="006376C6" w:rsidRPr="00765EBB">
        <w:instrText xml:space="preserve"> ADDIN EN.CITE </w:instrText>
      </w:r>
      <w:r w:rsidR="00A12FA7" w:rsidRPr="00765EBB">
        <w:fldChar w:fldCharType="begin">
          <w:fldData xml:space="preserve">PEVuZE5vdGU+PENpdGU+PEF1dGhvcj5EYXNndXB0YTwvQXV0aG9yPjxZZWFyPjIwMDk8L1llYXI+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=
</w:fldData>
        </w:fldChar>
      </w:r>
      <w:r w:rsidR="006376C6" w:rsidRPr="00765EBB">
        <w:instrText xml:space="preserve"> ADDIN EN.CITE.DATA </w:instrText>
      </w:r>
      <w:r w:rsidR="00A12FA7" w:rsidRPr="00765EBB">
        <w:fldChar w:fldCharType="end"/>
      </w:r>
      <w:r w:rsidR="00A12FA7" w:rsidRPr="00765EBB">
        <w:fldChar w:fldCharType="separate"/>
      </w:r>
      <w:r w:rsidR="006376C6" w:rsidRPr="00765EBB">
        <w:t>(5)</w:t>
      </w:r>
      <w:r w:rsidR="00A12FA7" w:rsidRPr="00765EBB">
        <w:fldChar w:fldCharType="end"/>
      </w:r>
      <w:r w:rsidR="00F316DA" w:rsidRPr="00765EBB">
        <w:t xml:space="preserve"> </w:t>
      </w:r>
    </w:p>
    <w:p w:rsidR="007C59C6" w:rsidRPr="00765EBB" w:rsidRDefault="007C59C6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>C</w:t>
      </w:r>
      <w:r w:rsidR="00F316DA" w:rsidRPr="00765EBB">
        <w:t>erebrovascular accident</w:t>
      </w:r>
      <w:r w:rsidRPr="00765EBB">
        <w:t xml:space="preserve">: neurologic deficit on physical examination, </w:t>
      </w:r>
      <w:r w:rsidR="00F10001" w:rsidRPr="00765EBB">
        <w:t xml:space="preserve">or </w:t>
      </w:r>
      <w:r w:rsidR="009E4679" w:rsidRPr="00765EBB">
        <w:t xml:space="preserve">evidence on </w:t>
      </w:r>
      <w:r w:rsidRPr="00765EBB">
        <w:t>CT scan.</w:t>
      </w:r>
      <w:r w:rsidR="00F316DA" w:rsidRPr="00765EBB">
        <w:t xml:space="preserve"> </w:t>
      </w:r>
    </w:p>
    <w:p w:rsidR="009E4679" w:rsidRPr="00765EBB" w:rsidRDefault="00DD0D68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>Hydro-</w:t>
      </w:r>
      <w:r w:rsidR="009E4679" w:rsidRPr="00765EBB">
        <w:t>electrolyte imbalance: abnormalities in the levels of sodium</w:t>
      </w:r>
      <w:r w:rsidRPr="00765EBB">
        <w:t>, potassium or calcium with clinical symptoms</w:t>
      </w:r>
      <w:r w:rsidR="009E4679" w:rsidRPr="00765EBB">
        <w:t xml:space="preserve">, or which required treatment for more than 24 hours (hypokalemia corrected with a 30mEq-bolus of ClK did not qualify as a hydro-electrolyte complication). </w:t>
      </w:r>
    </w:p>
    <w:p w:rsidR="009E4679" w:rsidRPr="00765EBB" w:rsidRDefault="009E4679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 xml:space="preserve"> Infection: </w:t>
      </w:r>
      <w:r w:rsidR="00F316DA" w:rsidRPr="00765EBB">
        <w:t>wound or any other</w:t>
      </w:r>
      <w:r w:rsidR="00DD0D68" w:rsidRPr="00765EBB">
        <w:t xml:space="preserve"> as long as they required surgical or antibiotic treatment.</w:t>
      </w:r>
    </w:p>
    <w:p w:rsidR="009E4679" w:rsidRPr="00765EBB" w:rsidRDefault="00536EDB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>H</w:t>
      </w:r>
      <w:r w:rsidR="009E4679" w:rsidRPr="00765EBB">
        <w:t>emorrhage</w:t>
      </w:r>
      <w:r w:rsidR="00EF71B9" w:rsidRPr="00765EBB">
        <w:t xml:space="preserve"> (during the postoperative period, bleeding in theatre was not considered)</w:t>
      </w:r>
    </w:p>
    <w:p w:rsidR="00F10001" w:rsidRPr="00765EBB" w:rsidRDefault="009E4679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lastRenderedPageBreak/>
        <w:t>A</w:t>
      </w:r>
      <w:r w:rsidR="00F316DA" w:rsidRPr="00765EBB">
        <w:t>bdominal complications</w:t>
      </w:r>
      <w:r w:rsidRPr="00765EBB">
        <w:t xml:space="preserve">: </w:t>
      </w:r>
      <w:r w:rsidR="00F316DA" w:rsidRPr="00765EBB">
        <w:t>anastomotic leaks, persistent i</w:t>
      </w:r>
      <w:r w:rsidR="00F10001" w:rsidRPr="00765EBB">
        <w:t>leus, evisceration, peritonitis</w:t>
      </w:r>
      <w:r w:rsidR="00F316DA" w:rsidRPr="00765EBB">
        <w:t xml:space="preserve">, </w:t>
      </w:r>
      <w:r w:rsidR="00F10001" w:rsidRPr="00765EBB">
        <w:t>most diagnosis were clinical, although in some cases a CTscan was needed</w:t>
      </w:r>
      <w:r w:rsidR="00DD0D68" w:rsidRPr="00765EBB">
        <w:t>.</w:t>
      </w:r>
    </w:p>
    <w:p w:rsidR="00F10001" w:rsidRPr="00765EBB" w:rsidRDefault="00F10001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>A</w:t>
      </w:r>
      <w:r w:rsidR="00F316DA" w:rsidRPr="00765EBB">
        <w:t>cute kidney injury</w:t>
      </w:r>
      <w:r w:rsidRPr="00765EBB">
        <w:t>, as defined by the Acute Kidney Injury Network (2007)</w:t>
      </w:r>
      <w:r w:rsidR="00A12FA7" w:rsidRPr="00765EBB">
        <w:fldChar w:fldCharType="begin"/>
      </w:r>
      <w:r w:rsidR="006376C6" w:rsidRPr="00765EBB">
        <w:instrText xml:space="preserve"> ADDIN EN.CITE &lt;EndNote&gt;&lt;Cite&gt;&lt;Author&gt;Mehta&lt;/Author&gt;&lt;Year&gt;2007&lt;/Year&gt;&lt;RecNum&gt;164&lt;/RecNum&gt;&lt;DisplayText&gt;(6)&lt;/DisplayText&gt;&lt;record&gt;&lt;rec-number&gt;164&lt;/rec-number&gt;&lt;foreign-keys&gt;&lt;key app="EN" db-id="r0xd5ttx3dz5voedtsop0azv9ssv5ppfazdw" timestamp="1473779096"&gt;164&lt;/key&gt;&lt;/foreign-keys&gt;&lt;ref-type name="Journal Article"&gt;17&lt;/ref-type&gt;&lt;contributors&gt;&lt;authors&gt;&lt;author&gt;Mehta, R. L.&lt;/author&gt;&lt;author&gt;Kellum, J. A.&lt;/author&gt;&lt;author&gt;Shah, S. V.&lt;/author&gt;&lt;author&gt;Molitoris, B. A.&lt;/author&gt;&lt;author&gt;Ronco, C.&lt;/author&gt;&lt;author&gt;Warnock, D. G.&lt;/author&gt;&lt;author&gt;Levin, A.&lt;/author&gt;&lt;author&gt;Acute Kidney Injury, Network&lt;/author&gt;&lt;/authors&gt;&lt;/contributors&gt;&lt;auth-address&gt;Department of Medicine, University of California San Diego Medical Center 8342, 200 W, Arbor Drive, San Diego, CA 92103, USA. rmehta@ucsd.edu&lt;/auth-address&gt;&lt;titles&gt;&lt;title&gt;Acute Kidney Injury Network: report of an initiative to improve outcomes in acute kidney injury&lt;/title&gt;&lt;secondary-title&gt;Crit Care&lt;/secondary-title&gt;&lt;/titles&gt;&lt;periodical&gt;&lt;full-title&gt;Crit Care&lt;/full-title&gt;&lt;/periodical&gt;&lt;pages&gt;R31&lt;/pages&gt;&lt;volume&gt;11&lt;/volume&gt;&lt;number&gt;2&lt;/number&gt;&lt;keywords&gt;&lt;keyword&gt;Acute Kidney Injury/classification/*diagnosis/*therapy&lt;/keyword&gt;&lt;keyword&gt;Adult&lt;/keyword&gt;&lt;keyword&gt;Child&lt;/keyword&gt;&lt;keyword&gt;Critical Care/standards&lt;/keyword&gt;&lt;keyword&gt;False Positive Reactions&lt;/keyword&gt;&lt;keyword&gt;Humans&lt;/keyword&gt;&lt;keyword&gt;Nephrology/standards&lt;/keyword&gt;&lt;keyword&gt;*Practice Guidelines as Topic&lt;/keyword&gt;&lt;keyword&gt;Treatment Outcome&lt;/keyword&gt;&lt;/keywords&gt;&lt;dates&gt;&lt;year&gt;2007&lt;/year&gt;&lt;/dates&gt;&lt;isbn&gt;1466-609X (Electronic)&amp;#xD;1364-8535 (Linking)&lt;/isbn&gt;&lt;accession-num&gt;17331245&lt;/accession-num&gt;&lt;urls&gt;&lt;related-urls&gt;&lt;url&gt;https://www.ncbi.nlm.nih.gov/pubmed/17331245&lt;/url&gt;&lt;/related-urls&gt;&lt;/urls&gt;&lt;custom2&gt;PMC2206446&lt;/custom2&gt;&lt;electronic-resource-num&gt;10.1186/cc5713&lt;/electronic-resource-num&gt;&lt;/record&gt;&lt;/Cite&gt;&lt;/EndNote&gt;</w:instrText>
      </w:r>
      <w:r w:rsidR="00A12FA7" w:rsidRPr="00765EBB">
        <w:fldChar w:fldCharType="separate"/>
      </w:r>
      <w:r w:rsidR="006376C6" w:rsidRPr="00765EBB">
        <w:t>(6)</w:t>
      </w:r>
      <w:r w:rsidR="00A12FA7" w:rsidRPr="00765EBB">
        <w:fldChar w:fldCharType="end"/>
      </w:r>
      <w:r w:rsidRPr="00765EBB">
        <w:t xml:space="preserve"> </w:t>
      </w:r>
    </w:p>
    <w:p w:rsidR="00F10001" w:rsidRPr="00765EBB" w:rsidRDefault="00F10001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 xml:space="preserve">Urinary tract infection </w:t>
      </w:r>
    </w:p>
    <w:p w:rsidR="00F316DA" w:rsidRPr="00765EBB" w:rsidRDefault="00F10001" w:rsidP="009D08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  <w:r w:rsidRPr="00765EBB">
        <w:t>S</w:t>
      </w:r>
      <w:r w:rsidR="00F316DA" w:rsidRPr="00765EBB">
        <w:t>epsis.</w:t>
      </w:r>
      <w:r w:rsidR="00A12FA7" w:rsidRPr="00765EBB">
        <w:fldChar w:fldCharType="begin"/>
      </w:r>
      <w:r w:rsidR="006376C6" w:rsidRPr="00765EBB">
        <w:instrText xml:space="preserve"> ADDIN EN.CITE &lt;EndNote&gt;&lt;Cite&gt;&lt;Author&gt;Levy&lt;/Author&gt;&lt;Year&gt;2003&lt;/Year&gt;&lt;RecNum&gt;168&lt;/RecNum&gt;&lt;DisplayText&gt;(7)&lt;/DisplayText&gt;&lt;record&gt;&lt;rec-number&gt;168&lt;/rec-number&gt;&lt;foreign-keys&gt;&lt;key app="EN" db-id="r0xd5ttx3dz5voedtsop0azv9ssv5ppfazdw" timestamp="1473779740"&gt;168&lt;/key&gt;&lt;/foreign-keys&gt;&lt;ref-type name="Journal Article"&gt;17&lt;/ref-type&gt;&lt;contributors&gt;&lt;authors&gt;&lt;author&gt;Levy, M. M.&lt;/author&gt;&lt;author&gt;Fink, M. P.&lt;/author&gt;&lt;author&gt;Marshall, J. C.&lt;/author&gt;&lt;author&gt;Abraham, E.&lt;/author&gt;&lt;author&gt;Angus, D.&lt;/author&gt;&lt;author&gt;Cook, D.&lt;/author&gt;&lt;author&gt;Cohen, J.&lt;/author&gt;&lt;author&gt;Opal, S. M.&lt;/author&gt;&lt;author&gt;Vincent, J. L.&lt;/author&gt;&lt;author&gt;Ramsay, G.&lt;/author&gt;&lt;author&gt;International Sepsis Definitions, Conference&lt;/author&gt;&lt;/authors&gt;&lt;/contributors&gt;&lt;auth-address&gt;Rhode Island Hospital, 593 Eddy Street, MICU Main 7, Providence RI 02903, USA. Mitchell_Levy@brown.edu&lt;/auth-address&gt;&lt;titles&gt;&lt;title&gt;2001 SCCM/ESICM/ACCP/ATS/SIS International Sepsis Definitions Conference&lt;/title&gt;&lt;secondary-title&gt;Intensive Care Med&lt;/secondary-title&gt;&lt;/titles&gt;&lt;periodical&gt;&lt;full-title&gt;Intensive Care Med&lt;/full-title&gt;&lt;/periodical&gt;&lt;pages&gt;530-8&lt;/pages&gt;&lt;volume&gt;29&lt;/volume&gt;&lt;number&gt;4&lt;/number&gt;&lt;keywords&gt;&lt;keyword&gt;Humans&lt;/keyword&gt;&lt;keyword&gt;Multiple Organ Failure/complications/diagnosis&lt;/keyword&gt;&lt;keyword&gt;Sepsis/complications/*diagnosis&lt;/keyword&gt;&lt;keyword&gt;Shock, Septic/diagnosis&lt;/keyword&gt;&lt;keyword&gt;Systemic Inflammatory Response Syndrome/*diagnosis&lt;/keyword&gt;&lt;keyword&gt;*Terminology as Topic&lt;/keyword&gt;&lt;/keywords&gt;&lt;dates&gt;&lt;year&gt;2003&lt;/year&gt;&lt;pub-dates&gt;&lt;date&gt;Apr&lt;/date&gt;&lt;/pub-dates&gt;&lt;/dates&gt;&lt;isbn&gt;0342-4642 (Print)&amp;#xD;0342-4642 (Linking)&lt;/isbn&gt;&lt;accession-num&gt;12664219&lt;/accession-num&gt;&lt;urls&gt;&lt;related-urls&gt;&lt;url&gt;https://www.ncbi.nlm.nih.gov/pubmed/12664219&lt;/url&gt;&lt;/related-urls&gt;&lt;/urls&gt;&lt;electronic-resource-num&gt;10.1007/s00134-003-1662-x&lt;/electronic-resource-num&gt;&lt;/record&gt;&lt;/Cite&gt;&lt;/EndNote&gt;</w:instrText>
      </w:r>
      <w:r w:rsidR="00A12FA7" w:rsidRPr="00765EBB">
        <w:fldChar w:fldCharType="separate"/>
      </w:r>
      <w:r w:rsidR="006376C6" w:rsidRPr="00765EBB">
        <w:t>(7)</w:t>
      </w:r>
      <w:r w:rsidR="00A12FA7" w:rsidRPr="00765EBB">
        <w:fldChar w:fldCharType="end"/>
      </w:r>
    </w:p>
    <w:p w:rsidR="00F316DA" w:rsidRPr="00765EBB" w:rsidRDefault="00F316DA" w:rsidP="004B0FA1">
      <w:pPr>
        <w:widowControl w:val="0"/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</w:p>
    <w:p w:rsidR="00F316DA" w:rsidRPr="00765EBB" w:rsidRDefault="00F316DA" w:rsidP="004B0FA1">
      <w:pPr>
        <w:widowControl w:val="0"/>
        <w:autoSpaceDE w:val="0"/>
        <w:autoSpaceDN w:val="0"/>
        <w:adjustRightInd w:val="0"/>
        <w:spacing w:line="480" w:lineRule="auto"/>
        <w:rPr>
          <w:noProof w:val="0"/>
          <w:lang w:val="en-US" w:eastAsia="ja-JP"/>
        </w:rPr>
      </w:pPr>
    </w:p>
    <w:p w:rsidR="001724A9" w:rsidRPr="00765EBB" w:rsidRDefault="00966558" w:rsidP="00FA6ECF">
      <w:pPr>
        <w:rPr>
          <w:noProof w:val="0"/>
          <w:lang w:val="en-US" w:eastAsia="ja-JP"/>
        </w:rPr>
      </w:pPr>
      <w:r w:rsidRPr="00765EBB">
        <w:rPr>
          <w:noProof w:val="0"/>
          <w:lang w:val="en-US" w:eastAsia="ja-JP"/>
        </w:rPr>
        <w:br w:type="page"/>
      </w:r>
    </w:p>
    <w:p w:rsidR="00F810D5" w:rsidRPr="00765EBB" w:rsidRDefault="00F810D5" w:rsidP="004B0FA1">
      <w:pPr>
        <w:spacing w:line="480" w:lineRule="auto"/>
      </w:pPr>
    </w:p>
    <w:p w:rsidR="00F810D5" w:rsidRPr="00765EBB" w:rsidRDefault="00F810D5" w:rsidP="00F810D5">
      <w:pPr>
        <w:pStyle w:val="EndNoteBibliography"/>
        <w:ind w:left="720" w:hanging="720"/>
        <w:rPr>
          <w:b/>
          <w:u w:val="single"/>
        </w:rPr>
      </w:pPr>
      <w:r w:rsidRPr="00765EBB">
        <w:rPr>
          <w:b/>
          <w:u w:val="single"/>
        </w:rPr>
        <w:t>Supplemental bibliography</w:t>
      </w:r>
    </w:p>
    <w:p w:rsidR="00FA6ECF" w:rsidRPr="00765EBB" w:rsidRDefault="00FA6ECF" w:rsidP="00F810D5">
      <w:pPr>
        <w:pStyle w:val="EndNoteBibliography"/>
        <w:ind w:left="720" w:hanging="720"/>
        <w:rPr>
          <w:b/>
          <w:u w:val="single"/>
        </w:rPr>
      </w:pPr>
    </w:p>
    <w:p w:rsidR="006376C6" w:rsidRPr="00765EBB" w:rsidRDefault="00A12FA7" w:rsidP="006376C6">
      <w:pPr>
        <w:pStyle w:val="EndNoteBibliography"/>
        <w:ind w:left="720" w:hanging="720"/>
        <w:rPr>
          <w:u w:val="single"/>
        </w:rPr>
      </w:pPr>
      <w:r w:rsidRPr="00765EBB">
        <w:rPr>
          <w:u w:val="single"/>
        </w:rPr>
        <w:fldChar w:fldCharType="begin"/>
      </w:r>
      <w:r w:rsidR="00F810D5" w:rsidRPr="00765EBB">
        <w:rPr>
          <w:u w:val="single"/>
        </w:rPr>
        <w:instrText xml:space="preserve"> ADDIN EN.REFLIST </w:instrText>
      </w:r>
      <w:r w:rsidRPr="00765EBB">
        <w:rPr>
          <w:u w:val="single"/>
        </w:rPr>
        <w:fldChar w:fldCharType="separate"/>
      </w:r>
      <w:r w:rsidR="006376C6" w:rsidRPr="00765EBB">
        <w:rPr>
          <w:u w:val="single"/>
        </w:rPr>
        <w:t>1.</w:t>
      </w:r>
      <w:r w:rsidR="006376C6" w:rsidRPr="00765EBB">
        <w:rPr>
          <w:u w:val="single"/>
        </w:rPr>
        <w:tab/>
        <w:t xml:space="preserve">Global Initiative for Chronic Obstructive Lung Disease (GOLD). Global strategy for the diagnosis mapocpd, 2011.  </w:t>
      </w:r>
      <w:hyperlink r:id="rId6" w:history="1">
        <w:r w:rsidR="006376C6" w:rsidRPr="00765EBB">
          <w:rPr>
            <w:rStyle w:val="Hipervnculo"/>
            <w:color w:val="auto"/>
            <w:lang w:val="en-GB"/>
          </w:rPr>
          <w:t>http:///Guidelines/guidelines-resourceshtml</w:t>
        </w:r>
      </w:hyperlink>
      <w:r w:rsidR="006376C6" w:rsidRPr="00765EBB">
        <w:rPr>
          <w:u w:val="single"/>
        </w:rPr>
        <w:t>, 2011.</w:t>
      </w:r>
    </w:p>
    <w:p w:rsidR="006376C6" w:rsidRPr="00765EBB" w:rsidRDefault="006376C6" w:rsidP="006376C6">
      <w:pPr>
        <w:pStyle w:val="EndNoteBibliography"/>
        <w:ind w:left="720" w:hanging="720"/>
        <w:rPr>
          <w:u w:val="single"/>
        </w:rPr>
      </w:pPr>
      <w:r w:rsidRPr="00765EBB">
        <w:rPr>
          <w:u w:val="single"/>
        </w:rPr>
        <w:t>2.</w:t>
      </w:r>
      <w:r w:rsidRPr="00765EBB">
        <w:rPr>
          <w:u w:val="single"/>
        </w:rPr>
        <w:tab/>
        <w:t>Steensma DP, Tefferi A. Anemia in the elderly: how should we define it, when does it matter, and what can be done? Mayo Clin Proc 2007;82:958-66.</w:t>
      </w:r>
    </w:p>
    <w:p w:rsidR="006376C6" w:rsidRPr="00765EBB" w:rsidRDefault="006376C6" w:rsidP="006376C6">
      <w:pPr>
        <w:pStyle w:val="EndNoteBibliography"/>
        <w:ind w:left="720" w:hanging="720"/>
        <w:rPr>
          <w:u w:val="single"/>
        </w:rPr>
      </w:pPr>
      <w:r w:rsidRPr="00765EBB">
        <w:rPr>
          <w:u w:val="single"/>
        </w:rPr>
        <w:t>3.</w:t>
      </w:r>
      <w:r w:rsidRPr="00765EBB">
        <w:rPr>
          <w:u w:val="single"/>
        </w:rPr>
        <w:tab/>
        <w:t>Ainsworth BE, Haskell WL, Herrmann SD, Meckes N, Bassett DR, Jr., Tudor-Locke C, Greer JL, Vezina J, Whitt-Glover MC, Leon AS. 2011 Compendium of Physical Activities: a second update of codes and MET values. Med Sci Sports Exerc 2011;43:1575-81.</w:t>
      </w:r>
    </w:p>
    <w:p w:rsidR="006376C6" w:rsidRPr="00765EBB" w:rsidRDefault="006376C6" w:rsidP="006376C6">
      <w:pPr>
        <w:pStyle w:val="EndNoteBibliography"/>
        <w:ind w:left="720" w:hanging="720"/>
        <w:rPr>
          <w:u w:val="single"/>
        </w:rPr>
      </w:pPr>
      <w:r w:rsidRPr="00765EBB">
        <w:rPr>
          <w:u w:val="single"/>
        </w:rPr>
        <w:t>4.</w:t>
      </w:r>
      <w:r w:rsidRPr="00765EBB">
        <w:rPr>
          <w:u w:val="single"/>
        </w:rPr>
        <w:tab/>
        <w:t>Liu LL, Leung JM. Predicting adverse postoperative outcomes in patients aged 80 years or older. J Am Geriatr Soc 2000;48:405-12.</w:t>
      </w:r>
    </w:p>
    <w:p w:rsidR="006376C6" w:rsidRPr="00765EBB" w:rsidRDefault="006376C6" w:rsidP="006376C6">
      <w:pPr>
        <w:pStyle w:val="EndNoteBibliography"/>
        <w:ind w:left="720" w:hanging="720"/>
        <w:rPr>
          <w:u w:val="single"/>
        </w:rPr>
      </w:pPr>
      <w:r w:rsidRPr="00765EBB">
        <w:rPr>
          <w:u w:val="single"/>
        </w:rPr>
        <w:t>5.</w:t>
      </w:r>
      <w:r w:rsidRPr="00765EBB">
        <w:rPr>
          <w:u w:val="single"/>
        </w:rPr>
        <w:tab/>
        <w:t>Dasgupta M, Rolfson DB, Stolee P, Borrie MJ, Speechley M. Frailty is associated with postoperative complications in older adults with medical problems. Arch Gerontol Geriatr 2009;48:78-83.</w:t>
      </w:r>
    </w:p>
    <w:p w:rsidR="006376C6" w:rsidRPr="00765EBB" w:rsidRDefault="006376C6" w:rsidP="006376C6">
      <w:pPr>
        <w:pStyle w:val="EndNoteBibliography"/>
        <w:ind w:left="720" w:hanging="720"/>
        <w:rPr>
          <w:u w:val="single"/>
        </w:rPr>
      </w:pPr>
      <w:r w:rsidRPr="00765EBB">
        <w:rPr>
          <w:u w:val="single"/>
        </w:rPr>
        <w:t>6.</w:t>
      </w:r>
      <w:r w:rsidRPr="00765EBB">
        <w:rPr>
          <w:u w:val="single"/>
        </w:rPr>
        <w:tab/>
        <w:t>Mehta RL, Kellum JA, Shah SV, Molitoris BA, Ronco C, Warnock DG, Levin A, Acute Kidney Injury N. Acute Kidney Injury Network: report of an initiative to improve outcomes in acute kidney injury. Crit Care 2007;11:R31.</w:t>
      </w:r>
    </w:p>
    <w:p w:rsidR="006376C6" w:rsidRPr="00765EBB" w:rsidRDefault="006376C6" w:rsidP="006376C6">
      <w:pPr>
        <w:pStyle w:val="EndNoteBibliography"/>
        <w:ind w:left="720" w:hanging="720"/>
        <w:rPr>
          <w:u w:val="single"/>
        </w:rPr>
      </w:pPr>
      <w:r w:rsidRPr="00765EBB">
        <w:rPr>
          <w:u w:val="single"/>
        </w:rPr>
        <w:t>7.</w:t>
      </w:r>
      <w:r w:rsidRPr="00765EBB">
        <w:rPr>
          <w:u w:val="single"/>
        </w:rPr>
        <w:tab/>
        <w:t>Levy MM, Fink MP, Marshall JC, Abraham E, Angus D, Cook D, Cohen J, Opal SM, Vincent JL, Ramsay G, International Sepsis Definitions C. 2001 SCCM/ESICM/ACCP/ATS/SIS International Sepsis Definitions Conference. Intensive Care Med 2003;29:530-8.</w:t>
      </w:r>
    </w:p>
    <w:p w:rsidR="00DD65B8" w:rsidRDefault="00A12FA7" w:rsidP="00B7678E">
      <w:pPr>
        <w:ind w:left="360"/>
      </w:pPr>
      <w:r w:rsidRPr="00765EBB">
        <w:rPr>
          <w:u w:val="single"/>
        </w:rPr>
        <w:fldChar w:fldCharType="end"/>
      </w:r>
    </w:p>
    <w:p w:rsidR="00F46285" w:rsidRDefault="00F46285" w:rsidP="003F3BFC"/>
    <w:sectPr w:rsidR="00F46285" w:rsidSect="00760C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F6D"/>
    <w:multiLevelType w:val="hybridMultilevel"/>
    <w:tmpl w:val="02D8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7A01"/>
    <w:multiLevelType w:val="hybridMultilevel"/>
    <w:tmpl w:val="9AE4C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9106E"/>
    <w:multiLevelType w:val="hybridMultilevel"/>
    <w:tmpl w:val="DB3E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74E84"/>
    <w:multiLevelType w:val="hybridMultilevel"/>
    <w:tmpl w:val="D37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a Analgesi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xd5ttx3dz5voedtsop0azv9ssv5ppfazdw&quot;&gt;4 edad biblio&lt;record-ids&gt;&lt;item&gt;47&lt;/item&gt;&lt;item&gt;164&lt;/item&gt;&lt;item&gt;168&lt;/item&gt;&lt;item&gt;172&lt;/item&gt;&lt;item&gt;179&lt;/item&gt;&lt;item&gt;184&lt;/item&gt;&lt;item&gt;185&lt;/item&gt;&lt;/record-ids&gt;&lt;/item&gt;&lt;/Libraries&gt;"/>
  </w:docVars>
  <w:rsids>
    <w:rsidRoot w:val="00F46285"/>
    <w:rsid w:val="00065C23"/>
    <w:rsid w:val="00083B65"/>
    <w:rsid w:val="0009793A"/>
    <w:rsid w:val="000B48F4"/>
    <w:rsid w:val="00117193"/>
    <w:rsid w:val="001724A9"/>
    <w:rsid w:val="001F0799"/>
    <w:rsid w:val="001F7EBB"/>
    <w:rsid w:val="00205571"/>
    <w:rsid w:val="002A0369"/>
    <w:rsid w:val="003177EC"/>
    <w:rsid w:val="00386EB9"/>
    <w:rsid w:val="003F3BFC"/>
    <w:rsid w:val="00420144"/>
    <w:rsid w:val="00454A5E"/>
    <w:rsid w:val="00460F1E"/>
    <w:rsid w:val="004B0FA1"/>
    <w:rsid w:val="00536EDB"/>
    <w:rsid w:val="0059536A"/>
    <w:rsid w:val="005B4FED"/>
    <w:rsid w:val="006376C6"/>
    <w:rsid w:val="006D1C45"/>
    <w:rsid w:val="00760CF4"/>
    <w:rsid w:val="00765EBB"/>
    <w:rsid w:val="007B5A8C"/>
    <w:rsid w:val="007C59C6"/>
    <w:rsid w:val="007C7077"/>
    <w:rsid w:val="007E2AB6"/>
    <w:rsid w:val="00825FF3"/>
    <w:rsid w:val="0083214F"/>
    <w:rsid w:val="008531BA"/>
    <w:rsid w:val="0086727D"/>
    <w:rsid w:val="0089200B"/>
    <w:rsid w:val="00966558"/>
    <w:rsid w:val="00966E0B"/>
    <w:rsid w:val="009A77D4"/>
    <w:rsid w:val="009D02F8"/>
    <w:rsid w:val="009D08AC"/>
    <w:rsid w:val="009D54C4"/>
    <w:rsid w:val="009E3900"/>
    <w:rsid w:val="009E4679"/>
    <w:rsid w:val="00A01D38"/>
    <w:rsid w:val="00A12FA7"/>
    <w:rsid w:val="00A50674"/>
    <w:rsid w:val="00B7678E"/>
    <w:rsid w:val="00BB5B62"/>
    <w:rsid w:val="00BE59EC"/>
    <w:rsid w:val="00C00435"/>
    <w:rsid w:val="00D03488"/>
    <w:rsid w:val="00D42A86"/>
    <w:rsid w:val="00D510DD"/>
    <w:rsid w:val="00DD08D8"/>
    <w:rsid w:val="00DD0D68"/>
    <w:rsid w:val="00DD65B8"/>
    <w:rsid w:val="00EF1C63"/>
    <w:rsid w:val="00EF71B9"/>
    <w:rsid w:val="00F10001"/>
    <w:rsid w:val="00F316DA"/>
    <w:rsid w:val="00F46285"/>
    <w:rsid w:val="00F810D5"/>
    <w:rsid w:val="00F94F06"/>
    <w:rsid w:val="00FA6ECF"/>
    <w:rsid w:val="00FB3271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A7"/>
    <w:rPr>
      <w:noProof/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285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F810D5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810D5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4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4A9"/>
    <w:rPr>
      <w:rFonts w:ascii="Lucida Grande" w:hAnsi="Lucida Grande" w:cs="Lucida Grande"/>
      <w:noProof/>
      <w:sz w:val="18"/>
      <w:szCs w:val="18"/>
      <w:lang w:val="en-GB" w:eastAsia="en-US"/>
    </w:rPr>
  </w:style>
  <w:style w:type="table" w:styleId="Tablaconcuadrcula">
    <w:name w:val="Table Grid"/>
    <w:basedOn w:val="Tablanormal"/>
    <w:uiPriority w:val="59"/>
    <w:rsid w:val="003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D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85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F810D5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810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A9"/>
    <w:rPr>
      <w:rFonts w:ascii="Lucida Grande" w:hAnsi="Lucida Grande" w:cs="Lucida Grande"/>
      <w:noProof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3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/Guidelines/guidelines-resource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950FB-15D6-4B71-9F43-C45866E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2632</Words>
  <Characters>14477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adpelavs</cp:lastModifiedBy>
  <cp:revision>2</cp:revision>
  <dcterms:created xsi:type="dcterms:W3CDTF">2017-06-20T14:15:00Z</dcterms:created>
  <dcterms:modified xsi:type="dcterms:W3CDTF">2017-06-20T14:15:00Z</dcterms:modified>
</cp:coreProperties>
</file>