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/>
      </w:pPr>
      <w:r>
        <w:rPr>
          <w:rFonts w:cs="Arial" w:ascii="Arial" w:hAnsi="Arial"/>
          <w:b/>
          <w:color w:val="000000"/>
          <w:lang w:val="en-US"/>
        </w:rPr>
        <w:t xml:space="preserve">Supplemental </w:t>
      </w:r>
      <w:r>
        <w:rPr>
          <w:rFonts w:cs="Arial" w:ascii="Arial" w:hAnsi="Arial"/>
          <w:b/>
          <w:color w:val="000000"/>
          <w:lang w:val="en-US"/>
        </w:rPr>
        <w:t>T</w:t>
      </w:r>
      <w:r>
        <w:rPr>
          <w:rFonts w:cs="Arial" w:ascii="Arial" w:hAnsi="Arial"/>
          <w:b/>
          <w:color w:val="000000"/>
          <w:lang w:val="en-US"/>
        </w:rPr>
        <w:t>able</w:t>
      </w:r>
      <w:bookmarkStart w:id="0" w:name="_GoBack"/>
      <w:bookmarkEnd w:id="0"/>
      <w:r>
        <w:rPr>
          <w:rFonts w:cs="Arial" w:ascii="Arial" w:hAnsi="Arial"/>
          <w:b/>
          <w:color w:val="000000"/>
          <w:lang w:val="en-US"/>
        </w:rPr>
        <w:t>: Demographics, Comorbidities and Intraoperative Characteristics of the Study Population.</w:t>
      </w:r>
    </w:p>
    <w:p>
      <w:pPr>
        <w:pStyle w:val="Normal"/>
        <w:spacing w:lineRule="auto" w:line="480"/>
        <w:jc w:val="right"/>
        <w:rPr>
          <w:rFonts w:ascii="Arial" w:hAnsi="Arial" w:cs="Arial"/>
          <w:color w:val="000000"/>
          <w:lang w:val="en-US"/>
        </w:rPr>
      </w:pPr>
      <w:r>
        <w:rPr>
          <w:rFonts w:cs="Arial" w:ascii="Arial" w:hAnsi="Arial"/>
          <w:color w:val="000000"/>
          <w:lang w:val="en-US"/>
        </w:rPr>
      </w:r>
    </w:p>
    <w:tbl>
      <w:tblPr>
        <w:tblW w:w="9732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51"/>
        <w:gridCol w:w="4721"/>
        <w:gridCol w:w="1981"/>
        <w:gridCol w:w="1944"/>
        <w:gridCol w:w="935"/>
      </w:tblGrid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No LCOS (n=216)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LCOS (n=59)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i/>
                <w:i/>
                <w:iCs/>
                <w:color w:val="FF0000"/>
                <w:lang w:val="en-US"/>
              </w:rPr>
            </w:pPr>
            <w:r>
              <w:rPr>
                <w:rFonts w:cs="Arial" w:ascii="Arial" w:hAnsi="Arial"/>
                <w:i/>
                <w:iCs/>
                <w:color w:val="000000"/>
                <w:lang w:val="en-US"/>
              </w:rPr>
              <w:t>P</w:t>
            </w:r>
            <w:r>
              <w:rPr>
                <w:rFonts w:cs="Arial" w:ascii="Arial" w:hAnsi="Arial"/>
                <w:color w:val="000000"/>
                <w:lang w:val="en-US"/>
              </w:rPr>
              <w:t xml:space="preserve"> Value</w:t>
            </w:r>
          </w:p>
        </w:tc>
      </w:tr>
      <w:tr>
        <w:trPr/>
        <w:tc>
          <w:tcPr>
            <w:tcW w:w="97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lang w:val="en-US"/>
              </w:rPr>
              <w:t>Demographics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Age(y)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71.0[61.0-77.0]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70.0[63.0-79.0]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0.88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Female gender,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58(26.8)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17(28.8)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0.75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BMI, kg m</w:t>
            </w:r>
            <w:r>
              <w:rPr>
                <w:rFonts w:cs="Arial" w:ascii="Arial" w:hAnsi="Arial"/>
                <w:color w:val="000000"/>
                <w:vertAlign w:val="superscript"/>
                <w:lang w:val="en-US"/>
              </w:rPr>
              <w:t>-2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26.7[25.2-30.4]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27.4[24.6-31.6]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0.24</w:t>
            </w:r>
          </w:p>
        </w:tc>
      </w:tr>
      <w:tr>
        <w:trPr/>
        <w:tc>
          <w:tcPr>
            <w:tcW w:w="97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lang w:val="en-US"/>
              </w:rPr>
              <w:t>Comorbidities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Preoperative creatinine (mg/l)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10.2[8.5-12.5]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10.7[9.4-13.3]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0.15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Preoperative hemoglobin (g/dl)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14.0[12.8-14.9]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12.8[11.2-14.4]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0.001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IDDM,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11(5.1)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6(10.2)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0.22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NYHA III-IV,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75(34.7)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34(57.6)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0.002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COPD,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28(13.0)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17(28.8)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0.005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Systolic pulmonary pressure &gt; 55 mmHg,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10(4.6)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6(10.2)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0.12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Extracardiac arteriopathy,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43(19.9)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21(35.6)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0.02</w:t>
            </w:r>
          </w:p>
        </w:tc>
      </w:tr>
      <w:tr>
        <w:trPr/>
        <w:tc>
          <w:tcPr>
            <w:tcW w:w="973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lang w:val="en-US"/>
              </w:rPr>
              <w:t>Echocardiography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LVEF n,(%)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</w:tr>
      <w:tr>
        <w:trPr/>
        <w:tc>
          <w:tcPr>
            <w:tcW w:w="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&gt; 50 %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166(76.8)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21(35.6)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&lt;0.001</w:t>
            </w:r>
          </w:p>
        </w:tc>
      </w:tr>
      <w:tr>
        <w:trPr/>
        <w:tc>
          <w:tcPr>
            <w:tcW w:w="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31-50 %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41(19.0)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27(45.8)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&lt;0.001</w:t>
            </w:r>
          </w:p>
        </w:tc>
      </w:tr>
      <w:tr>
        <w:trPr/>
        <w:tc>
          <w:tcPr>
            <w:tcW w:w="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lang w:val="en-US"/>
              </w:rPr>
            </w:pPr>
            <w:r>
              <w:rPr>
                <w:rFonts w:eastAsia="Liberation Serif" w:cs="Arial" w:ascii="Arial" w:hAnsi="Arial"/>
                <w:color w:val="000000"/>
                <w:lang w:val="en-US"/>
              </w:rPr>
              <w:t>≤</w:t>
            </w:r>
            <w:r>
              <w:rPr>
                <w:rFonts w:cs="Arial" w:ascii="Arial" w:hAnsi="Arial"/>
                <w:color w:val="000000"/>
                <w:lang w:val="en-US"/>
              </w:rPr>
              <w:t>30 %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9(4.2)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11(18.6)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&lt;0.001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GLS(%)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-18.6±4.1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-15.2±4.3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&lt;0.001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Lat e’ (cm s</w:t>
            </w:r>
            <w:r>
              <w:rPr>
                <w:rFonts w:cs="Arial" w:ascii="Arial" w:hAnsi="Arial"/>
                <w:color w:val="000000"/>
                <w:vertAlign w:val="superscript"/>
                <w:lang w:val="en-US"/>
              </w:rPr>
              <w:t>-1</w:t>
            </w:r>
            <w:r>
              <w:rPr>
                <w:rFonts w:cs="Arial" w:ascii="Arial" w:hAnsi="Arial"/>
                <w:color w:val="000000"/>
                <w:lang w:val="en-US"/>
              </w:rPr>
              <w:t>)</w:t>
            </w:r>
            <w:r>
              <w:rPr>
                <w:rFonts w:cs="Arial" w:ascii="Arial" w:hAnsi="Arial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7.0 [5.8-8.5]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7.1[5.0-10.0]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0.71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E/e’ ratio</w:t>
            </w:r>
            <w:r>
              <w:rPr>
                <w:rFonts w:cs="Arial" w:ascii="Arial" w:hAnsi="Arial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8.0[5.5-11.1]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6.9[6.4-13.6]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0.61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RV FAC, %</w:t>
            </w:r>
            <w:r>
              <w:rPr>
                <w:rFonts w:cs="Arial" w:ascii="Arial" w:hAnsi="Arial"/>
                <w:color w:val="000000"/>
                <w:vertAlign w:val="superscript"/>
                <w:lang w:val="en-US"/>
              </w:rPr>
              <w:t>c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43[36-51]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44[42-47]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0.80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Valvular disease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</w:tr>
      <w:tr>
        <w:trPr/>
        <w:tc>
          <w:tcPr>
            <w:tcW w:w="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Aortic valve stenosis,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95(44.0)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17(28.8)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0.04</w:t>
            </w:r>
          </w:p>
        </w:tc>
      </w:tr>
      <w:tr>
        <w:trPr/>
        <w:tc>
          <w:tcPr>
            <w:tcW w:w="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Aortic valve regurgitation,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13(6.0)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5(8.5)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0.55</w:t>
            </w:r>
          </w:p>
        </w:tc>
      </w:tr>
      <w:tr>
        <w:trPr/>
        <w:tc>
          <w:tcPr>
            <w:tcW w:w="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Mitral valve stenosis,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1(0.4)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0(0.0)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1.00</w:t>
            </w:r>
          </w:p>
        </w:tc>
      </w:tr>
      <w:tr>
        <w:trPr/>
        <w:tc>
          <w:tcPr>
            <w:tcW w:w="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Mitral valve regurgitation,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25(11.6)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19(32.2)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&lt; 0.001</w:t>
            </w:r>
          </w:p>
        </w:tc>
      </w:tr>
      <w:tr>
        <w:trPr/>
        <w:tc>
          <w:tcPr>
            <w:tcW w:w="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None,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82(38.0)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18(30.5)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0.36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lang w:val="en-US"/>
              </w:rPr>
              <w:t>Surgical Procedure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lang w:val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lang w:val="en-US"/>
              </w:rPr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lang w:val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lang w:val="en-US"/>
              </w:rPr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lang w:val="en-US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lang w:val="en-US"/>
              </w:rPr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Type of Surgery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</w:tr>
      <w:tr>
        <w:trPr/>
        <w:tc>
          <w:tcPr>
            <w:tcW w:w="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CABG,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109(50.5)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33(27.9)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0.47</w:t>
            </w:r>
          </w:p>
        </w:tc>
      </w:tr>
      <w:tr>
        <w:trPr/>
        <w:tc>
          <w:tcPr>
            <w:tcW w:w="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AVR,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116(53.7)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24(40.7)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0.08</w:t>
            </w:r>
          </w:p>
        </w:tc>
      </w:tr>
      <w:tr>
        <w:trPr/>
        <w:tc>
          <w:tcPr>
            <w:tcW w:w="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MV replacement,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9 (4.2)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13(22.0)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&lt;0.001</w:t>
            </w:r>
          </w:p>
        </w:tc>
      </w:tr>
      <w:tr>
        <w:trPr/>
        <w:tc>
          <w:tcPr>
            <w:tcW w:w="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MV repair,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16(7.4)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6 (10.2)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0.59</w:t>
            </w:r>
          </w:p>
        </w:tc>
      </w:tr>
      <w:tr>
        <w:trPr/>
        <w:tc>
          <w:tcPr>
            <w:tcW w:w="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Major aortic surgery,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20(9.3)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3(5.1)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0.43</w:t>
            </w:r>
          </w:p>
        </w:tc>
      </w:tr>
      <w:tr>
        <w:trPr/>
        <w:tc>
          <w:tcPr>
            <w:tcW w:w="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Combined procedure, n(%)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59(27.3)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26(44.1)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0.02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Urgent surgery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40(18.5)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19(32.2)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0.03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CPB duration, min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86.0[69.0-102.0]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114.0[86.0-146.0]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&lt;0.001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Aortic cross clamp time, min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59.5[45.0-75.0]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70.0[56.0-95.0]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&lt;0.001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RBC transfusion, n(%)</w:t>
            </w:r>
            <w:r>
              <w:rPr>
                <w:rFonts w:cs="Arial" w:ascii="Arial" w:hAnsi="Arial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29(10.5)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24(40.7)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&lt;0.001</w:t>
            </w:r>
          </w:p>
        </w:tc>
      </w:tr>
      <w:tr>
        <w:trPr/>
        <w:tc>
          <w:tcPr>
            <w:tcW w:w="4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EuroSCORE II, %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2.1[1.2-3.8]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3.6[2.4-9.2]</w:t>
            </w:r>
          </w:p>
        </w:tc>
        <w:tc>
          <w:tcPr>
            <w:tcW w:w="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2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color w:val="FF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&lt;0.001</w:t>
            </w:r>
          </w:p>
        </w:tc>
      </w:tr>
    </w:tbl>
    <w:p>
      <w:pPr>
        <w:pStyle w:val="Normal"/>
        <w:rPr>
          <w:rFonts w:ascii="Arial" w:hAnsi="Arial" w:cs="Arial"/>
          <w:color w:val="000000"/>
          <w:lang w:val="en-US"/>
        </w:rPr>
      </w:pPr>
      <w:r>
        <w:rPr>
          <w:rFonts w:cs="Arial" w:ascii="Arial" w:hAnsi="Arial"/>
          <w:color w:val="000000"/>
          <w:lang w:val="en-US"/>
        </w:rPr>
      </w:r>
    </w:p>
    <w:p>
      <w:pPr>
        <w:pStyle w:val="Normal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color w:val="000000"/>
          <w:lang w:val="en-US"/>
        </w:rPr>
        <w:t>Values are median [p25-p75] or number (%). BMI: body mass index; IDDM: insulin-dependent diabetes mellitus; NYHA: New York heart association functional class; CPB= cardiopulmonary bypass; CABG= coronary artery bypass grafts; AVR=aortic valve replacement; MV=mitral valve; LVEF=left ventricular ejection fraction; GLS=peak systolic global longitudinal strain; COPD=chronic obstructive pulmonary disease; LCOS= postoperative low cardiac output syndrome. RV FAC=Right ventricular fractional area change. Lat e’: pulsed wave-derived lateral mitral annular early diastolic velocity. E: Pulsed wave-derived transmitral early flow velocity. RBC=Red Blood Cell. EuroSCORE II=predicted 30-day mortality according to the EuroSCORE II.</w:t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vertAlign w:val="superscript"/>
          <w:lang w:val="en-US"/>
        </w:rPr>
        <w:t>a</w:t>
      </w:r>
      <w:r>
        <w:rPr>
          <w:rFonts w:cs="Arial" w:ascii="Arial" w:hAnsi="Arial"/>
          <w:color w:val="000000"/>
          <w:lang w:val="en-US"/>
        </w:rPr>
        <w:t xml:space="preserve"> Anytime intraoperatively or during the intensive care unit stay. </w:t>
      </w:r>
      <w:r>
        <w:rPr>
          <w:rFonts w:cs="Arial" w:ascii="Arial" w:hAnsi="Arial"/>
          <w:color w:val="000000"/>
          <w:vertAlign w:val="superscript"/>
          <w:lang w:val="en-US"/>
        </w:rPr>
        <w:t>b</w:t>
      </w:r>
      <w:r>
        <w:rPr>
          <w:rFonts w:cs="Arial" w:ascii="Arial" w:hAnsi="Arial"/>
          <w:color w:val="000000"/>
          <w:lang w:val="en-US"/>
        </w:rPr>
        <w:t xml:space="preserve"> Measured in 117 patients only. </w:t>
      </w:r>
      <w:r>
        <w:rPr>
          <w:rFonts w:cs="Arial" w:ascii="Arial" w:hAnsi="Arial"/>
          <w:color w:val="000000"/>
          <w:vertAlign w:val="superscript"/>
          <w:lang w:val="en-US"/>
        </w:rPr>
        <w:t>c</w:t>
      </w:r>
      <w:r>
        <w:rPr>
          <w:rFonts w:cs="Arial" w:ascii="Arial" w:hAnsi="Arial"/>
          <w:color w:val="000000"/>
          <w:lang w:val="en-US"/>
        </w:rPr>
        <w:t xml:space="preserve"> Obtained in 134 patients only.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fr-BE" w:eastAsia="zh-CN" w:bidi="hi-IN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fr-B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 w:customStyle="1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Application>LibreOffice/5.1.6.2$Linux_X86_64 LibreOffice_project/10m0$Build-2</Application>
  <Pages>2</Pages>
  <Words>342</Words>
  <Characters>2281</Characters>
  <CharactersWithSpaces>2478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2017-01-29T13:30:00Z</dcterms:created>
  <dc:creator/>
  <dc:description/>
  <dc:language>fr-BE</dc:language>
  <cp:lastModifiedBy/>
  <dcterms:modified xsi:type="dcterms:W3CDTF">2017-08-09T21:19:49Z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