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99" w:rsidRPr="00A91B77" w:rsidRDefault="00AB3299" w:rsidP="004C07C4">
      <w:pPr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A91B77">
        <w:rPr>
          <w:rFonts w:ascii="Arial" w:hAnsi="Arial" w:cs="Arial"/>
          <w:b/>
          <w:color w:val="000000"/>
          <w:sz w:val="24"/>
          <w:szCs w:val="24"/>
        </w:rPr>
        <w:t>Appendix: The Society of Thoracic Surgeons (STS) database definitions.</w:t>
      </w:r>
    </w:p>
    <w:p w:rsidR="00AB3299" w:rsidRPr="00A91B77" w:rsidRDefault="00AB3299" w:rsidP="004C07C4">
      <w:pPr>
        <w:spacing w:line="480" w:lineRule="auto"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91B77">
        <w:rPr>
          <w:rFonts w:ascii="Arial" w:hAnsi="Arial" w:cs="Arial"/>
          <w:b/>
          <w:sz w:val="24"/>
          <w:szCs w:val="24"/>
        </w:rPr>
        <w:t xml:space="preserve">Perioperative Myocardial Infarction (MI) </w:t>
      </w:r>
      <w:r w:rsidRPr="00A91B77">
        <w:rPr>
          <w:rFonts w:ascii="Arial" w:hAnsi="Arial" w:cs="Arial"/>
          <w:sz w:val="24"/>
          <w:szCs w:val="24"/>
        </w:rPr>
        <w:t>(not collected after 7/1/2014)</w:t>
      </w:r>
    </w:p>
    <w:p w:rsidR="00AB3299" w:rsidRPr="00A91B77" w:rsidRDefault="00AB3299" w:rsidP="004C07C4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sz w:val="24"/>
          <w:szCs w:val="24"/>
        </w:rPr>
        <w:t>Definition:</w:t>
      </w:r>
      <w:r w:rsidRPr="00A91B77">
        <w:rPr>
          <w:rFonts w:ascii="Arial" w:hAnsi="Arial" w:cs="Arial"/>
          <w:sz w:val="24"/>
          <w:szCs w:val="24"/>
        </w:rPr>
        <w:t xml:space="preserve"> </w:t>
      </w:r>
    </w:p>
    <w:p w:rsidR="00AB3299" w:rsidRPr="00A91B77" w:rsidRDefault="00AB3299" w:rsidP="004C07C4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>Indicate the presence of a perioperative MI (0-24 hours postop) as documented by the following criteria: The</w:t>
      </w:r>
      <w:bookmarkStart w:id="0" w:name="_GoBack"/>
      <w:bookmarkEnd w:id="0"/>
      <w:r w:rsidRPr="00A91B77">
        <w:rPr>
          <w:rFonts w:ascii="Arial" w:hAnsi="Arial" w:cs="Arial"/>
          <w:sz w:val="24"/>
          <w:szCs w:val="24"/>
        </w:rPr>
        <w:t xml:space="preserve"> CK-MB (or CK if MB not available) must be ≥ to 5 times the upper limit of normal, with or without new Q waves present in two or more contiguous ECG leads.  No symptoms required.</w:t>
      </w:r>
    </w:p>
    <w:p w:rsidR="00AB3299" w:rsidRPr="00A91B77" w:rsidRDefault="00AB3299" w:rsidP="004C07C4">
      <w:pPr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spacing w:line="48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>Indicate the presence of a perioperative MI (&gt;24 hours postop) as documented by at least one of the following criteria: Evolutionary ST-segment elevations, Development of new Q-waves in two or more contiguous ECG leads, New or presumably new LBBB (left bundle branch block) pattern on the ECG, The CK-MB (or CK if MB not available) must be ≥ to 3 times the upper limit of normal.</w:t>
      </w:r>
    </w:p>
    <w:p w:rsidR="00AB3299" w:rsidRPr="00A91B77" w:rsidRDefault="00AB3299" w:rsidP="004C07C4">
      <w:pPr>
        <w:spacing w:line="48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 xml:space="preserve">If CK-MB values were elevated prior to surgery, or there was clinical documentation of ischemic event occurring prior to entry into the operating room and CK-MB values continued to rise in the immediate postoperative period, </w:t>
      </w:r>
      <w:r w:rsidRPr="00A91B77">
        <w:rPr>
          <w:rFonts w:ascii="Arial" w:hAnsi="Arial" w:cs="Arial"/>
          <w:b/>
          <w:sz w:val="24"/>
          <w:szCs w:val="24"/>
          <w:u w:val="single"/>
        </w:rPr>
        <w:t>do not</w:t>
      </w:r>
      <w:r w:rsidRPr="00A91B77">
        <w:rPr>
          <w:rFonts w:ascii="Arial" w:hAnsi="Arial" w:cs="Arial"/>
          <w:sz w:val="24"/>
          <w:szCs w:val="24"/>
        </w:rPr>
        <w:t xml:space="preserve"> code as a postop event as this would be an evolving preoperative MI. Apical Ballooning-</w:t>
      </w:r>
      <w:proofErr w:type="spellStart"/>
      <w:r w:rsidRPr="00A91B77">
        <w:rPr>
          <w:rFonts w:ascii="Arial" w:hAnsi="Arial" w:cs="Arial"/>
          <w:sz w:val="24"/>
          <w:szCs w:val="24"/>
        </w:rPr>
        <w:t>Takotsubo</w:t>
      </w:r>
      <w:proofErr w:type="spellEnd"/>
      <w:r w:rsidRPr="00A91B77">
        <w:rPr>
          <w:rFonts w:ascii="Arial" w:hAnsi="Arial" w:cs="Arial"/>
          <w:sz w:val="24"/>
          <w:szCs w:val="24"/>
        </w:rPr>
        <w:t xml:space="preserve"> Syndrome will appear as an MI on ECG, troponin may rise and EF wi</w:t>
      </w:r>
      <w:r w:rsidR="00C76F5C" w:rsidRPr="00A91B77">
        <w:rPr>
          <w:rFonts w:ascii="Arial" w:hAnsi="Arial" w:cs="Arial"/>
          <w:sz w:val="24"/>
          <w:szCs w:val="24"/>
        </w:rPr>
        <w:t>ll decrease significantly but without</w:t>
      </w:r>
      <w:r w:rsidRPr="00A91B77">
        <w:rPr>
          <w:rFonts w:ascii="Arial" w:hAnsi="Arial" w:cs="Arial"/>
          <w:sz w:val="24"/>
          <w:szCs w:val="24"/>
        </w:rPr>
        <w:t xml:space="preserve"> evidence of obstructive coronary artery disease (do not coded as perioperative MI)  </w:t>
      </w:r>
    </w:p>
    <w:p w:rsidR="00AB3299" w:rsidRPr="00A91B77" w:rsidRDefault="00AB3299" w:rsidP="004C07C4">
      <w:pPr>
        <w:spacing w:line="480" w:lineRule="auto"/>
        <w:rPr>
          <w:rFonts w:ascii="Arial" w:hAnsi="Arial" w:cs="Arial"/>
          <w:sz w:val="24"/>
          <w:szCs w:val="24"/>
        </w:rPr>
      </w:pPr>
    </w:p>
    <w:p w:rsidR="003F7F51" w:rsidRPr="00A91B77" w:rsidRDefault="003F7F51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91B77">
        <w:rPr>
          <w:rFonts w:ascii="Arial" w:hAnsi="Arial" w:cs="Arial"/>
          <w:b/>
          <w:sz w:val="24"/>
          <w:szCs w:val="24"/>
        </w:rPr>
        <w:lastRenderedPageBreak/>
        <w:t>Prolonged Ventilation</w:t>
      </w:r>
    </w:p>
    <w:p w:rsidR="003F7F51" w:rsidRPr="00A91B77" w:rsidRDefault="003F7F51" w:rsidP="004C07C4">
      <w:pPr>
        <w:adjustRightInd w:val="0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iCs/>
          <w:sz w:val="24"/>
          <w:szCs w:val="24"/>
        </w:rPr>
        <w:t xml:space="preserve">Definition: </w:t>
      </w:r>
      <w:r w:rsidRPr="00A91B77">
        <w:rPr>
          <w:rFonts w:ascii="Arial" w:hAnsi="Arial" w:cs="Arial"/>
          <w:sz w:val="24"/>
          <w:szCs w:val="24"/>
        </w:rPr>
        <w:t xml:space="preserve">Indicate whether the patient had prolonged post-operative pulmonary ventilation &gt; 24.0 hours. The hours of postoperative ventilation time include OR exit until </w:t>
      </w:r>
      <w:proofErr w:type="spellStart"/>
      <w:r w:rsidRPr="00A91B77">
        <w:rPr>
          <w:rFonts w:ascii="Arial" w:hAnsi="Arial" w:cs="Arial"/>
          <w:sz w:val="24"/>
          <w:szCs w:val="24"/>
        </w:rPr>
        <w:t>extubation</w:t>
      </w:r>
      <w:proofErr w:type="spellEnd"/>
      <w:r w:rsidRPr="00A91B77">
        <w:rPr>
          <w:rFonts w:ascii="Arial" w:hAnsi="Arial" w:cs="Arial"/>
          <w:sz w:val="24"/>
          <w:szCs w:val="24"/>
        </w:rPr>
        <w:t xml:space="preserve">, plus any additional hours following re-intubation. </w:t>
      </w:r>
      <w:proofErr w:type="gramStart"/>
      <w:r w:rsidRPr="00A91B77">
        <w:rPr>
          <w:rFonts w:ascii="Arial" w:hAnsi="Arial" w:cs="Arial"/>
          <w:sz w:val="24"/>
          <w:szCs w:val="24"/>
        </w:rPr>
        <w:t>Included (but not limited to) causes such as ARDS, pulmonary edema, and/or any patient requiring mechanical ventilation &gt; 24 hours postoperatively.</w:t>
      </w:r>
      <w:proofErr w:type="gramEnd"/>
    </w:p>
    <w:p w:rsidR="003F7F51" w:rsidRPr="00A91B77" w:rsidRDefault="003F7F51" w:rsidP="004C07C4">
      <w:pPr>
        <w:spacing w:line="480" w:lineRule="auto"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91B77">
        <w:rPr>
          <w:rFonts w:ascii="Arial" w:hAnsi="Arial" w:cs="Arial"/>
          <w:b/>
          <w:sz w:val="24"/>
          <w:szCs w:val="24"/>
        </w:rPr>
        <w:t>Renal Failure</w:t>
      </w:r>
    </w:p>
    <w:p w:rsidR="00AB3299" w:rsidRPr="00A91B77" w:rsidRDefault="00AB3299" w:rsidP="004C07C4">
      <w:pPr>
        <w:adjustRightInd w:val="0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iCs/>
          <w:sz w:val="24"/>
          <w:szCs w:val="24"/>
        </w:rPr>
        <w:t xml:space="preserve">Definition: </w:t>
      </w:r>
      <w:r w:rsidRPr="00A91B77">
        <w:rPr>
          <w:rFonts w:ascii="Arial" w:hAnsi="Arial" w:cs="Arial"/>
          <w:sz w:val="24"/>
          <w:szCs w:val="24"/>
        </w:rPr>
        <w:t>Indicate whether the patient had acute renal failure or worsening renal function resulting in ONE OR BOTH of the following:</w:t>
      </w:r>
    </w:p>
    <w:p w:rsidR="00AB3299" w:rsidRPr="00A91B77" w:rsidRDefault="00AB3299" w:rsidP="004C07C4">
      <w:pPr>
        <w:adjustRightInd w:val="0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>1. Increase in serum creatinine level 3.0 times greater than baseline, or serum creatinine level ≥4 mg/dl with acute rise at least 0.5 mg/dl</w:t>
      </w:r>
    </w:p>
    <w:p w:rsidR="00AB3299" w:rsidRPr="00A91B77" w:rsidRDefault="00AB3299" w:rsidP="004C07C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>2. A new requirement for dialysis postoperatively.</w:t>
      </w:r>
    </w:p>
    <w:p w:rsidR="00AB3299" w:rsidRPr="00A91B77" w:rsidRDefault="00AB3299" w:rsidP="004C07C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adjustRightInd w:val="0"/>
        <w:spacing w:line="480" w:lineRule="auto"/>
        <w:rPr>
          <w:rFonts w:ascii="Arial" w:hAnsi="Arial" w:cs="Arial"/>
          <w:b/>
          <w:iCs/>
          <w:sz w:val="24"/>
          <w:szCs w:val="24"/>
        </w:rPr>
      </w:pPr>
      <w:r w:rsidRPr="00A91B77">
        <w:rPr>
          <w:rFonts w:ascii="Arial" w:hAnsi="Arial" w:cs="Arial"/>
          <w:b/>
          <w:iCs/>
          <w:sz w:val="24"/>
          <w:szCs w:val="24"/>
        </w:rPr>
        <w:t>Renal Failure Requiring Dialysis</w:t>
      </w:r>
    </w:p>
    <w:p w:rsidR="00AB3299" w:rsidRPr="00A91B77" w:rsidRDefault="00AB3299" w:rsidP="004C07C4">
      <w:pPr>
        <w:adjustRightInd w:val="0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iCs/>
          <w:sz w:val="24"/>
          <w:szCs w:val="24"/>
        </w:rPr>
        <w:t xml:space="preserve">Definition: </w:t>
      </w:r>
      <w:r w:rsidRPr="00A91B77">
        <w:rPr>
          <w:rFonts w:ascii="Arial" w:hAnsi="Arial" w:cs="Arial"/>
          <w:sz w:val="24"/>
          <w:szCs w:val="24"/>
        </w:rPr>
        <w:t>Indicate whether the patient had a new requirement for dialysis postoperatively, which may include hemodialysis, peritoneal dialysis, o</w:t>
      </w:r>
      <w:r w:rsidR="004A517F" w:rsidRPr="00A91B77">
        <w:rPr>
          <w:rFonts w:ascii="Arial" w:hAnsi="Arial" w:cs="Arial"/>
          <w:sz w:val="24"/>
          <w:szCs w:val="24"/>
        </w:rPr>
        <w:t xml:space="preserve">r any form of ultrafiltration. </w:t>
      </w:r>
      <w:r w:rsidRPr="00A91B77">
        <w:rPr>
          <w:rFonts w:ascii="Arial" w:hAnsi="Arial" w:cs="Arial"/>
          <w:sz w:val="24"/>
          <w:szCs w:val="24"/>
        </w:rPr>
        <w:t xml:space="preserve">This includes a one-time need for dialysis as well as implementation of longer term therapy. If the patient was on a preoperative peritoneal dialysis and moved to hemodialysis postoperatively, this does not constitute a worsening of the condition and should not be coded as an event. Continuous </w:t>
      </w:r>
      <w:proofErr w:type="spellStart"/>
      <w:r w:rsidRPr="00A91B77">
        <w:rPr>
          <w:rFonts w:ascii="Arial" w:hAnsi="Arial" w:cs="Arial"/>
          <w:sz w:val="24"/>
          <w:szCs w:val="24"/>
        </w:rPr>
        <w:t>veno</w:t>
      </w:r>
      <w:proofErr w:type="spellEnd"/>
      <w:r w:rsidRPr="00A91B77">
        <w:rPr>
          <w:rFonts w:ascii="Arial" w:hAnsi="Arial" w:cs="Arial"/>
          <w:sz w:val="24"/>
          <w:szCs w:val="24"/>
        </w:rPr>
        <w:t>-venous hemofiltration (CVVH, CVVHD) and continuous renal replacement therapy (CRRT) should be coded as yes.</w:t>
      </w:r>
    </w:p>
    <w:p w:rsidR="00AB3299" w:rsidRPr="00A91B77" w:rsidRDefault="00AB3299" w:rsidP="004C07C4">
      <w:pPr>
        <w:spacing w:line="480" w:lineRule="auto"/>
        <w:rPr>
          <w:rFonts w:ascii="Arial" w:hAnsi="Arial" w:cs="Arial"/>
          <w:sz w:val="24"/>
          <w:szCs w:val="24"/>
        </w:rPr>
      </w:pPr>
    </w:p>
    <w:p w:rsidR="00AB3299" w:rsidRPr="00A91B77" w:rsidRDefault="00AB3299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91B77">
        <w:rPr>
          <w:rFonts w:ascii="Arial" w:hAnsi="Arial" w:cs="Arial"/>
          <w:b/>
          <w:sz w:val="24"/>
          <w:szCs w:val="24"/>
        </w:rPr>
        <w:t>Reoperation for Bleeding</w:t>
      </w:r>
    </w:p>
    <w:p w:rsidR="00AB3299" w:rsidRPr="00A91B77" w:rsidRDefault="00AB3299" w:rsidP="004C07C4">
      <w:pPr>
        <w:adjustRightInd w:val="0"/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iCs/>
          <w:sz w:val="24"/>
          <w:szCs w:val="24"/>
        </w:rPr>
        <w:t xml:space="preserve">Definition: </w:t>
      </w:r>
      <w:r w:rsidRPr="00A91B77">
        <w:rPr>
          <w:rFonts w:ascii="Arial" w:hAnsi="Arial" w:cs="Arial"/>
          <w:sz w:val="24"/>
          <w:szCs w:val="24"/>
        </w:rPr>
        <w:t>Indicate whether the patient was re-explored for mediastinal bleeding with or without tamponade either in the ICU or returned to the operating room.</w:t>
      </w:r>
      <w:r w:rsidRPr="00A91B77">
        <w:rPr>
          <w:rFonts w:ascii="Arial" w:eastAsia="Times New Roman" w:hAnsi="Arial" w:cs="Arial"/>
          <w:sz w:val="24"/>
          <w:szCs w:val="24"/>
        </w:rPr>
        <w:t xml:space="preserve"> </w:t>
      </w:r>
      <w:r w:rsidRPr="00A91B77">
        <w:rPr>
          <w:rFonts w:ascii="Arial" w:hAnsi="Arial" w:cs="Arial"/>
          <w:sz w:val="24"/>
          <w:szCs w:val="24"/>
        </w:rPr>
        <w:t>Include patients that return to an OR suite or equivalent OR environment (i.e. ICU setting) as identified by your institution, that require surgical re-intervention to investigate/correct bleeding/tamponade.  Include only those bleeding/tamponade interventions that pertain to the m</w:t>
      </w:r>
      <w:r w:rsidR="004A517F" w:rsidRPr="00A91B77">
        <w:rPr>
          <w:rFonts w:ascii="Arial" w:hAnsi="Arial" w:cs="Arial"/>
          <w:sz w:val="24"/>
          <w:szCs w:val="24"/>
        </w:rPr>
        <w:t xml:space="preserve">ediastinum or thoracic cavity. </w:t>
      </w:r>
      <w:r w:rsidRPr="00A91B77">
        <w:rPr>
          <w:rFonts w:ascii="Arial" w:hAnsi="Arial" w:cs="Arial"/>
          <w:sz w:val="24"/>
          <w:szCs w:val="24"/>
        </w:rPr>
        <w:t>Please note that all other reoperation fields do require a return to an OR suite to capture as a complication. Do not capture reopening of the chest or situations of excessive bleeding that occur prior to the patient leaving the operating room at the time of the primary procedure. Tamponade is a situation which occurs when there is compression or restriction placed on the heart within the chest that creates hemodynamic instability or a hypo-</w:t>
      </w:r>
      <w:r w:rsidR="004A517F" w:rsidRPr="00A91B77">
        <w:rPr>
          <w:rFonts w:ascii="Arial" w:hAnsi="Arial" w:cs="Arial"/>
          <w:sz w:val="24"/>
          <w:szCs w:val="24"/>
        </w:rPr>
        <w:t xml:space="preserve">perfused state. </w:t>
      </w:r>
      <w:r w:rsidRPr="00A91B77">
        <w:rPr>
          <w:rFonts w:ascii="Arial" w:hAnsi="Arial" w:cs="Arial"/>
          <w:sz w:val="24"/>
          <w:szCs w:val="24"/>
        </w:rPr>
        <w:t xml:space="preserve">Do not include non-operatively treated excessive bleeding/tamponade events.  </w:t>
      </w:r>
    </w:p>
    <w:p w:rsidR="00AB3299" w:rsidRPr="00A91B77" w:rsidRDefault="00AB3299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AB3299" w:rsidRPr="00A91B77" w:rsidRDefault="00AB3299" w:rsidP="004C07C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91B77">
        <w:rPr>
          <w:rFonts w:ascii="Arial" w:hAnsi="Arial" w:cs="Arial"/>
          <w:b/>
          <w:sz w:val="24"/>
          <w:szCs w:val="24"/>
        </w:rPr>
        <w:t>Stroke (any)</w:t>
      </w:r>
    </w:p>
    <w:p w:rsidR="00AB3299" w:rsidRPr="00A91B77" w:rsidRDefault="00AB3299" w:rsidP="004C07C4">
      <w:pPr>
        <w:adjustRightInd w:val="0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i/>
          <w:iCs/>
          <w:sz w:val="24"/>
          <w:szCs w:val="24"/>
        </w:rPr>
        <w:t xml:space="preserve">Definition: </w:t>
      </w:r>
      <w:r w:rsidRPr="00A91B77">
        <w:rPr>
          <w:rFonts w:ascii="Arial" w:hAnsi="Arial" w:cs="Arial"/>
          <w:sz w:val="24"/>
          <w:szCs w:val="24"/>
        </w:rPr>
        <w:t>Indicate whether the patient has one of the following:</w:t>
      </w:r>
    </w:p>
    <w:p w:rsidR="00AB3299" w:rsidRPr="00A91B77" w:rsidRDefault="00AB3299" w:rsidP="004C07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t>A postoperative stroke (i.e., any confirmed neurological deficit of abrupt onset caused by a disturbance in blood supply to the brain) that did not resolve within 24 hours. Central events are caused by embolic or hemorrhagic processes</w:t>
      </w:r>
      <w:r w:rsidR="004A517F" w:rsidRPr="00A91B77">
        <w:rPr>
          <w:rFonts w:ascii="Arial" w:hAnsi="Arial" w:cs="Arial"/>
          <w:sz w:val="24"/>
          <w:szCs w:val="24"/>
        </w:rPr>
        <w:t xml:space="preserve">. </w:t>
      </w:r>
      <w:r w:rsidRPr="00A91B77">
        <w:rPr>
          <w:rFonts w:ascii="Arial" w:hAnsi="Arial" w:cs="Arial"/>
          <w:sz w:val="24"/>
          <w:szCs w:val="24"/>
        </w:rPr>
        <w:t xml:space="preserve">Neurological deficits such as confusion, delirium and/or encephalopathy (anoxic or metabolic) are not to be coded in this field. </w:t>
      </w:r>
    </w:p>
    <w:p w:rsidR="00AB3299" w:rsidRPr="00A91B77" w:rsidRDefault="00AB3299" w:rsidP="004C07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A91B77">
        <w:rPr>
          <w:rFonts w:ascii="Arial" w:hAnsi="Arial" w:cs="Arial"/>
          <w:sz w:val="24"/>
          <w:szCs w:val="24"/>
        </w:rPr>
        <w:lastRenderedPageBreak/>
        <w:t>A postoperative Transient Ischemic Attack (TIA), i.e. loss of neurological function that was abrupt in onset but with complete return of function within 24 hours.</w:t>
      </w:r>
      <w:r w:rsidRPr="00A91B77">
        <w:rPr>
          <w:rFonts w:ascii="Arial" w:eastAsia="Times New Roman" w:hAnsi="Arial" w:cs="Arial"/>
          <w:sz w:val="24"/>
          <w:szCs w:val="24"/>
        </w:rPr>
        <w:t xml:space="preserve"> </w:t>
      </w:r>
      <w:r w:rsidRPr="00A91B77">
        <w:rPr>
          <w:rFonts w:ascii="Arial" w:hAnsi="Arial" w:cs="Arial"/>
          <w:sz w:val="24"/>
          <w:szCs w:val="24"/>
        </w:rPr>
        <w:t xml:space="preserve">Symptoms may include, but are not limited to visual, speech, memory or physical deficits. Includes </w:t>
      </w:r>
      <w:proofErr w:type="spellStart"/>
      <w:r w:rsidRPr="00A91B77">
        <w:rPr>
          <w:rFonts w:ascii="Arial" w:hAnsi="Arial" w:cs="Arial"/>
          <w:sz w:val="24"/>
          <w:szCs w:val="24"/>
        </w:rPr>
        <w:t>amaurosis</w:t>
      </w:r>
      <w:proofErr w:type="spellEnd"/>
      <w:r w:rsidRPr="00A91B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B77">
        <w:rPr>
          <w:rFonts w:ascii="Arial" w:hAnsi="Arial" w:cs="Arial"/>
          <w:sz w:val="24"/>
          <w:szCs w:val="24"/>
        </w:rPr>
        <w:t>fugax</w:t>
      </w:r>
      <w:proofErr w:type="spellEnd"/>
      <w:r w:rsidRPr="00A91B77">
        <w:rPr>
          <w:rFonts w:ascii="Arial" w:hAnsi="Arial" w:cs="Arial"/>
          <w:sz w:val="24"/>
          <w:szCs w:val="24"/>
        </w:rPr>
        <w:t>.</w:t>
      </w:r>
    </w:p>
    <w:p w:rsidR="00AB3299" w:rsidRPr="00A91B77" w:rsidRDefault="00AB3299" w:rsidP="004C07C4">
      <w:pPr>
        <w:tabs>
          <w:tab w:val="left" w:pos="2355"/>
        </w:tabs>
        <w:spacing w:line="480" w:lineRule="auto"/>
        <w:rPr>
          <w:rFonts w:ascii="Arial" w:hAnsi="Arial" w:cs="Arial"/>
          <w:sz w:val="24"/>
          <w:szCs w:val="24"/>
        </w:rPr>
      </w:pPr>
    </w:p>
    <w:sectPr w:rsidR="00AB3299" w:rsidRPr="00A91B77" w:rsidSect="0067735A">
      <w:footerReference w:type="default" r:id="rId8"/>
      <w:pgSz w:w="12240" w:h="15840"/>
      <w:pgMar w:top="1440" w:right="1440" w:bottom="1440" w:left="1440" w:header="72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03" w:rsidRDefault="000B69D6">
      <w:r>
        <w:separator/>
      </w:r>
    </w:p>
  </w:endnote>
  <w:endnote w:type="continuationSeparator" w:id="0">
    <w:p w:rsidR="00593503" w:rsidRDefault="000B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03" w:rsidRDefault="00593503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03" w:rsidRDefault="000B69D6">
      <w:r>
        <w:separator/>
      </w:r>
    </w:p>
  </w:footnote>
  <w:footnote w:type="continuationSeparator" w:id="0">
    <w:p w:rsidR="00593503" w:rsidRDefault="000B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7EB"/>
    <w:multiLevelType w:val="hybridMultilevel"/>
    <w:tmpl w:val="323EE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9D"/>
    <w:rsid w:val="00074C0A"/>
    <w:rsid w:val="00090AA3"/>
    <w:rsid w:val="000B69D6"/>
    <w:rsid w:val="000D24B1"/>
    <w:rsid w:val="00143ABE"/>
    <w:rsid w:val="00275F3D"/>
    <w:rsid w:val="00315166"/>
    <w:rsid w:val="00395E24"/>
    <w:rsid w:val="003D095A"/>
    <w:rsid w:val="003E36C9"/>
    <w:rsid w:val="003F7F51"/>
    <w:rsid w:val="00474D8F"/>
    <w:rsid w:val="004A517F"/>
    <w:rsid w:val="004C07C4"/>
    <w:rsid w:val="005026DE"/>
    <w:rsid w:val="00542E24"/>
    <w:rsid w:val="00570E2F"/>
    <w:rsid w:val="00580672"/>
    <w:rsid w:val="005814CA"/>
    <w:rsid w:val="005864AE"/>
    <w:rsid w:val="00593503"/>
    <w:rsid w:val="005F307E"/>
    <w:rsid w:val="0067735A"/>
    <w:rsid w:val="006F7179"/>
    <w:rsid w:val="006F7946"/>
    <w:rsid w:val="00722A87"/>
    <w:rsid w:val="00843BE4"/>
    <w:rsid w:val="00856B24"/>
    <w:rsid w:val="00857D85"/>
    <w:rsid w:val="009634CE"/>
    <w:rsid w:val="00A57A5B"/>
    <w:rsid w:val="00A67303"/>
    <w:rsid w:val="00A91B77"/>
    <w:rsid w:val="00AA07D6"/>
    <w:rsid w:val="00AA7E08"/>
    <w:rsid w:val="00AB3299"/>
    <w:rsid w:val="00B30F60"/>
    <w:rsid w:val="00B92AC3"/>
    <w:rsid w:val="00C13AEE"/>
    <w:rsid w:val="00C76F5C"/>
    <w:rsid w:val="00CE1132"/>
    <w:rsid w:val="00DC425A"/>
    <w:rsid w:val="00E5264E"/>
    <w:rsid w:val="00FA6AB0"/>
    <w:rsid w:val="00FB3E03"/>
    <w:rsid w:val="00FB599D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9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">
    <w:name w:val="Light Grid"/>
    <w:basedOn w:val="TableNormal"/>
    <w:uiPriority w:val="62"/>
    <w:rsid w:val="00AB329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0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0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9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">
    <w:name w:val="Light Grid"/>
    <w:basedOn w:val="TableNormal"/>
    <w:uiPriority w:val="62"/>
    <w:rsid w:val="00AB329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7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0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0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Mayo Clinic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Debra A Kirtz</cp:lastModifiedBy>
  <cp:revision>4</cp:revision>
  <dcterms:created xsi:type="dcterms:W3CDTF">2017-04-27T14:36:00Z</dcterms:created>
  <dcterms:modified xsi:type="dcterms:W3CDTF">2017-04-28T17:08:00Z</dcterms:modified>
</cp:coreProperties>
</file>