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  <w:proofErr w:type="gramStart"/>
      <w:r w:rsidRPr="001D09ED">
        <w:rPr>
          <w:b/>
          <w:szCs w:val="24"/>
        </w:rPr>
        <w:t>APPENDIX.</w:t>
      </w:r>
      <w:proofErr w:type="gramEnd"/>
      <w:r w:rsidRPr="001D09ED">
        <w:rPr>
          <w:b/>
          <w:szCs w:val="24"/>
        </w:rPr>
        <w:t xml:space="preserve"> Propensity score analysis results</w:t>
      </w: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  <w:r w:rsidRPr="001D09ED">
        <w:rPr>
          <w:b/>
          <w:szCs w:val="24"/>
        </w:rPr>
        <w:t>Table A1.</w:t>
      </w:r>
      <w:r w:rsidRPr="001D09ED">
        <w:rPr>
          <w:szCs w:val="24"/>
        </w:rPr>
        <w:t xml:space="preserve"> Standardized differences in covariates between groups in the unmatched (original sample) and matched sample (based on propensity scores)</w:t>
      </w:r>
    </w:p>
    <w:tbl>
      <w:tblPr>
        <w:tblW w:w="6940" w:type="dxa"/>
        <w:tblInd w:w="93" w:type="dxa"/>
        <w:tblLook w:val="04A0" w:firstRow="1" w:lastRow="0" w:firstColumn="1" w:lastColumn="0" w:noHBand="0" w:noVBand="1"/>
      </w:tblPr>
      <w:tblGrid>
        <w:gridCol w:w="4060"/>
        <w:gridCol w:w="1440"/>
        <w:gridCol w:w="1440"/>
      </w:tblGrid>
      <w:tr w:rsidR="001D09ED" w:rsidRPr="001D09ED" w:rsidTr="002E259A">
        <w:trPr>
          <w:trHeight w:val="585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Unmatched (n=117,269)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Matched (n=19,976)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PATIENT DEMOGRAPHICS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 xml:space="preserve">Age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0.0185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Gender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0.0073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Race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0.0571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HEALTHCARE RELATED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Insurance Type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0.0368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Location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0.0127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Size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0.2220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0.0571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Teaching Status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0.1193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0.0191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# of Annual Spine Procedures*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0.1109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0.0608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PROCEDURE RELATED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Year of Procedure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0.8082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0.1575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ANESTHESIA/ANALGESIA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PCA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0.0048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NSAID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0.0588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0.0132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0.0348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0.0135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Cox-2 Inhibitor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0.1188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0.0116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0.1440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0.0531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Ketamine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0.1056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0.0171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0.0323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Pregabalin/Gabapentin 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0.0991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0.0226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0.0985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0.0067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COMORBIDITIES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Charlson Comorbidity Index (categorized)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0.0222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0.0396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History of Substance Use/Abuse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0.0116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Pain Conditions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0.0130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0.0047</w:t>
            </w:r>
          </w:p>
        </w:tc>
      </w:tr>
      <w:tr w:rsidR="00272F3F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Psychiatric Comorbidities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0.0390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right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0.0067</w:t>
            </w:r>
          </w:p>
        </w:tc>
      </w:tr>
    </w:tbl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  <w:r w:rsidRPr="001D09ED">
        <w:br w:type="page"/>
      </w:r>
      <w:proofErr w:type="gramStart"/>
      <w:r w:rsidRPr="001D09ED">
        <w:rPr>
          <w:b/>
          <w:szCs w:val="24"/>
        </w:rPr>
        <w:lastRenderedPageBreak/>
        <w:t>APPENDIX.</w:t>
      </w:r>
      <w:proofErr w:type="gramEnd"/>
      <w:r w:rsidRPr="001D09ED">
        <w:rPr>
          <w:b/>
          <w:szCs w:val="24"/>
        </w:rPr>
        <w:t xml:space="preserve"> Propensity score analysis results</w:t>
      </w: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  <w:r w:rsidRPr="001D09ED">
        <w:rPr>
          <w:b/>
          <w:szCs w:val="24"/>
        </w:rPr>
        <w:t>Table A2.</w:t>
      </w:r>
      <w:r w:rsidRPr="001D09ED">
        <w:rPr>
          <w:szCs w:val="24"/>
        </w:rPr>
        <w:t xml:space="preserve"> Prevalence of study variables by ivAPAP use in the matched sample (based on propensity scores)</w:t>
      </w: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4060"/>
        <w:gridCol w:w="751"/>
        <w:gridCol w:w="1091"/>
        <w:gridCol w:w="907"/>
        <w:gridCol w:w="1091"/>
      </w:tblGrid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ivAPAP Use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Yes (n=4,994)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No (n=14,982)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%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PATIENT DEMOGRAPHICS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Age 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52-70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51-70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Gender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Female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2,838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56.8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8,568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57.2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Male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2,156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43.2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6,414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42.8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Race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White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3,811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76.3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11,369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75.9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Black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1,189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7.9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Hispanic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Other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770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2,411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16.1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HEALTHCARE RELATED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Insurance Type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Commercial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1,950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39.0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5,781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38.6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Medicaid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4.9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Medicare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2,325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46.6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6,926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46.2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Uninsured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Unknown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9.0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1,434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9.6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Location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Rural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1,527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10.2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Urban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4,504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90.2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13,455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89.8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Size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&lt;300 beds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1,160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23.2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3,805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25.4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300-499 beds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1,703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34.1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4,796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32.0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u w:val="single"/>
              </w:rPr>
            </w:pPr>
            <w:r w:rsidRPr="001D09ED">
              <w:rPr>
                <w:rFonts w:eastAsia="Times New Roman"/>
                <w:b/>
                <w:bCs/>
                <w:sz w:val="22"/>
                <w:u w:val="single"/>
              </w:rPr>
              <w:t>&gt;</w:t>
            </w:r>
            <w:r w:rsidRPr="001D09ED">
              <w:rPr>
                <w:rFonts w:eastAsia="Times New Roman"/>
                <w:b/>
                <w:bCs/>
                <w:sz w:val="22"/>
              </w:rPr>
              <w:t>500 beds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2,131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42.7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6,381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42.6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Hospital Teaching Status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Non-Teaching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2,633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52.7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8,042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53.7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Teaching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2,361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47.3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6,940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46.3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# of Annual Spine Procedures*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101-270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181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103-292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PROCEDURE RELATED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Year of Procedure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2011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790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2,245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15.0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2012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1,472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29.5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4,785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31.9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2013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1,212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4,324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28.9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2014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1,520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3,628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24.2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ANESTHESIA/ANALGESIA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lastRenderedPageBreak/>
              <w:t>PCA 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1,238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3,745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25.0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NSAID 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685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13.7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1,999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13.3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627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12.6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1,825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12.2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Cox-2 Inhibitor 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158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498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3.3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3.0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Ketamine 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255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715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4.8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0.2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Pregabalin/Gabapentin 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2,957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19.7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Day 1+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1,241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24.9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3,756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25.1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IV Acetaminophen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POD 0, 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>1</w:t>
            </w:r>
            <w:r>
              <w:rPr>
                <w:rFonts w:eastAsia="Times New Roman"/>
                <w:b/>
                <w:bCs/>
                <w:sz w:val="22"/>
              </w:rPr>
              <w:t xml:space="preserve">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3,750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75.1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>POD 0</w:t>
            </w:r>
            <w:r>
              <w:rPr>
                <w:rFonts w:eastAsia="Times New Roman"/>
                <w:b/>
                <w:bCs/>
                <w:sz w:val="22"/>
              </w:rPr>
              <w:t xml:space="preserve">, 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>&gt;1</w:t>
            </w:r>
            <w:r>
              <w:rPr>
                <w:rFonts w:eastAsia="Times New Roman"/>
                <w:b/>
                <w:bCs/>
                <w:sz w:val="22"/>
              </w:rPr>
              <w:t xml:space="preserve">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810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16.2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AA3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POD </w:t>
            </w:r>
            <w:r>
              <w:rPr>
                <w:rFonts w:eastAsia="Times New Roman"/>
                <w:b/>
                <w:bCs/>
                <w:sz w:val="22"/>
              </w:rPr>
              <w:t xml:space="preserve">1, 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>1</w:t>
            </w:r>
            <w:r>
              <w:rPr>
                <w:rFonts w:eastAsia="Times New Roman"/>
                <w:b/>
                <w:bCs/>
                <w:sz w:val="22"/>
              </w:rPr>
              <w:t xml:space="preserve">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386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</w:rPr>
              <w:t xml:space="preserve">POD 1, 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>&gt;1</w:t>
            </w:r>
            <w:r>
              <w:rPr>
                <w:rFonts w:eastAsia="Times New Roman"/>
                <w:b/>
                <w:bCs/>
                <w:sz w:val="22"/>
              </w:rPr>
              <w:t xml:space="preserve">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629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12.6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AA3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AA3462">
              <w:rPr>
                <w:rFonts w:eastAsia="Times New Roman"/>
                <w:b/>
                <w:bCs/>
                <w:sz w:val="22"/>
              </w:rPr>
              <w:t>POD 1+, ≥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>1</w:t>
            </w:r>
            <w:r>
              <w:rPr>
                <w:rFonts w:eastAsia="Times New Roman"/>
                <w:b/>
                <w:bCs/>
                <w:sz w:val="22"/>
              </w:rPr>
              <w:t xml:space="preserve"> dose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-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2"/>
              </w:rPr>
            </w:pPr>
            <w:r w:rsidRPr="001D09ED">
              <w:rPr>
                <w:rFonts w:eastAsia="Times New Roman"/>
                <w:b/>
                <w:bCs/>
                <w:i/>
                <w:iCs/>
                <w:sz w:val="22"/>
              </w:rPr>
              <w:t>COMORBIDITIES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Charlson Comorbidity Index (categorized)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3,679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73.7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11,033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73.6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904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2,852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19.0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269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5.4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706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4.7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2+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142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391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2.6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History of Substance Use/Abuse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824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16.5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2,471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16.5</w:t>
            </w:r>
          </w:p>
        </w:tc>
      </w:tr>
      <w:tr w:rsidR="001D09ED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Pain Conditions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4,957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99.3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14,877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99.3</w:t>
            </w:r>
          </w:p>
        </w:tc>
      </w:tr>
      <w:tr w:rsidR="00272F3F" w:rsidRPr="001D09ED" w:rsidTr="002E259A">
        <w:trPr>
          <w:trHeight w:val="30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Psychiatric Comorbidities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1,160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23.2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3,507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23.4</w:t>
            </w:r>
          </w:p>
        </w:tc>
      </w:tr>
    </w:tbl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</w:p>
    <w:p w:rsidR="00272F3F" w:rsidRPr="001D09ED" w:rsidRDefault="00272F3F" w:rsidP="00272F3F">
      <w:r w:rsidRPr="001D09ED">
        <w:br w:type="page"/>
      </w: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</w:p>
    <w:p w:rsidR="00272F3F" w:rsidRPr="001D09ED" w:rsidRDefault="00272F3F" w:rsidP="00272F3F">
      <w:pPr>
        <w:pStyle w:val="NoSpacing"/>
        <w:spacing w:line="276" w:lineRule="auto"/>
      </w:pPr>
      <w:proofErr w:type="gramStart"/>
      <w:r w:rsidRPr="001D09ED">
        <w:rPr>
          <w:b/>
        </w:rPr>
        <w:t>APPENDIX.</w:t>
      </w:r>
      <w:proofErr w:type="gramEnd"/>
      <w:r w:rsidRPr="001D09ED">
        <w:t xml:space="preserve"> Propensity score analysis results</w:t>
      </w:r>
    </w:p>
    <w:p w:rsidR="00272F3F" w:rsidRPr="001D09ED" w:rsidRDefault="00272F3F" w:rsidP="00272F3F">
      <w:pPr>
        <w:pStyle w:val="NoSpacing"/>
        <w:spacing w:line="276" w:lineRule="auto"/>
      </w:pPr>
      <w:r w:rsidRPr="001D09ED">
        <w:rPr>
          <w:b/>
        </w:rPr>
        <w:t>Table A3.</w:t>
      </w:r>
      <w:r w:rsidRPr="001D09ED">
        <w:t xml:space="preserve"> Final results from propensity score analysis showing the association between </w:t>
      </w:r>
      <w:r w:rsidR="00AA3462">
        <w:t xml:space="preserve">any </w:t>
      </w:r>
      <w:proofErr w:type="spellStart"/>
      <w:r w:rsidRPr="001D09ED">
        <w:t>ivAPAP</w:t>
      </w:r>
      <w:proofErr w:type="spellEnd"/>
      <w:r w:rsidRPr="001D09ED">
        <w:t xml:space="preserve"> use</w:t>
      </w:r>
      <w:r w:rsidR="00AA3462">
        <w:t xml:space="preserve"> during hospitalization</w:t>
      </w:r>
      <w:bookmarkStart w:id="0" w:name="_GoBack"/>
      <w:bookmarkEnd w:id="0"/>
      <w:r w:rsidRPr="001D09ED">
        <w:t xml:space="preserve"> and opioid prescription (in oral morphine equivalents), length and cost of hospitalization and opioid related adverse outcomes; odds ratios for binary variables and for continuous outcomes </w:t>
      </w:r>
      <w:proofErr w:type="spellStart"/>
      <w:r w:rsidRPr="001D09ED">
        <w:t>exponentiated</w:t>
      </w:r>
      <w:proofErr w:type="spellEnd"/>
      <w:r w:rsidRPr="001D09ED">
        <w:t xml:space="preserve"> coefficients from the log model depicting % change compared to reference (= no ivAPAP use).</w:t>
      </w:r>
    </w:p>
    <w:p w:rsidR="00272F3F" w:rsidRPr="001D09ED" w:rsidRDefault="00272F3F" w:rsidP="00272F3F">
      <w:pPr>
        <w:pStyle w:val="NoSpacing"/>
        <w:spacing w:line="276" w:lineRule="auto"/>
      </w:pPr>
    </w:p>
    <w:tbl>
      <w:tblPr>
        <w:tblW w:w="6855" w:type="dxa"/>
        <w:tblInd w:w="93" w:type="dxa"/>
        <w:tblLook w:val="04A0" w:firstRow="1" w:lastRow="0" w:firstColumn="1" w:lastColumn="0" w:noHBand="0" w:noVBand="1"/>
      </w:tblPr>
      <w:tblGrid>
        <w:gridCol w:w="3780"/>
        <w:gridCol w:w="3075"/>
      </w:tblGrid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AA3462" w:rsidP="00AA346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AA3462">
              <w:rPr>
                <w:rFonts w:eastAsia="Times New Roman"/>
                <w:b/>
                <w:bCs/>
                <w:sz w:val="22"/>
              </w:rPr>
              <w:t>Any</w:t>
            </w:r>
            <w:r>
              <w:rPr>
                <w:rFonts w:eastAsia="Times New Roman"/>
                <w:b/>
                <w:bCs/>
                <w:sz w:val="22"/>
              </w:rPr>
              <w:t xml:space="preserve"> u</w:t>
            </w:r>
            <w:r w:rsidR="00272F3F" w:rsidRPr="001D09ED">
              <w:rPr>
                <w:rFonts w:eastAsia="Times New Roman"/>
                <w:b/>
                <w:bCs/>
                <w:sz w:val="22"/>
              </w:rPr>
              <w:t xml:space="preserve">se of </w:t>
            </w:r>
            <w:proofErr w:type="spellStart"/>
            <w:r w:rsidR="00272F3F" w:rsidRPr="001D09ED">
              <w:rPr>
                <w:rFonts w:eastAsia="Times New Roman"/>
                <w:b/>
                <w:bCs/>
                <w:sz w:val="22"/>
              </w:rPr>
              <w:t>ivAPAP</w:t>
            </w:r>
            <w:proofErr w:type="spellEnd"/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[reference= No ivAPAP use]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Total Opioid Prescription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8.9% (6.5; 11.4%)*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Length of Hospital Stay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3.8% (2.0; 5.6%)*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Cost of Hospitalization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4.4% (2.7; 6.2%)*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Respiratory Complications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1.05 (0.85; 1.29)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Gastrointestinal Complications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1.37 (1.16; 1.61)*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Genitourinary Complications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1.32 (1.09; 1.59)*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Central Nervous System Complications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1.04 (0.75; 1.43)</w:t>
            </w:r>
          </w:p>
        </w:tc>
      </w:tr>
      <w:tr w:rsidR="001D09ED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Other Complications**</w:t>
            </w: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1.12 (0.88; 1.43)</w:t>
            </w:r>
          </w:p>
        </w:tc>
      </w:tr>
      <w:tr w:rsidR="00272F3F" w:rsidRPr="001D09ED" w:rsidTr="002E259A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rPr>
                <w:rFonts w:eastAsia="Times New Roman"/>
                <w:b/>
                <w:bCs/>
                <w:sz w:val="22"/>
              </w:rPr>
            </w:pPr>
            <w:r w:rsidRPr="001D09ED">
              <w:rPr>
                <w:rFonts w:eastAsia="Times New Roman"/>
                <w:b/>
                <w:bCs/>
                <w:sz w:val="22"/>
              </w:rPr>
              <w:t>Naloxone Use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2F3F" w:rsidRPr="001D09ED" w:rsidRDefault="00272F3F" w:rsidP="002E259A">
            <w:pPr>
              <w:spacing w:after="0" w:line="240" w:lineRule="auto"/>
              <w:jc w:val="center"/>
              <w:rPr>
                <w:rFonts w:eastAsia="Times New Roman"/>
                <w:sz w:val="22"/>
              </w:rPr>
            </w:pPr>
            <w:r w:rsidRPr="001D09ED">
              <w:rPr>
                <w:rFonts w:eastAsia="Times New Roman"/>
                <w:sz w:val="22"/>
              </w:rPr>
              <w:t>1.19 (0.96; 1.48)</w:t>
            </w:r>
          </w:p>
        </w:tc>
      </w:tr>
    </w:tbl>
    <w:p w:rsidR="00272F3F" w:rsidRPr="001D09ED" w:rsidRDefault="00272F3F" w:rsidP="00272F3F">
      <w:pPr>
        <w:pStyle w:val="NoSpacing"/>
        <w:spacing w:line="276" w:lineRule="auto"/>
      </w:pPr>
    </w:p>
    <w:p w:rsidR="00272F3F" w:rsidRPr="001D09ED" w:rsidRDefault="00272F3F" w:rsidP="00272F3F">
      <w:pPr>
        <w:pStyle w:val="NoSpacing"/>
        <w:spacing w:line="276" w:lineRule="auto"/>
        <w:rPr>
          <w:szCs w:val="24"/>
        </w:rPr>
      </w:pPr>
      <w:r w:rsidRPr="001D09ED">
        <w:rPr>
          <w:szCs w:val="24"/>
        </w:rPr>
        <w:t>*P&lt;0.05</w:t>
      </w:r>
    </w:p>
    <w:p w:rsidR="00272F3F" w:rsidRPr="001D09ED" w:rsidRDefault="00272F3F" w:rsidP="00272F3F">
      <w:pPr>
        <w:pStyle w:val="NoSpacing"/>
        <w:spacing w:line="276" w:lineRule="auto"/>
      </w:pPr>
      <w:r w:rsidRPr="001D09ED">
        <w:rPr>
          <w:szCs w:val="24"/>
        </w:rPr>
        <w:t>**"Other" includes postoperative bradycardia, rash or itching, fall from bed, or "drugs causing adverse effects with therapeutic use</w:t>
      </w:r>
    </w:p>
    <w:p w:rsidR="00183761" w:rsidRPr="001D09ED" w:rsidRDefault="00183761"/>
    <w:sectPr w:rsidR="00183761" w:rsidRPr="001D09ED" w:rsidSect="00E00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F"/>
    <w:rsid w:val="00183761"/>
    <w:rsid w:val="001D09ED"/>
    <w:rsid w:val="00272F3F"/>
    <w:rsid w:val="00A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3F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3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F3F"/>
    <w:pPr>
      <w:spacing w:line="48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F3F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jashvant</dc:creator>
  <cp:lastModifiedBy>v.j.j.poeran</cp:lastModifiedBy>
  <cp:revision>3</cp:revision>
  <dcterms:created xsi:type="dcterms:W3CDTF">2017-12-13T21:33:00Z</dcterms:created>
  <dcterms:modified xsi:type="dcterms:W3CDTF">2018-01-05T04:20:00Z</dcterms:modified>
</cp:coreProperties>
</file>