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BD" w:rsidRDefault="00BD4FBD" w:rsidP="00BD4FBD">
      <w:pPr>
        <w:ind w:firstLine="720"/>
      </w:pPr>
      <w:r>
        <w:rPr>
          <w:rFonts w:ascii="Times New Roman" w:hAnsi="Times New Roman" w:cs="Times New Roman"/>
          <w:b/>
          <w:iCs/>
          <w:sz w:val="20"/>
          <w:szCs w:val="20"/>
        </w:rPr>
        <w:t xml:space="preserve">Supplemental </w:t>
      </w:r>
      <w:bookmarkStart w:id="0" w:name="_GoBack"/>
      <w:bookmarkEnd w:id="0"/>
      <w:r w:rsidRPr="00AC3493">
        <w:rPr>
          <w:rFonts w:ascii="Times New Roman" w:hAnsi="Times New Roman" w:cs="Times New Roman"/>
          <w:b/>
          <w:iCs/>
          <w:sz w:val="20"/>
          <w:szCs w:val="20"/>
        </w:rPr>
        <w:t>Table 1</w:t>
      </w:r>
      <w:r w:rsidRPr="00AC3493">
        <w:rPr>
          <w:rFonts w:ascii="Times New Roman" w:hAnsi="Times New Roman" w:cs="Times New Roman"/>
          <w:iCs/>
          <w:sz w:val="20"/>
          <w:szCs w:val="20"/>
        </w:rPr>
        <w:t>: Patient characteristics summarized according to time from PCI to NCS</w:t>
      </w:r>
    </w:p>
    <w:tbl>
      <w:tblPr>
        <w:tblW w:w="0" w:type="auto"/>
        <w:jc w:val="center"/>
        <w:tblCellMar>
          <w:left w:w="0" w:type="dxa"/>
          <w:right w:w="0" w:type="dxa"/>
        </w:tblCellMar>
        <w:tblLook w:val="0000" w:firstRow="0" w:lastRow="0" w:firstColumn="0" w:lastColumn="0" w:noHBand="0" w:noVBand="0"/>
      </w:tblPr>
      <w:tblGrid>
        <w:gridCol w:w="4223"/>
        <w:gridCol w:w="825"/>
        <w:gridCol w:w="969"/>
        <w:gridCol w:w="825"/>
        <w:gridCol w:w="969"/>
        <w:gridCol w:w="825"/>
        <w:gridCol w:w="969"/>
        <w:gridCol w:w="825"/>
        <w:gridCol w:w="969"/>
        <w:gridCol w:w="928"/>
      </w:tblGrid>
      <w:tr w:rsidR="00BD4FBD" w:rsidRPr="00AC3493" w:rsidTr="0031279C">
        <w:trPr>
          <w:cantSplit/>
          <w:tblHeader/>
          <w:jc w:val="center"/>
        </w:trPr>
        <w:tc>
          <w:tcPr>
            <w:tcW w:w="4223" w:type="dxa"/>
            <w:tcBorders>
              <w:top w:val="single" w:sz="4" w:space="0" w:color="000000"/>
              <w:left w:val="nil"/>
              <w:bottom w:val="single" w:sz="2" w:space="0" w:color="000000"/>
              <w:right w:val="nil"/>
            </w:tcBorders>
            <w:shd w:val="clear" w:color="auto" w:fill="FFFFFF"/>
            <w:tcMar>
              <w:left w:w="67" w:type="dxa"/>
              <w:right w:w="67" w:type="dxa"/>
            </w:tcMar>
            <w:vAlign w:val="bottom"/>
          </w:tcPr>
          <w:p w:rsidR="00BD4FBD" w:rsidRPr="00AC3493" w:rsidRDefault="00BD4FBD" w:rsidP="0031279C">
            <w:pPr>
              <w:keepNext/>
              <w:adjustRightInd w:val="0"/>
              <w:spacing w:before="67" w:after="67"/>
              <w:jc w:val="center"/>
              <w:rPr>
                <w:rFonts w:ascii="Times New Roman" w:hAnsi="Times New Roman" w:cs="Times New Roman"/>
                <w:i/>
                <w:iCs/>
                <w:sz w:val="20"/>
                <w:szCs w:val="20"/>
              </w:rPr>
            </w:pPr>
          </w:p>
        </w:tc>
        <w:tc>
          <w:tcPr>
            <w:tcW w:w="1794" w:type="dxa"/>
            <w:gridSpan w:val="2"/>
            <w:tcBorders>
              <w:top w:val="single" w:sz="4" w:space="0" w:color="000000"/>
              <w:left w:val="nil"/>
              <w:bottom w:val="single" w:sz="2" w:space="0" w:color="000000"/>
              <w:right w:val="nil"/>
            </w:tcBorders>
            <w:shd w:val="clear" w:color="auto" w:fill="FFFFFF"/>
            <w:tcMar>
              <w:left w:w="67" w:type="dxa"/>
              <w:right w:w="67" w:type="dxa"/>
            </w:tcMar>
            <w:vAlign w:val="bottom"/>
          </w:tcPr>
          <w:p w:rsidR="00BD4FBD" w:rsidRPr="00AC3493" w:rsidRDefault="00BD4FBD" w:rsidP="0031279C">
            <w:pPr>
              <w:keepNext/>
              <w:adjustRightInd w:val="0"/>
              <w:spacing w:before="67" w:after="67"/>
              <w:jc w:val="center"/>
              <w:rPr>
                <w:rFonts w:ascii="Times New Roman" w:hAnsi="Times New Roman" w:cs="Times New Roman"/>
                <w:i/>
                <w:iCs/>
                <w:sz w:val="20"/>
                <w:szCs w:val="20"/>
              </w:rPr>
            </w:pPr>
            <w:r w:rsidRPr="00AC3493">
              <w:rPr>
                <w:rFonts w:ascii="Times New Roman" w:hAnsi="Times New Roman" w:cs="Times New Roman"/>
                <w:i/>
                <w:iCs/>
                <w:sz w:val="20"/>
                <w:szCs w:val="20"/>
              </w:rPr>
              <w:t>0-90 days</w:t>
            </w:r>
            <w:r w:rsidRPr="00AC3493">
              <w:rPr>
                <w:rFonts w:ascii="Times New Roman" w:hAnsi="Times New Roman" w:cs="Times New Roman"/>
                <w:i/>
                <w:iCs/>
                <w:sz w:val="20"/>
                <w:szCs w:val="20"/>
              </w:rPr>
              <w:br/>
              <w:t>(N=41)</w:t>
            </w:r>
          </w:p>
        </w:tc>
        <w:tc>
          <w:tcPr>
            <w:tcW w:w="1794" w:type="dxa"/>
            <w:gridSpan w:val="2"/>
            <w:tcBorders>
              <w:top w:val="single" w:sz="4" w:space="0" w:color="000000"/>
              <w:left w:val="nil"/>
              <w:bottom w:val="single" w:sz="2" w:space="0" w:color="000000"/>
              <w:right w:val="nil"/>
            </w:tcBorders>
            <w:shd w:val="clear" w:color="auto" w:fill="FFFFFF"/>
            <w:tcMar>
              <w:left w:w="67" w:type="dxa"/>
              <w:right w:w="67" w:type="dxa"/>
            </w:tcMar>
            <w:vAlign w:val="bottom"/>
          </w:tcPr>
          <w:p w:rsidR="00BD4FBD" w:rsidRPr="00AC3493" w:rsidRDefault="00BD4FBD" w:rsidP="0031279C">
            <w:pPr>
              <w:keepNext/>
              <w:adjustRightInd w:val="0"/>
              <w:spacing w:before="67" w:after="67"/>
              <w:jc w:val="center"/>
              <w:rPr>
                <w:rFonts w:ascii="Times New Roman" w:hAnsi="Times New Roman" w:cs="Times New Roman"/>
                <w:i/>
                <w:iCs/>
                <w:sz w:val="20"/>
                <w:szCs w:val="20"/>
              </w:rPr>
            </w:pPr>
            <w:r w:rsidRPr="00AC3493">
              <w:rPr>
                <w:rFonts w:ascii="Times New Roman" w:hAnsi="Times New Roman" w:cs="Times New Roman"/>
                <w:i/>
                <w:iCs/>
                <w:sz w:val="20"/>
                <w:szCs w:val="20"/>
              </w:rPr>
              <w:t>91-180 days</w:t>
            </w:r>
            <w:r w:rsidRPr="00AC3493">
              <w:rPr>
                <w:rFonts w:ascii="Times New Roman" w:hAnsi="Times New Roman" w:cs="Times New Roman"/>
                <w:i/>
                <w:iCs/>
                <w:sz w:val="20"/>
                <w:szCs w:val="20"/>
              </w:rPr>
              <w:br/>
              <w:t>(N=30)</w:t>
            </w:r>
          </w:p>
        </w:tc>
        <w:tc>
          <w:tcPr>
            <w:tcW w:w="1794" w:type="dxa"/>
            <w:gridSpan w:val="2"/>
            <w:tcBorders>
              <w:top w:val="single" w:sz="4" w:space="0" w:color="000000"/>
              <w:left w:val="nil"/>
              <w:bottom w:val="single" w:sz="2" w:space="0" w:color="000000"/>
              <w:right w:val="nil"/>
            </w:tcBorders>
            <w:shd w:val="clear" w:color="auto" w:fill="FFFFFF"/>
            <w:tcMar>
              <w:left w:w="67" w:type="dxa"/>
              <w:right w:w="67" w:type="dxa"/>
            </w:tcMar>
            <w:vAlign w:val="bottom"/>
          </w:tcPr>
          <w:p w:rsidR="00BD4FBD" w:rsidRPr="00AC3493" w:rsidRDefault="00BD4FBD" w:rsidP="0031279C">
            <w:pPr>
              <w:keepNext/>
              <w:adjustRightInd w:val="0"/>
              <w:spacing w:before="67" w:after="67"/>
              <w:jc w:val="center"/>
              <w:rPr>
                <w:rFonts w:ascii="Times New Roman" w:hAnsi="Times New Roman" w:cs="Times New Roman"/>
                <w:i/>
                <w:iCs/>
                <w:sz w:val="20"/>
                <w:szCs w:val="20"/>
              </w:rPr>
            </w:pPr>
            <w:r w:rsidRPr="00AC3493">
              <w:rPr>
                <w:rFonts w:ascii="Times New Roman" w:hAnsi="Times New Roman" w:cs="Times New Roman"/>
                <w:i/>
                <w:iCs/>
                <w:sz w:val="20"/>
                <w:szCs w:val="20"/>
              </w:rPr>
              <w:t>181-365 days</w:t>
            </w:r>
            <w:r w:rsidRPr="00AC3493">
              <w:rPr>
                <w:rFonts w:ascii="Times New Roman" w:hAnsi="Times New Roman" w:cs="Times New Roman"/>
                <w:i/>
                <w:iCs/>
                <w:sz w:val="20"/>
                <w:szCs w:val="20"/>
              </w:rPr>
              <w:br/>
              <w:t>(N=51)</w:t>
            </w:r>
          </w:p>
        </w:tc>
        <w:tc>
          <w:tcPr>
            <w:tcW w:w="1794" w:type="dxa"/>
            <w:gridSpan w:val="2"/>
            <w:tcBorders>
              <w:top w:val="single" w:sz="4" w:space="0" w:color="000000"/>
              <w:left w:val="nil"/>
              <w:bottom w:val="single" w:sz="2" w:space="0" w:color="000000"/>
              <w:right w:val="nil"/>
            </w:tcBorders>
            <w:shd w:val="clear" w:color="auto" w:fill="FFFFFF"/>
            <w:tcMar>
              <w:left w:w="67" w:type="dxa"/>
              <w:right w:w="67" w:type="dxa"/>
            </w:tcMar>
            <w:vAlign w:val="bottom"/>
          </w:tcPr>
          <w:p w:rsidR="00BD4FBD" w:rsidRPr="00AC3493" w:rsidRDefault="00BD4FBD" w:rsidP="0031279C">
            <w:pPr>
              <w:keepNext/>
              <w:adjustRightInd w:val="0"/>
              <w:spacing w:before="67" w:after="67"/>
              <w:jc w:val="center"/>
              <w:rPr>
                <w:rFonts w:ascii="Times New Roman" w:hAnsi="Times New Roman" w:cs="Times New Roman"/>
                <w:i/>
                <w:iCs/>
                <w:sz w:val="20"/>
                <w:szCs w:val="20"/>
              </w:rPr>
            </w:pPr>
            <w:r w:rsidRPr="00AC3493">
              <w:rPr>
                <w:rFonts w:ascii="Times New Roman" w:hAnsi="Times New Roman" w:cs="Times New Roman"/>
                <w:i/>
                <w:iCs/>
                <w:sz w:val="20"/>
                <w:szCs w:val="20"/>
              </w:rPr>
              <w:t>≥ 366 days</w:t>
            </w:r>
            <w:r w:rsidRPr="00AC3493">
              <w:rPr>
                <w:rFonts w:ascii="Times New Roman" w:hAnsi="Times New Roman" w:cs="Times New Roman"/>
                <w:i/>
                <w:iCs/>
                <w:sz w:val="20"/>
                <w:szCs w:val="20"/>
              </w:rPr>
              <w:br/>
              <w:t>(N=160)</w:t>
            </w:r>
          </w:p>
        </w:tc>
        <w:tc>
          <w:tcPr>
            <w:tcW w:w="928" w:type="dxa"/>
            <w:tcBorders>
              <w:top w:val="single" w:sz="4" w:space="0" w:color="000000"/>
              <w:left w:val="nil"/>
              <w:bottom w:val="single" w:sz="2" w:space="0" w:color="000000"/>
              <w:right w:val="nil"/>
            </w:tcBorders>
            <w:shd w:val="clear" w:color="auto" w:fill="FFFFFF"/>
            <w:tcMar>
              <w:left w:w="67" w:type="dxa"/>
              <w:right w:w="67" w:type="dxa"/>
            </w:tcMar>
            <w:vAlign w:val="bottom"/>
          </w:tcPr>
          <w:p w:rsidR="00BD4FBD" w:rsidRPr="00AC3493" w:rsidRDefault="00BD4FBD" w:rsidP="0031279C">
            <w:pPr>
              <w:keepNext/>
              <w:adjustRightInd w:val="0"/>
              <w:spacing w:before="67" w:after="67"/>
              <w:jc w:val="center"/>
              <w:rPr>
                <w:rFonts w:ascii="Times New Roman" w:hAnsi="Times New Roman" w:cs="Times New Roman"/>
                <w:sz w:val="20"/>
                <w:szCs w:val="20"/>
              </w:rPr>
            </w:pPr>
            <w:r w:rsidRPr="00AC3493">
              <w:rPr>
                <w:rFonts w:ascii="Times New Roman" w:hAnsi="Times New Roman" w:cs="Times New Roman"/>
                <w:i/>
                <w:iCs/>
                <w:sz w:val="20"/>
                <w:szCs w:val="20"/>
              </w:rPr>
              <w:t>P</w:t>
            </w:r>
            <w:r w:rsidRPr="00AC3493">
              <w:rPr>
                <w:rFonts w:ascii="Times New Roman" w:hAnsi="Times New Roman" w:cs="Times New Roman"/>
                <w:sz w:val="20"/>
                <w:szCs w:val="20"/>
              </w:rPr>
              <w:t xml:space="preserve"> Value*</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u w:val="single"/>
              </w:rPr>
            </w:pPr>
            <w:r w:rsidRPr="00AC3493">
              <w:rPr>
                <w:rFonts w:ascii="Times New Roman" w:hAnsi="Times New Roman" w:cs="Times New Roman"/>
                <w:sz w:val="20"/>
                <w:szCs w:val="20"/>
                <w:u w:val="single"/>
              </w:rPr>
              <w:t>Demographics and comorbidities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Gender</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0.28</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Male</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(65%)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125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(78%)</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Female</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(22%)</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Age at NCS (y)</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0.96</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55 and under</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(12%)</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56-65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(21%)</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66-75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62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(39%)</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76+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(28%)</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BMI (kg/m</w:t>
            </w:r>
            <w:r w:rsidRPr="00AC3493">
              <w:rPr>
                <w:rFonts w:ascii="Times New Roman" w:hAnsi="Times New Roman" w:cs="Times New Roman"/>
                <w:sz w:val="20"/>
                <w:szCs w:val="20"/>
                <w:vertAlign w:val="superscript"/>
              </w:rPr>
              <w:t>2</w:t>
            </w:r>
            <w:r w:rsidRPr="00AC3493">
              <w:rPr>
                <w:rFonts w:ascii="Times New Roman" w:hAnsi="Times New Roman" w:cs="Times New Roman"/>
                <w:sz w:val="20"/>
                <w:szCs w:val="20"/>
              </w:rPr>
              <w:t>)</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0.54</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20-24.9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(12%)</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25-29.9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(28%)</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30-34.9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(36%)</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35+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(24%)</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RCRI score</w:t>
            </w:r>
            <w:r w:rsidRPr="00AC3493">
              <w:rPr>
                <w:rFonts w:ascii="Times New Roman" w:hAnsi="Times New Roman" w:cs="Times New Roman"/>
                <w:sz w:val="20"/>
                <w:szCs w:val="20"/>
                <w:vertAlign w:val="superscript"/>
              </w:rPr>
              <w:t>1</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0.49</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1</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(36%)</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63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(39%)</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 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(25%)</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Current/prior smoker</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98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(61%)</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0.75</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History of cholesterol ≥ 240 mg/dl</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(31%)</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64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(40%)</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0.66</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lastRenderedPageBreak/>
              <w:t xml:space="preserve">  Diabetes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(51%)</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84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(53%)</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0.84</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Diabetes requiring insulin</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(18%)</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(25%)</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0.68</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Hypertension</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(98%)</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(98%)</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148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(93%)</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0.41</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Previous MI</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(66%)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78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(49%)</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0.11</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Previous CABG</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(31%)</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(21%)</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0.14</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History of CVA</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(14%)</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0.13</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History of CHF</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(11%)</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0.89</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Chronic kidney disease</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(18%)</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0.86</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Preoperative hemoglobin (g/dL)</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&lt;.001</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 9.9</w:t>
            </w:r>
            <w:r w:rsidRPr="00AC3493">
              <w:rPr>
                <w:rFonts w:ascii="Times New Roman" w:hAnsi="Times New Roman" w:cs="Times New Roman"/>
                <w:sz w:val="20"/>
                <w:szCs w:val="20"/>
                <w:vertAlign w:val="superscript"/>
              </w:rPr>
              <w:t>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10.0-11.9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(15%)</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 12.0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107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(78%)</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u w:val="single"/>
              </w:rPr>
            </w:pPr>
            <w:r w:rsidRPr="00AC3493">
              <w:rPr>
                <w:rFonts w:ascii="Times New Roman" w:hAnsi="Times New Roman" w:cs="Times New Roman"/>
                <w:sz w:val="20"/>
                <w:szCs w:val="20"/>
                <w:u w:val="single"/>
              </w:rPr>
              <w:t>Characteristics of PCI</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Indication</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0.05</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Elective</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78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(49%)</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Acute coronary syndrome</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(71%)</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82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(51%)</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Cardiogenic shock before PCI</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&lt;.001</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Number of stents placed</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0.033</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1</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(51%)</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98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(61%)</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(27%)</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lastRenderedPageBreak/>
              <w:t xml:space="preserve">      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Residual stenosis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0.37</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 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(88%)</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144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(90%)</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 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Successful PCI in all lesions</w:t>
            </w:r>
            <w:r w:rsidRPr="00AC3493">
              <w:rPr>
                <w:rFonts w:ascii="Times New Roman" w:hAnsi="Times New Roman" w:cs="Times New Roman"/>
                <w:sz w:val="20"/>
                <w:szCs w:val="20"/>
                <w:vertAlign w:val="superscript"/>
              </w:rPr>
              <w:t>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157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(98%)</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0.49</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u w:val="single"/>
              </w:rPr>
            </w:pPr>
            <w:r w:rsidRPr="00AC3493">
              <w:rPr>
                <w:rFonts w:ascii="Times New Roman" w:hAnsi="Times New Roman" w:cs="Times New Roman"/>
                <w:sz w:val="20"/>
                <w:szCs w:val="20"/>
                <w:u w:val="single"/>
              </w:rPr>
              <w:t>Anti-platelet therapy within 30 days of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Aspirin</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0.015</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Not used</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7-30 days prior to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within 7 days of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135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(84%)</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Clopidogrel</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&lt;.001</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Not used</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65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(41%)</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7-30 days prior to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(28%)</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within 7 days of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(65%)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(32%)</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Prasugrel</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1.00</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Not used</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158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(99%)</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7-30 days prior to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within 7 days of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Ticlopidine</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1.00</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Not used</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159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(99%)</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7-30 days prior to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lastRenderedPageBreak/>
              <w:t xml:space="preserve">      Used within 14 days of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Abciximab</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0.032</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Not used</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160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(100%)</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7-30 days prior to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within 7 days of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Eptifibatide</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&lt;.001</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Not used</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(66%)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(98%)</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160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(100%)</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7-30 days prior to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within 7 days of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Anti-platelet therapy</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0.058</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Not used</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7-30 days prior to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within 7 days of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138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(86%)</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trHeight w:val="351"/>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DAPT therapy within 7 days of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(65%)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(32%)</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&lt;.001</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Aspirin alone within 7 days of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84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(53%)</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&lt;.001</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u w:val="single"/>
              </w:rPr>
            </w:pPr>
            <w:r w:rsidRPr="00AC3493">
              <w:rPr>
                <w:rFonts w:ascii="Times New Roman" w:hAnsi="Times New Roman" w:cs="Times New Roman"/>
                <w:sz w:val="20"/>
                <w:szCs w:val="20"/>
                <w:u w:val="single"/>
              </w:rPr>
              <w:t>Anticoagulation use within 30 days of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Heparin</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&lt;.001</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Not used</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154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(96%)</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7-30 days prior to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within 7 days of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Coumadin</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0.75</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lastRenderedPageBreak/>
              <w:t xml:space="preserve">      Not used</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(68%)</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(78%)</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117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(73%)</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7-30 days prior to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(24%)</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within 7 days of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Any pre-operative anti-coagulation medication</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&lt;.001</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Not used</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116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(73%)</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7-30 days prior to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(25%)</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Used within 7 days of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Heparin bridging postoperatively</w:t>
            </w:r>
          </w:p>
          <w:p w:rsidR="00BD4FBD" w:rsidRPr="00AC3493" w:rsidRDefault="00BD4FBD" w:rsidP="0031279C">
            <w:pPr>
              <w:adjustRightInd w:val="0"/>
              <w:spacing w:before="67" w:after="67"/>
              <w:rPr>
                <w:rFonts w:ascii="Times New Roman" w:hAnsi="Times New Roman" w:cs="Times New Roman"/>
                <w:sz w:val="20"/>
                <w:szCs w:val="20"/>
                <w:u w:val="single"/>
              </w:rPr>
            </w:pPr>
            <w:r w:rsidRPr="00AC3493">
              <w:rPr>
                <w:rFonts w:ascii="Times New Roman" w:hAnsi="Times New Roman" w:cs="Times New Roman"/>
                <w:sz w:val="20"/>
                <w:szCs w:val="20"/>
                <w:u w:val="single"/>
              </w:rPr>
              <w:t>Other medications within 30 days of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(6%)</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0.034</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Beta-blockers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131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(82%)</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0.34</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CCB</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(29%)</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0.45</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ACEi/ARB</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77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(48%)</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0.014</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Statins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143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(89%)</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0.45</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u w:val="single"/>
              </w:rPr>
            </w:pPr>
            <w:r w:rsidRPr="00AC3493">
              <w:rPr>
                <w:rFonts w:ascii="Times New Roman" w:hAnsi="Times New Roman" w:cs="Times New Roman"/>
                <w:sz w:val="20"/>
                <w:szCs w:val="20"/>
                <w:u w:val="single"/>
              </w:rPr>
              <w:t>Characteristics of NCS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Procedure type</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0.19</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Orthopedic</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(24%)</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Vascular</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(18%)</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(14%)</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Intraperitoneal</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(18%)</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(13%)</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Neurosurgery</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Intrathoracic</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Head and neck</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lastRenderedPageBreak/>
              <w:t xml:space="preserve">      Urologic</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(6%)</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Other abdominal</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Cataract</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Plastics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(4%)</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Miscellaneous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Endoscopy</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Obstetrics/Gynecologic</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Breast</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Elevated risk procedures</w:t>
            </w:r>
            <w:r w:rsidRPr="00AC3493">
              <w:rPr>
                <w:rFonts w:ascii="Times New Roman" w:hAnsi="Times New Roman" w:cs="Times New Roman"/>
                <w:sz w:val="20"/>
                <w:szCs w:val="20"/>
                <w:vertAlign w:val="superscript"/>
              </w:rPr>
              <w:t>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(98%)</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143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(89%)</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0.08</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General anesthesia</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(68%)</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123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(77%)</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0.65</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ASA PS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0.30</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1-2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8</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(21%)</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3-5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(90%)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126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(79%)</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Emergent surgery</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(6%)</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(6%)</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0.001</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Length of surgery (min)</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&lt;.001</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0-29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(27%)</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(14%)</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(13%)</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30-59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(18%)</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27</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(17%)</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60-119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9</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(35%)</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120+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15</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(29%)</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56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(35%)</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center"/>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Estimated blood loss ≥ 1000 mL</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0.12</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u w:val="single"/>
              </w:rPr>
            </w:pPr>
            <w:r w:rsidRPr="00AC3493">
              <w:rPr>
                <w:rFonts w:ascii="Times New Roman" w:hAnsi="Times New Roman" w:cs="Times New Roman"/>
                <w:sz w:val="20"/>
                <w:szCs w:val="20"/>
                <w:u w:val="single"/>
              </w:rPr>
              <w:t>Perioperative transfusions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lastRenderedPageBreak/>
              <w:t xml:space="preserve">  RBCs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6</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13</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(8%)</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&lt;.001</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Platelets</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4</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0.07</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FFP</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0.51</w:t>
            </w:r>
          </w:p>
        </w:tc>
      </w:tr>
      <w:tr w:rsidR="00BD4FBD" w:rsidRPr="00AC3493" w:rsidTr="0031279C">
        <w:trPr>
          <w:cantSplit/>
          <w:jc w:val="center"/>
        </w:trPr>
        <w:tc>
          <w:tcPr>
            <w:tcW w:w="4223" w:type="dxa"/>
            <w:tcBorders>
              <w:top w:val="nil"/>
              <w:left w:val="nil"/>
              <w:bottom w:val="nil"/>
              <w:right w:val="nil"/>
            </w:tcBorders>
            <w:shd w:val="clear" w:color="auto" w:fill="FFFFFF"/>
            <w:tcMar>
              <w:left w:w="67" w:type="dxa"/>
              <w:right w:w="67" w:type="dxa"/>
            </w:tcMar>
          </w:tcPr>
          <w:p w:rsidR="00BD4FBD" w:rsidRPr="00AC3493" w:rsidRDefault="00BD4FBD" w:rsidP="0031279C">
            <w:pPr>
              <w:keepNext/>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Cryoprecipitate</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keepNext/>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keepNext/>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keepNext/>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keepNext/>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keepNext/>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keepNext/>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(0%)</w:t>
            </w:r>
          </w:p>
        </w:tc>
        <w:tc>
          <w:tcPr>
            <w:tcW w:w="825" w:type="dxa"/>
            <w:tcBorders>
              <w:top w:val="nil"/>
              <w:left w:val="nil"/>
              <w:bottom w:val="nil"/>
              <w:right w:val="nil"/>
            </w:tcBorders>
            <w:shd w:val="clear" w:color="auto" w:fill="FFFFFF"/>
            <w:tcMar>
              <w:left w:w="67" w:type="dxa"/>
              <w:right w:w="67" w:type="dxa"/>
            </w:tcMar>
          </w:tcPr>
          <w:p w:rsidR="00BD4FBD" w:rsidRPr="00AC3493" w:rsidRDefault="00BD4FBD" w:rsidP="0031279C">
            <w:pPr>
              <w:keepNext/>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nil"/>
              <w:right w:val="nil"/>
            </w:tcBorders>
            <w:shd w:val="clear" w:color="auto" w:fill="FFFFFF"/>
            <w:tcMar>
              <w:left w:w="67" w:type="dxa"/>
              <w:right w:w="67" w:type="dxa"/>
            </w:tcMar>
          </w:tcPr>
          <w:p w:rsidR="00BD4FBD" w:rsidRPr="00AC3493" w:rsidRDefault="00BD4FBD" w:rsidP="0031279C">
            <w:pPr>
              <w:keepNext/>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w:t>
            </w:r>
          </w:p>
        </w:tc>
        <w:tc>
          <w:tcPr>
            <w:tcW w:w="928" w:type="dxa"/>
            <w:tcBorders>
              <w:top w:val="nil"/>
              <w:left w:val="nil"/>
              <w:bottom w:val="nil"/>
              <w:right w:val="nil"/>
            </w:tcBorders>
            <w:shd w:val="clear" w:color="auto" w:fill="FFFFFF"/>
            <w:tcMar>
              <w:left w:w="67" w:type="dxa"/>
              <w:right w:w="67" w:type="dxa"/>
            </w:tcMar>
          </w:tcPr>
          <w:p w:rsidR="00BD4FBD" w:rsidRPr="00AC3493" w:rsidRDefault="00BD4FBD" w:rsidP="0031279C">
            <w:pPr>
              <w:keepNext/>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0.08</w:t>
            </w:r>
          </w:p>
        </w:tc>
      </w:tr>
      <w:tr w:rsidR="00BD4FBD" w:rsidRPr="00AC3493" w:rsidTr="0031279C">
        <w:trPr>
          <w:cantSplit/>
          <w:jc w:val="center"/>
        </w:trPr>
        <w:tc>
          <w:tcPr>
            <w:tcW w:w="4223" w:type="dxa"/>
            <w:tcBorders>
              <w:top w:val="nil"/>
              <w:left w:val="nil"/>
              <w:bottom w:val="single" w:sz="4" w:space="0" w:color="000000"/>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  Cell-saver</w:t>
            </w:r>
          </w:p>
        </w:tc>
        <w:tc>
          <w:tcPr>
            <w:tcW w:w="825" w:type="dxa"/>
            <w:tcBorders>
              <w:top w:val="nil"/>
              <w:left w:val="nil"/>
              <w:bottom w:val="single" w:sz="4" w:space="0" w:color="000000"/>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2</w:t>
            </w:r>
          </w:p>
        </w:tc>
        <w:tc>
          <w:tcPr>
            <w:tcW w:w="969" w:type="dxa"/>
            <w:tcBorders>
              <w:top w:val="nil"/>
              <w:left w:val="nil"/>
              <w:bottom w:val="single" w:sz="4" w:space="0" w:color="000000"/>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(5%)</w:t>
            </w:r>
          </w:p>
        </w:tc>
        <w:tc>
          <w:tcPr>
            <w:tcW w:w="825" w:type="dxa"/>
            <w:tcBorders>
              <w:top w:val="nil"/>
              <w:left w:val="nil"/>
              <w:bottom w:val="single" w:sz="4" w:space="0" w:color="000000"/>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single" w:sz="4" w:space="0" w:color="000000"/>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(3%)</w:t>
            </w:r>
          </w:p>
        </w:tc>
        <w:tc>
          <w:tcPr>
            <w:tcW w:w="825" w:type="dxa"/>
            <w:tcBorders>
              <w:top w:val="nil"/>
              <w:left w:val="nil"/>
              <w:bottom w:val="single" w:sz="4" w:space="0" w:color="000000"/>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single" w:sz="4" w:space="0" w:color="000000"/>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(2%)</w:t>
            </w:r>
          </w:p>
        </w:tc>
        <w:tc>
          <w:tcPr>
            <w:tcW w:w="825" w:type="dxa"/>
            <w:tcBorders>
              <w:top w:val="nil"/>
              <w:left w:val="nil"/>
              <w:bottom w:val="single" w:sz="4" w:space="0" w:color="000000"/>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1</w:t>
            </w:r>
          </w:p>
        </w:tc>
        <w:tc>
          <w:tcPr>
            <w:tcW w:w="969" w:type="dxa"/>
            <w:tcBorders>
              <w:top w:val="nil"/>
              <w:left w:val="nil"/>
              <w:bottom w:val="single" w:sz="4" w:space="0" w:color="000000"/>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(1%)</w:t>
            </w:r>
          </w:p>
        </w:tc>
        <w:tc>
          <w:tcPr>
            <w:tcW w:w="928" w:type="dxa"/>
            <w:tcBorders>
              <w:top w:val="nil"/>
              <w:left w:val="nil"/>
              <w:bottom w:val="single" w:sz="4" w:space="0" w:color="000000"/>
              <w:right w:val="nil"/>
            </w:tcBorders>
            <w:shd w:val="clear" w:color="auto" w:fill="FFFFFF"/>
            <w:tcMar>
              <w:left w:w="67" w:type="dxa"/>
              <w:right w:w="67" w:type="dxa"/>
            </w:tcMar>
          </w:tcPr>
          <w:p w:rsidR="00BD4FBD" w:rsidRPr="00AC3493" w:rsidRDefault="00BD4FBD" w:rsidP="0031279C">
            <w:pPr>
              <w:adjustRightInd w:val="0"/>
              <w:spacing w:before="67" w:after="67"/>
              <w:jc w:val="right"/>
              <w:rPr>
                <w:rFonts w:ascii="Times New Roman" w:hAnsi="Times New Roman" w:cs="Times New Roman"/>
                <w:sz w:val="20"/>
                <w:szCs w:val="20"/>
              </w:rPr>
            </w:pPr>
            <w:r w:rsidRPr="00AC3493">
              <w:rPr>
                <w:rFonts w:ascii="Times New Roman" w:hAnsi="Times New Roman" w:cs="Times New Roman"/>
                <w:sz w:val="20"/>
                <w:szCs w:val="20"/>
              </w:rPr>
              <w:t>0.27</w:t>
            </w:r>
          </w:p>
        </w:tc>
      </w:tr>
      <w:tr w:rsidR="00BD4FBD" w:rsidRPr="00AC3493" w:rsidTr="0031279C">
        <w:trPr>
          <w:cantSplit/>
          <w:jc w:val="center"/>
        </w:trPr>
        <w:tc>
          <w:tcPr>
            <w:tcW w:w="12327" w:type="dxa"/>
            <w:gridSpan w:val="10"/>
            <w:tcBorders>
              <w:top w:val="single" w:sz="4" w:space="0" w:color="000000"/>
              <w:left w:val="nil"/>
              <w:right w:val="nil"/>
            </w:tcBorders>
            <w:shd w:val="clear" w:color="auto" w:fill="FFFFFF"/>
            <w:tcMar>
              <w:left w:w="67" w:type="dxa"/>
              <w:right w:w="67" w:type="dxa"/>
            </w:tcMar>
          </w:tcPr>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Age, BMI, preoperative hemoglobin, length of surgery, and number of stents placed were grouped and presented as categorical but were compared using the raw, continuous data.  P-values are from Chi-square tests except for age, BMI, length of surgery, and number of stents placed which were compared using rank sum tests and hypertension, cardiogenic shock before PCI, residual stenosis, successful PCI in all lesions, medication use prior to NCS, emergent surgery and elevated risk category which were compared with using Fisher’s exact tests.</w:t>
            </w:r>
          </w:p>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RBC=Red blood cells; FFP=Fresh frozen plasma; ASA PS=American Society of Anesthesiologists physical status; MI=Myocardial infarction; CABG=Coronary artery bypass graft; DAPT=Dual antiplatelet therapy; NCS=Non-cardiac surgery; PCI=Percutaneous coronary intervention; BMI=Body mass index; RCRI=Revised cardiac risk index; CVA=Cerebrovascular accident; CHF=Congestive heart failure.</w:t>
            </w:r>
          </w:p>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vertAlign w:val="superscript"/>
              </w:rPr>
              <w:t>1</w:t>
            </w:r>
            <w:r w:rsidRPr="00AC3493">
              <w:rPr>
                <w:rFonts w:ascii="Times New Roman" w:hAnsi="Times New Roman" w:cs="Times New Roman"/>
                <w:sz w:val="20"/>
                <w:szCs w:val="20"/>
              </w:rPr>
              <w:t xml:space="preserve">Defined by Lee et al. </w:t>
            </w:r>
            <w:r w:rsidRPr="00AC3493">
              <w:rPr>
                <w:rFonts w:ascii="Times New Roman" w:hAnsi="Times New Roman" w:cs="Times New Roman"/>
                <w:i/>
                <w:sz w:val="20"/>
                <w:szCs w:val="20"/>
              </w:rPr>
              <w:t>Circulation</w:t>
            </w:r>
            <w:r w:rsidRPr="00AC3493">
              <w:rPr>
                <w:rFonts w:ascii="Times New Roman" w:hAnsi="Times New Roman" w:cs="Times New Roman"/>
                <w:sz w:val="20"/>
                <w:szCs w:val="20"/>
              </w:rPr>
              <w:t>. 1999; 100(10):1043-1049.</w:t>
            </w:r>
          </w:p>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vertAlign w:val="superscript"/>
              </w:rPr>
              <w:t>2</w:t>
            </w:r>
            <w:r w:rsidRPr="00AC3493">
              <w:rPr>
                <w:rFonts w:ascii="Times New Roman" w:hAnsi="Times New Roman" w:cs="Times New Roman"/>
                <w:sz w:val="20"/>
                <w:szCs w:val="20"/>
              </w:rPr>
              <w:t>Only one patient had a preoperative hemoglobin</w:t>
            </w:r>
            <w:r w:rsidRPr="00AC3493">
              <w:rPr>
                <w:rFonts w:ascii="Times New Roman" w:hAnsi="Times New Roman" w:cs="Times New Roman"/>
                <w:sz w:val="20"/>
                <w:szCs w:val="20"/>
                <w:u w:val="single"/>
              </w:rPr>
              <w:t>&lt;</w:t>
            </w:r>
            <w:r w:rsidRPr="00AC3493">
              <w:rPr>
                <w:rFonts w:ascii="Times New Roman" w:hAnsi="Times New Roman" w:cs="Times New Roman"/>
                <w:sz w:val="20"/>
                <w:szCs w:val="20"/>
              </w:rPr>
              <w:t>7.9 g/dL.</w:t>
            </w:r>
          </w:p>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rPr>
              <w:t xml:space="preserve">3 Defined using the Thrombolysis in myocardial infarction (TIMI) score with a score of 3 indicating normal coronary flow according to Gibson et al. </w:t>
            </w:r>
            <w:r w:rsidRPr="00AC3493">
              <w:rPr>
                <w:rFonts w:ascii="Times New Roman" w:hAnsi="Times New Roman" w:cs="Times New Roman"/>
                <w:i/>
                <w:sz w:val="20"/>
                <w:szCs w:val="20"/>
              </w:rPr>
              <w:t>Circulation.</w:t>
            </w:r>
            <w:r w:rsidRPr="00AC3493">
              <w:rPr>
                <w:rFonts w:ascii="Times New Roman" w:hAnsi="Times New Roman" w:cs="Times New Roman"/>
                <w:sz w:val="20"/>
                <w:szCs w:val="20"/>
              </w:rPr>
              <w:t xml:space="preserve"> 1996;93:879-88.</w:t>
            </w:r>
          </w:p>
          <w:p w:rsidR="00BD4FBD" w:rsidRPr="00AC3493" w:rsidRDefault="00BD4FBD" w:rsidP="0031279C">
            <w:pPr>
              <w:adjustRightInd w:val="0"/>
              <w:spacing w:before="67" w:after="67"/>
              <w:rPr>
                <w:rFonts w:ascii="Times New Roman" w:hAnsi="Times New Roman" w:cs="Times New Roman"/>
                <w:sz w:val="20"/>
                <w:szCs w:val="20"/>
              </w:rPr>
            </w:pPr>
            <w:r w:rsidRPr="00AC3493">
              <w:rPr>
                <w:rFonts w:ascii="Times New Roman" w:hAnsi="Times New Roman" w:cs="Times New Roman"/>
                <w:sz w:val="20"/>
                <w:szCs w:val="20"/>
                <w:vertAlign w:val="superscript"/>
              </w:rPr>
              <w:t>4</w:t>
            </w:r>
            <w:r w:rsidRPr="00AC3493">
              <w:rPr>
                <w:rFonts w:ascii="Times New Roman" w:hAnsi="Times New Roman" w:cs="Times New Roman"/>
                <w:sz w:val="20"/>
                <w:szCs w:val="20"/>
              </w:rPr>
              <w:t>Defined according to the 2014 ACC/AHA Guidelines by a rate of MACE &gt;1%.</w:t>
            </w:r>
          </w:p>
        </w:tc>
      </w:tr>
    </w:tbl>
    <w:p w:rsidR="00DF2ABB" w:rsidRDefault="00BD4FBD"/>
    <w:sectPr w:rsidR="00DF2ABB" w:rsidSect="00BD4FB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BD" w:rsidRDefault="00BD4FBD" w:rsidP="00BD4FBD">
      <w:pPr>
        <w:spacing w:after="0" w:line="240" w:lineRule="auto"/>
      </w:pPr>
      <w:r>
        <w:separator/>
      </w:r>
    </w:p>
  </w:endnote>
  <w:endnote w:type="continuationSeparator" w:id="0">
    <w:p w:rsidR="00BD4FBD" w:rsidRDefault="00BD4FBD" w:rsidP="00BD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BD" w:rsidRDefault="00BD4FBD" w:rsidP="00BD4FBD">
      <w:pPr>
        <w:spacing w:after="0" w:line="240" w:lineRule="auto"/>
      </w:pPr>
      <w:r>
        <w:separator/>
      </w:r>
    </w:p>
  </w:footnote>
  <w:footnote w:type="continuationSeparator" w:id="0">
    <w:p w:rsidR="00BD4FBD" w:rsidRDefault="00BD4FBD" w:rsidP="00BD4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52A30"/>
    <w:multiLevelType w:val="hybridMultilevel"/>
    <w:tmpl w:val="80E2D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BD"/>
    <w:rsid w:val="00B41B80"/>
    <w:rsid w:val="00BD4FBD"/>
    <w:rsid w:val="00E5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FBD"/>
    <w:rPr>
      <w:color w:val="0000FF" w:themeColor="hyperlink"/>
      <w:u w:val="single"/>
    </w:rPr>
  </w:style>
  <w:style w:type="character" w:styleId="CommentReference">
    <w:name w:val="annotation reference"/>
    <w:basedOn w:val="DefaultParagraphFont"/>
    <w:uiPriority w:val="99"/>
    <w:semiHidden/>
    <w:unhideWhenUsed/>
    <w:rsid w:val="00BD4FBD"/>
    <w:rPr>
      <w:rFonts w:cs="Times New Roman"/>
      <w:sz w:val="16"/>
      <w:szCs w:val="16"/>
    </w:rPr>
  </w:style>
  <w:style w:type="paragraph" w:styleId="CommentText">
    <w:name w:val="annotation text"/>
    <w:basedOn w:val="Normal"/>
    <w:link w:val="CommentTextChar"/>
    <w:uiPriority w:val="99"/>
    <w:semiHidden/>
    <w:unhideWhenUsed/>
    <w:rsid w:val="00BD4FBD"/>
    <w:pPr>
      <w:autoSpaceDE w:val="0"/>
      <w:autoSpaceDN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BD4FB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BD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BD"/>
    <w:rPr>
      <w:rFonts w:ascii="Tahoma" w:hAnsi="Tahoma" w:cs="Tahoma"/>
      <w:sz w:val="16"/>
      <w:szCs w:val="16"/>
    </w:rPr>
  </w:style>
  <w:style w:type="table" w:styleId="TableGrid">
    <w:name w:val="Table Grid"/>
    <w:basedOn w:val="TableNormal"/>
    <w:uiPriority w:val="59"/>
    <w:rsid w:val="00BD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D4FBD"/>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4FBD"/>
    <w:rPr>
      <w:rFonts w:ascii="Times New Roman" w:eastAsiaTheme="minorEastAsia" w:hAnsi="Times New Roman" w:cs="Times New Roman"/>
      <w:b/>
      <w:bCs/>
      <w:sz w:val="20"/>
      <w:szCs w:val="20"/>
    </w:rPr>
  </w:style>
  <w:style w:type="paragraph" w:customStyle="1" w:styleId="EndNoteBibliographyTitle">
    <w:name w:val="EndNote Bibliography Title"/>
    <w:basedOn w:val="Normal"/>
    <w:link w:val="EndNoteBibliographyTitleChar"/>
    <w:rsid w:val="00BD4FB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D4FBD"/>
    <w:rPr>
      <w:rFonts w:ascii="Calibri" w:hAnsi="Calibri"/>
      <w:noProof/>
    </w:rPr>
  </w:style>
  <w:style w:type="paragraph" w:customStyle="1" w:styleId="EndNoteBibliography">
    <w:name w:val="EndNote Bibliography"/>
    <w:basedOn w:val="Normal"/>
    <w:link w:val="EndNoteBibliographyChar"/>
    <w:rsid w:val="00BD4FB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D4FBD"/>
    <w:rPr>
      <w:rFonts w:ascii="Calibri" w:hAnsi="Calibri"/>
      <w:noProof/>
    </w:rPr>
  </w:style>
  <w:style w:type="paragraph" w:styleId="Revision">
    <w:name w:val="Revision"/>
    <w:hidden/>
    <w:uiPriority w:val="99"/>
    <w:semiHidden/>
    <w:rsid w:val="00BD4FBD"/>
    <w:pPr>
      <w:spacing w:after="0" w:line="240" w:lineRule="auto"/>
    </w:pPr>
  </w:style>
  <w:style w:type="paragraph" w:styleId="Header">
    <w:name w:val="header"/>
    <w:basedOn w:val="Normal"/>
    <w:link w:val="HeaderChar"/>
    <w:uiPriority w:val="99"/>
    <w:unhideWhenUsed/>
    <w:rsid w:val="00BD4FBD"/>
    <w:pPr>
      <w:tabs>
        <w:tab w:val="center" w:pos="4680"/>
        <w:tab w:val="right" w:pos="9360"/>
      </w:tabs>
      <w:autoSpaceDE w:val="0"/>
      <w:autoSpaceDN w:val="0"/>
      <w:spacing w:after="0" w:line="240" w:lineRule="auto"/>
    </w:pPr>
    <w:rPr>
      <w:rFonts w:ascii="Times New Roman" w:eastAsiaTheme="minorEastAsia" w:hAnsi="Times New Roman" w:cs="Times New Roman"/>
      <w:sz w:val="20"/>
      <w:szCs w:val="20"/>
    </w:rPr>
  </w:style>
  <w:style w:type="character" w:customStyle="1" w:styleId="HeaderChar">
    <w:name w:val="Header Char"/>
    <w:basedOn w:val="DefaultParagraphFont"/>
    <w:link w:val="Header"/>
    <w:uiPriority w:val="99"/>
    <w:rsid w:val="00BD4FB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BD4FBD"/>
    <w:pPr>
      <w:tabs>
        <w:tab w:val="center" w:pos="4680"/>
        <w:tab w:val="right" w:pos="9360"/>
      </w:tabs>
      <w:autoSpaceDE w:val="0"/>
      <w:autoSpaceDN w:val="0"/>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BD4FBD"/>
    <w:rPr>
      <w:rFonts w:ascii="Times New Roman" w:eastAsiaTheme="minorEastAsia" w:hAnsi="Times New Roman" w:cs="Times New Roman"/>
      <w:sz w:val="20"/>
      <w:szCs w:val="20"/>
    </w:rPr>
  </w:style>
  <w:style w:type="paragraph" w:styleId="ListParagraph">
    <w:name w:val="List Paragraph"/>
    <w:basedOn w:val="Normal"/>
    <w:uiPriority w:val="34"/>
    <w:qFormat/>
    <w:rsid w:val="00BD4FBD"/>
    <w:pPr>
      <w:ind w:left="720"/>
      <w:contextualSpacing/>
    </w:pPr>
  </w:style>
  <w:style w:type="character" w:customStyle="1" w:styleId="pib-employee-name1">
    <w:name w:val="pib-employee-name1"/>
    <w:basedOn w:val="DefaultParagraphFont"/>
    <w:rsid w:val="00BD4FBD"/>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FBD"/>
    <w:rPr>
      <w:color w:val="0000FF" w:themeColor="hyperlink"/>
      <w:u w:val="single"/>
    </w:rPr>
  </w:style>
  <w:style w:type="character" w:styleId="CommentReference">
    <w:name w:val="annotation reference"/>
    <w:basedOn w:val="DefaultParagraphFont"/>
    <w:uiPriority w:val="99"/>
    <w:semiHidden/>
    <w:unhideWhenUsed/>
    <w:rsid w:val="00BD4FBD"/>
    <w:rPr>
      <w:rFonts w:cs="Times New Roman"/>
      <w:sz w:val="16"/>
      <w:szCs w:val="16"/>
    </w:rPr>
  </w:style>
  <w:style w:type="paragraph" w:styleId="CommentText">
    <w:name w:val="annotation text"/>
    <w:basedOn w:val="Normal"/>
    <w:link w:val="CommentTextChar"/>
    <w:uiPriority w:val="99"/>
    <w:semiHidden/>
    <w:unhideWhenUsed/>
    <w:rsid w:val="00BD4FBD"/>
    <w:pPr>
      <w:autoSpaceDE w:val="0"/>
      <w:autoSpaceDN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BD4FB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BD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BD"/>
    <w:rPr>
      <w:rFonts w:ascii="Tahoma" w:hAnsi="Tahoma" w:cs="Tahoma"/>
      <w:sz w:val="16"/>
      <w:szCs w:val="16"/>
    </w:rPr>
  </w:style>
  <w:style w:type="table" w:styleId="TableGrid">
    <w:name w:val="Table Grid"/>
    <w:basedOn w:val="TableNormal"/>
    <w:uiPriority w:val="59"/>
    <w:rsid w:val="00BD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D4FBD"/>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4FBD"/>
    <w:rPr>
      <w:rFonts w:ascii="Times New Roman" w:eastAsiaTheme="minorEastAsia" w:hAnsi="Times New Roman" w:cs="Times New Roman"/>
      <w:b/>
      <w:bCs/>
      <w:sz w:val="20"/>
      <w:szCs w:val="20"/>
    </w:rPr>
  </w:style>
  <w:style w:type="paragraph" w:customStyle="1" w:styleId="EndNoteBibliographyTitle">
    <w:name w:val="EndNote Bibliography Title"/>
    <w:basedOn w:val="Normal"/>
    <w:link w:val="EndNoteBibliographyTitleChar"/>
    <w:rsid w:val="00BD4FB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D4FBD"/>
    <w:rPr>
      <w:rFonts w:ascii="Calibri" w:hAnsi="Calibri"/>
      <w:noProof/>
    </w:rPr>
  </w:style>
  <w:style w:type="paragraph" w:customStyle="1" w:styleId="EndNoteBibliography">
    <w:name w:val="EndNote Bibliography"/>
    <w:basedOn w:val="Normal"/>
    <w:link w:val="EndNoteBibliographyChar"/>
    <w:rsid w:val="00BD4FB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D4FBD"/>
    <w:rPr>
      <w:rFonts w:ascii="Calibri" w:hAnsi="Calibri"/>
      <w:noProof/>
    </w:rPr>
  </w:style>
  <w:style w:type="paragraph" w:styleId="Revision">
    <w:name w:val="Revision"/>
    <w:hidden/>
    <w:uiPriority w:val="99"/>
    <w:semiHidden/>
    <w:rsid w:val="00BD4FBD"/>
    <w:pPr>
      <w:spacing w:after="0" w:line="240" w:lineRule="auto"/>
    </w:pPr>
  </w:style>
  <w:style w:type="paragraph" w:styleId="Header">
    <w:name w:val="header"/>
    <w:basedOn w:val="Normal"/>
    <w:link w:val="HeaderChar"/>
    <w:uiPriority w:val="99"/>
    <w:unhideWhenUsed/>
    <w:rsid w:val="00BD4FBD"/>
    <w:pPr>
      <w:tabs>
        <w:tab w:val="center" w:pos="4680"/>
        <w:tab w:val="right" w:pos="9360"/>
      </w:tabs>
      <w:autoSpaceDE w:val="0"/>
      <w:autoSpaceDN w:val="0"/>
      <w:spacing w:after="0" w:line="240" w:lineRule="auto"/>
    </w:pPr>
    <w:rPr>
      <w:rFonts w:ascii="Times New Roman" w:eastAsiaTheme="minorEastAsia" w:hAnsi="Times New Roman" w:cs="Times New Roman"/>
      <w:sz w:val="20"/>
      <w:szCs w:val="20"/>
    </w:rPr>
  </w:style>
  <w:style w:type="character" w:customStyle="1" w:styleId="HeaderChar">
    <w:name w:val="Header Char"/>
    <w:basedOn w:val="DefaultParagraphFont"/>
    <w:link w:val="Header"/>
    <w:uiPriority w:val="99"/>
    <w:rsid w:val="00BD4FB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BD4FBD"/>
    <w:pPr>
      <w:tabs>
        <w:tab w:val="center" w:pos="4680"/>
        <w:tab w:val="right" w:pos="9360"/>
      </w:tabs>
      <w:autoSpaceDE w:val="0"/>
      <w:autoSpaceDN w:val="0"/>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BD4FBD"/>
    <w:rPr>
      <w:rFonts w:ascii="Times New Roman" w:eastAsiaTheme="minorEastAsia" w:hAnsi="Times New Roman" w:cs="Times New Roman"/>
      <w:sz w:val="20"/>
      <w:szCs w:val="20"/>
    </w:rPr>
  </w:style>
  <w:style w:type="paragraph" w:styleId="ListParagraph">
    <w:name w:val="List Paragraph"/>
    <w:basedOn w:val="Normal"/>
    <w:uiPriority w:val="34"/>
    <w:qFormat/>
    <w:rsid w:val="00BD4FBD"/>
    <w:pPr>
      <w:ind w:left="720"/>
      <w:contextualSpacing/>
    </w:pPr>
  </w:style>
  <w:style w:type="character" w:customStyle="1" w:styleId="pib-employee-name1">
    <w:name w:val="pib-employee-name1"/>
    <w:basedOn w:val="DefaultParagraphFont"/>
    <w:rsid w:val="00BD4FBD"/>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1214</Words>
  <Characters>6921</Characters>
  <Application>Microsoft Office Word</Application>
  <DocSecurity>0</DocSecurity>
  <Lines>57</Lines>
  <Paragraphs>16</Paragraphs>
  <ScaleCrop>false</ScaleCrop>
  <Company>Mayo Clinic</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J Hanson</dc:creator>
  <cp:lastModifiedBy>Theresa J Hanson</cp:lastModifiedBy>
  <cp:revision>1</cp:revision>
  <dcterms:created xsi:type="dcterms:W3CDTF">2017-11-02T19:31:00Z</dcterms:created>
  <dcterms:modified xsi:type="dcterms:W3CDTF">2017-11-02T19:33:00Z</dcterms:modified>
</cp:coreProperties>
</file>