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04" w:rsidRPr="00BB7BEF" w:rsidRDefault="00653404" w:rsidP="00653404">
      <w:pPr>
        <w:spacing w:line="480" w:lineRule="auto"/>
        <w:rPr>
          <w:rFonts w:ascii="Times New Roman" w:hAnsi="Times New Roman" w:cs="Times New Roman"/>
          <w:sz w:val="24"/>
          <w:szCs w:val="24"/>
          <w:lang w:val="en-US"/>
        </w:rPr>
      </w:pPr>
    </w:p>
    <w:tbl>
      <w:tblPr>
        <w:tblStyle w:val="Tabel-Gitter"/>
        <w:tblW w:w="9242" w:type="dxa"/>
        <w:tblInd w:w="-38"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CellMar>
          <w:left w:w="70" w:type="dxa"/>
          <w:right w:w="70" w:type="dxa"/>
        </w:tblCellMar>
        <w:tblLook w:val="0000" w:firstRow="0" w:lastRow="0" w:firstColumn="0" w:lastColumn="0" w:noHBand="0" w:noVBand="0"/>
      </w:tblPr>
      <w:tblGrid>
        <w:gridCol w:w="1817"/>
        <w:gridCol w:w="2338"/>
        <w:gridCol w:w="1581"/>
        <w:gridCol w:w="1579"/>
        <w:gridCol w:w="1927"/>
      </w:tblGrid>
      <w:tr w:rsidR="00653404" w:rsidRPr="00BB7BEF" w:rsidTr="00104190">
        <w:trPr>
          <w:trHeight w:val="522"/>
        </w:trPr>
        <w:tc>
          <w:tcPr>
            <w:tcW w:w="9242" w:type="dxa"/>
            <w:gridSpan w:val="5"/>
            <w:tcBorders>
              <w:top w:val="single" w:sz="18" w:space="0" w:color="BFBFBF" w:themeColor="background1" w:themeShade="BF"/>
              <w:left w:val="nil"/>
              <w:bottom w:val="single" w:sz="18" w:space="0" w:color="BFBFBF" w:themeColor="background1" w:themeShade="BF"/>
              <w:right w:val="nil"/>
            </w:tcBorders>
          </w:tcPr>
          <w:p w:rsidR="00653404" w:rsidRPr="00BB7BEF" w:rsidRDefault="00653404" w:rsidP="00104190">
            <w:pPr>
              <w:spacing w:after="200" w:line="480" w:lineRule="auto"/>
              <w:ind w:left="108"/>
              <w:rPr>
                <w:rFonts w:ascii="Times New Roman" w:hAnsi="Times New Roman" w:cs="Times New Roman"/>
              </w:rPr>
            </w:pPr>
            <w:r>
              <w:rPr>
                <w:rFonts w:ascii="Times New Roman" w:hAnsi="Times New Roman" w:cs="Times New Roman"/>
                <w:b/>
              </w:rPr>
              <w:t>Supplemental table 1</w:t>
            </w:r>
            <w:r w:rsidRPr="00BB7BEF">
              <w:rPr>
                <w:rFonts w:ascii="Times New Roman" w:hAnsi="Times New Roman" w:cs="Times New Roman"/>
              </w:rPr>
              <w:t>. Quality of Non-Randomized Studies Assessment (Newcastle-Ottawa Scale)</w:t>
            </w:r>
          </w:p>
        </w:tc>
      </w:tr>
      <w:tr w:rsidR="00653404" w:rsidRPr="00BB7BEF" w:rsidTr="00104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90"/>
        </w:trPr>
        <w:tc>
          <w:tcPr>
            <w:tcW w:w="1817" w:type="dxa"/>
            <w:tcBorders>
              <w:top w:val="single" w:sz="18"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shd w:val="clear" w:color="auto" w:fill="FFFFFF" w:themeFill="background1"/>
          </w:tcPr>
          <w:p w:rsidR="00653404" w:rsidRPr="00BB7BEF" w:rsidRDefault="00653404" w:rsidP="00104190">
            <w:pPr>
              <w:spacing w:line="480" w:lineRule="auto"/>
              <w:rPr>
                <w:rFonts w:ascii="Times New Roman" w:hAnsi="Times New Roman" w:cs="Times New Roman"/>
                <w:b/>
                <w:lang w:val="en-US"/>
              </w:rPr>
            </w:pPr>
            <w:r w:rsidRPr="00BB7BEF">
              <w:rPr>
                <w:rFonts w:ascii="Times New Roman" w:hAnsi="Times New Roman" w:cs="Times New Roman"/>
                <w:b/>
                <w:lang w:val="en-US"/>
              </w:rPr>
              <w:t>Category</w:t>
            </w:r>
          </w:p>
        </w:tc>
        <w:tc>
          <w:tcPr>
            <w:tcW w:w="2338" w:type="dxa"/>
            <w:tcBorders>
              <w:top w:val="single" w:sz="18"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shd w:val="clear" w:color="auto" w:fill="FFFFFF" w:themeFill="background1"/>
          </w:tcPr>
          <w:p w:rsidR="00653404" w:rsidRPr="00BB7BEF" w:rsidRDefault="00653404" w:rsidP="00104190">
            <w:pPr>
              <w:spacing w:line="480" w:lineRule="auto"/>
              <w:rPr>
                <w:rFonts w:ascii="Times New Roman" w:hAnsi="Times New Roman" w:cs="Times New Roman"/>
                <w:b/>
                <w:lang w:val="en-US"/>
              </w:rPr>
            </w:pPr>
            <w:r w:rsidRPr="00BB7BEF">
              <w:rPr>
                <w:rFonts w:ascii="Times New Roman" w:hAnsi="Times New Roman" w:cs="Times New Roman"/>
                <w:b/>
                <w:lang w:val="en-US"/>
              </w:rPr>
              <w:t>Criteria</w:t>
            </w:r>
          </w:p>
        </w:tc>
        <w:tc>
          <w:tcPr>
            <w:tcW w:w="1581" w:type="dxa"/>
            <w:tcBorders>
              <w:top w:val="single" w:sz="18"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shd w:val="clear" w:color="auto" w:fill="FFFFFF" w:themeFill="background1"/>
          </w:tcPr>
          <w:p w:rsidR="00653404" w:rsidRPr="00BB7BEF" w:rsidRDefault="00653404" w:rsidP="00104190">
            <w:pPr>
              <w:spacing w:line="480" w:lineRule="auto"/>
              <w:rPr>
                <w:rFonts w:ascii="Times New Roman" w:hAnsi="Times New Roman" w:cs="Times New Roman"/>
                <w:b/>
                <w:i/>
                <w:lang w:val="en-US"/>
              </w:rPr>
            </w:pPr>
            <w:r w:rsidRPr="00BB7BEF">
              <w:rPr>
                <w:rFonts w:ascii="Times New Roman" w:hAnsi="Times New Roman" w:cs="Times New Roman"/>
                <w:b/>
                <w:i/>
                <w:lang w:val="en-US"/>
              </w:rPr>
              <w:t xml:space="preserve">Cromartie, 1976 </w:t>
            </w:r>
            <w:r w:rsidRPr="00BB7BEF">
              <w:rPr>
                <w:rFonts w:ascii="Times New Roman" w:hAnsi="Times New Roman" w:cs="Times New Roman"/>
                <w:b/>
                <w:i/>
                <w:lang w:val="en-US"/>
              </w:rPr>
              <w:fldChar w:fldCharType="begin"/>
            </w:r>
            <w:r w:rsidRPr="00BB7BEF">
              <w:rPr>
                <w:rFonts w:ascii="Times New Roman" w:hAnsi="Times New Roman" w:cs="Times New Roman"/>
                <w:b/>
                <w:i/>
                <w:lang w:val="en-US"/>
              </w:rPr>
              <w:instrText xml:space="preserve"> ADDIN ZOTERO_ITEM CSL_CITATION {"citationID":"a2qq19cat2f","properties":{"formattedCitation":"{\\rtf \\super 35\\nosupersub{}}","plainCitation":"35"},"citationItems":[{"id":7516,"uris":["http://zotero.org/users/2558997/items/WE9GTVMY"],"uri":["http://zotero.org/users/2558997/items/WE9GTVMY"],"itemData":{"id":7516,"type":"article-journal","title":"Rapid anesthesia induction in combat casualties with full stomachs","container-title":"Anesthesia and Analgesia","page":"74-76","volume":"55","issue":"1","source":"PubMed","abstract":"A series of 50 combat-injured patients given crash intubation for rapid induction of anesthesia is presented. The technic consisted of injection of 3 mg of d-tubocurarine and 0.4 mg of atropine IV, preoxygenation by face mask for 3 minutes, and then injection of sodium thiopental or ketamine, followed immediately by 60 to 80 mg of succinylcholine IV. Intubation was performed with a cuffed tube after cessation of spontaneous respirations and relaxation of the jaw. In the entire series there was no vomiting or aspiration on induction. Thirty-six patients were induced with thiopental and 14 with ketamine. Three patients given thiopental and 2 given ketamine had a fall in blood pressure to below 100 torr systolic. The average BP change was in a positive direction with both agents.","ISSN":"0003-2999","note":"PMID: 1108710","journalAbbreviation":"Anesth. Analg.","language":"eng","author":[{"family":"Cromartie","given":"R. S."}],"issued":{"date-parts":[["1976",2]]}}}],"schema":"https://github.com/citation-style-language/schema/raw/master/csl-citation.json"} </w:instrText>
            </w:r>
            <w:r w:rsidRPr="00BB7BEF">
              <w:rPr>
                <w:rFonts w:ascii="Times New Roman" w:hAnsi="Times New Roman" w:cs="Times New Roman"/>
                <w:b/>
                <w:i/>
                <w:lang w:val="en-US"/>
              </w:rPr>
              <w:fldChar w:fldCharType="separate"/>
            </w:r>
            <w:r w:rsidRPr="00897269">
              <w:rPr>
                <w:rFonts w:ascii="Times New Roman" w:hAnsi="Times New Roman" w:cs="Times New Roman"/>
                <w:vertAlign w:val="superscript"/>
              </w:rPr>
              <w:t>35</w:t>
            </w:r>
            <w:r w:rsidRPr="00BB7BEF">
              <w:rPr>
                <w:rFonts w:ascii="Times New Roman" w:hAnsi="Times New Roman" w:cs="Times New Roman"/>
                <w:b/>
                <w:i/>
                <w:lang w:val="en-US"/>
              </w:rPr>
              <w:fldChar w:fldCharType="end"/>
            </w:r>
          </w:p>
        </w:tc>
        <w:tc>
          <w:tcPr>
            <w:tcW w:w="1579" w:type="dxa"/>
            <w:tcBorders>
              <w:top w:val="single" w:sz="18"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shd w:val="clear" w:color="auto" w:fill="FFFFFF" w:themeFill="background1"/>
          </w:tcPr>
          <w:p w:rsidR="00653404" w:rsidRPr="00BB7BEF" w:rsidRDefault="00653404" w:rsidP="00104190">
            <w:pPr>
              <w:spacing w:line="480" w:lineRule="auto"/>
              <w:rPr>
                <w:rFonts w:ascii="Times New Roman" w:hAnsi="Times New Roman" w:cs="Times New Roman"/>
                <w:b/>
                <w:i/>
                <w:lang w:val="en-US"/>
              </w:rPr>
            </w:pPr>
            <w:r w:rsidRPr="00BB7BEF">
              <w:rPr>
                <w:rFonts w:ascii="Times New Roman" w:hAnsi="Times New Roman" w:cs="Times New Roman"/>
                <w:b/>
                <w:i/>
                <w:lang w:val="en-US"/>
              </w:rPr>
              <w:t xml:space="preserve">Lyon et al., 2015 </w:t>
            </w:r>
            <w:r w:rsidRPr="00BB7BEF">
              <w:rPr>
                <w:rFonts w:ascii="Times New Roman" w:hAnsi="Times New Roman" w:cs="Times New Roman"/>
                <w:b/>
                <w:i/>
                <w:lang w:val="en-US"/>
              </w:rPr>
              <w:fldChar w:fldCharType="begin"/>
            </w:r>
            <w:r w:rsidRPr="00BB7BEF">
              <w:rPr>
                <w:rFonts w:ascii="Times New Roman" w:hAnsi="Times New Roman" w:cs="Times New Roman"/>
                <w:b/>
                <w:i/>
                <w:lang w:val="en-US"/>
              </w:rPr>
              <w:instrText xml:space="preserve"> ADDIN ZOTERO_ITEM CSL_CITATION {"citationID":"alhrd1tola","properties":{"formattedCitation":"{\\rtf \\super 37\\nosupersub{}}","plainCitation":"37"},"citationItems":[{"id":7515,"uris":["http://zotero.org/users/2558997/items/KLJL5B3B"],"uri":["http://zotero.org/users/2558997/items/KLJL5B3B"],"itemData":{"id":7515,"type":"article-journal","title":"Significant modification of traditional rapid sequence induction improves safety and effectiveness of pre-hospital trauma anaesthesia","container-title":"Critical Care","volume":"19","issue":"1","source":"CrossRef","URL":"http://ccforum.com/content/19/1/134","DOI":"10.1186/s13054-015-0872-2","ISSN":"1364-8535","language":"en","author":[{"literal":"on behalf of Kent, Surrey &amp; Sussex Air Ambulance Trust"},{"family":"Lyon","given":"Richard M"},{"family":"Perkins","given":"Zane B"},{"family":"Chatterjee","given":"Debamoy"},{"family":"Lockey","given":"David J"},{"family":"Russell","given":"Malcolm Q"}],"issued":{"date-parts":[["2015",12]]},"accessed":{"date-parts":[["2017",8,30]]}}}],"schema":"https://github.com/citation-style-language/schema/raw/master/csl-citation.json"} </w:instrText>
            </w:r>
            <w:r w:rsidRPr="00BB7BEF">
              <w:rPr>
                <w:rFonts w:ascii="Times New Roman" w:hAnsi="Times New Roman" w:cs="Times New Roman"/>
                <w:b/>
                <w:i/>
                <w:lang w:val="en-US"/>
              </w:rPr>
              <w:fldChar w:fldCharType="separate"/>
            </w:r>
            <w:r w:rsidRPr="00897269">
              <w:rPr>
                <w:rFonts w:ascii="Times New Roman" w:hAnsi="Times New Roman" w:cs="Times New Roman"/>
                <w:vertAlign w:val="superscript"/>
              </w:rPr>
              <w:t>37</w:t>
            </w:r>
            <w:r w:rsidRPr="00BB7BEF">
              <w:rPr>
                <w:rFonts w:ascii="Times New Roman" w:hAnsi="Times New Roman" w:cs="Times New Roman"/>
                <w:b/>
                <w:i/>
                <w:lang w:val="en-US"/>
              </w:rPr>
              <w:fldChar w:fldCharType="end"/>
            </w:r>
          </w:p>
        </w:tc>
        <w:tc>
          <w:tcPr>
            <w:tcW w:w="1927" w:type="dxa"/>
            <w:tcBorders>
              <w:top w:val="single" w:sz="18"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shd w:val="clear" w:color="auto" w:fill="FFFFFF" w:themeFill="background1"/>
          </w:tcPr>
          <w:p w:rsidR="00653404" w:rsidRPr="00BB7BEF" w:rsidRDefault="00653404" w:rsidP="00104190">
            <w:pPr>
              <w:spacing w:line="480" w:lineRule="auto"/>
              <w:rPr>
                <w:rFonts w:ascii="Times New Roman" w:hAnsi="Times New Roman" w:cs="Times New Roman"/>
                <w:b/>
                <w:i/>
                <w:lang w:val="en-US"/>
              </w:rPr>
            </w:pPr>
            <w:r w:rsidRPr="00BB7BEF">
              <w:rPr>
                <w:rFonts w:ascii="Times New Roman" w:hAnsi="Times New Roman" w:cs="Times New Roman"/>
                <w:b/>
                <w:i/>
                <w:lang w:val="en-US"/>
              </w:rPr>
              <w:t xml:space="preserve">Upchurch et al., 2017 </w:t>
            </w:r>
            <w:r w:rsidRPr="00BB7BEF">
              <w:rPr>
                <w:rFonts w:ascii="Times New Roman" w:hAnsi="Times New Roman" w:cs="Times New Roman"/>
                <w:b/>
                <w:i/>
                <w:lang w:val="en-US"/>
              </w:rPr>
              <w:fldChar w:fldCharType="begin"/>
            </w:r>
            <w:r w:rsidRPr="00BB7BEF">
              <w:rPr>
                <w:rFonts w:ascii="Times New Roman" w:hAnsi="Times New Roman" w:cs="Times New Roman"/>
                <w:b/>
                <w:i/>
                <w:lang w:val="en-US"/>
              </w:rPr>
              <w:instrText xml:space="preserve"> ADDIN ZOTERO_ITEM CSL_CITATION {"citationID":"a1f7gia8bn6","properties":{"formattedCitation":"{\\rtf \\super 38\\nosupersub{}}","plainCitation":"38"},"citationItems":[{"id":7497,"uris":["http://zotero.org/users/2558997/items/J3Z55F34"],"uri":["http://zotero.org/users/2558997/items/J3Z55F34"],"itemData":{"id":7497,"type":"article-journal","title":"Comparison of Etomidate and Ketamine for Induction During Rapid Sequence Intubation of Adult Trauma Patients","container-title":"Annals of Emergency Medicine","page":"24-33.e2","volume":"69","issue":"1","source":"CrossRef","DOI":"10.1016/j.annemergmed.2016.08.009","ISSN":"01960644","language":"en","author":[{"family":"Upchurch","given":"Cameron P."},{"family":"Grijalva","given":"Carlos G."},{"family":"Russ","given":"Stephan"},{"family":"Collins","given":"Sean P."},{"family":"Semler","given":"Matthew W."},{"family":"Rice","given":"Todd W."},{"family":"Liu","given":"Dandan"},{"family":"Ehrenfeld","given":"Jesse M."},{"family":"High","given":"Kevin"},{"family":"Barrett","given":"Tyler W."},{"family":"McNaughton","given":"Candace D."},{"family":"Self","given":"Wesley H."}],"issued":{"date-parts":[["2017",1]]}}}],"schema":"https://github.com/citation-style-language/schema/raw/master/csl-citation.json"} </w:instrText>
            </w:r>
            <w:r w:rsidRPr="00BB7BEF">
              <w:rPr>
                <w:rFonts w:ascii="Times New Roman" w:hAnsi="Times New Roman" w:cs="Times New Roman"/>
                <w:b/>
                <w:i/>
                <w:lang w:val="en-US"/>
              </w:rPr>
              <w:fldChar w:fldCharType="separate"/>
            </w:r>
            <w:r w:rsidRPr="00897269">
              <w:rPr>
                <w:rFonts w:ascii="Times New Roman" w:hAnsi="Times New Roman" w:cs="Times New Roman"/>
                <w:vertAlign w:val="superscript"/>
              </w:rPr>
              <w:t>38</w:t>
            </w:r>
            <w:r w:rsidRPr="00BB7BEF">
              <w:rPr>
                <w:rFonts w:ascii="Times New Roman" w:hAnsi="Times New Roman" w:cs="Times New Roman"/>
                <w:b/>
                <w:i/>
                <w:lang w:val="en-US"/>
              </w:rPr>
              <w:fldChar w:fldCharType="end"/>
            </w:r>
          </w:p>
        </w:tc>
      </w:tr>
      <w:tr w:rsidR="00653404" w:rsidRPr="00BB7BEF" w:rsidTr="00104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80"/>
        </w:trPr>
        <w:tc>
          <w:tcPr>
            <w:tcW w:w="1817" w:type="dxa"/>
            <w:vMerge w:val="restart"/>
            <w:tcBorders>
              <w:top w:val="single" w:sz="18" w:space="0" w:color="BFBFBF" w:themeColor="background1" w:themeShade="BF"/>
              <w:left w:val="single" w:sz="6" w:space="0" w:color="FFFFFF" w:themeColor="background1"/>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b/>
                <w:lang w:val="en-US"/>
              </w:rPr>
            </w:pPr>
            <w:r w:rsidRPr="00BB7BEF">
              <w:rPr>
                <w:rFonts w:ascii="Times New Roman" w:hAnsi="Times New Roman" w:cs="Times New Roman"/>
                <w:b/>
                <w:lang w:val="en-US"/>
              </w:rPr>
              <w:t>Selection</w:t>
            </w:r>
          </w:p>
        </w:tc>
        <w:tc>
          <w:tcPr>
            <w:tcW w:w="2338" w:type="dxa"/>
            <w:tcBorders>
              <w:top w:val="single" w:sz="18"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Representativeness of the exposed cohort</w:t>
            </w:r>
          </w:p>
        </w:tc>
        <w:tc>
          <w:tcPr>
            <w:tcW w:w="1581" w:type="dxa"/>
            <w:tcBorders>
              <w:top w:val="single" w:sz="18"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579" w:type="dxa"/>
            <w:tcBorders>
              <w:top w:val="single" w:sz="18"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927" w:type="dxa"/>
            <w:tcBorders>
              <w:top w:val="single" w:sz="18"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r>
      <w:tr w:rsidR="00653404" w:rsidRPr="00BB7BEF" w:rsidTr="00104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80"/>
        </w:trPr>
        <w:tc>
          <w:tcPr>
            <w:tcW w:w="1817" w:type="dxa"/>
            <w:vMerge/>
            <w:tcBorders>
              <w:left w:val="single" w:sz="6" w:space="0" w:color="FFFFFF" w:themeColor="background1"/>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b/>
                <w:lang w:val="en-US"/>
              </w:rPr>
            </w:pPr>
          </w:p>
        </w:tc>
        <w:tc>
          <w:tcPr>
            <w:tcW w:w="2338"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Selection of the non-exposed cohort</w:t>
            </w:r>
          </w:p>
        </w:tc>
        <w:tc>
          <w:tcPr>
            <w:tcW w:w="1581"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579"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927"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r>
      <w:tr w:rsidR="00653404" w:rsidRPr="00BB7BEF" w:rsidTr="00104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80"/>
        </w:trPr>
        <w:tc>
          <w:tcPr>
            <w:tcW w:w="1817" w:type="dxa"/>
            <w:vMerge/>
            <w:tcBorders>
              <w:left w:val="single" w:sz="6" w:space="0" w:color="FFFFFF" w:themeColor="background1"/>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b/>
                <w:lang w:val="en-US"/>
              </w:rPr>
            </w:pPr>
          </w:p>
        </w:tc>
        <w:tc>
          <w:tcPr>
            <w:tcW w:w="2338"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Ascertainment of exposure</w:t>
            </w:r>
          </w:p>
        </w:tc>
        <w:tc>
          <w:tcPr>
            <w:tcW w:w="1581"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579"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927"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r>
      <w:tr w:rsidR="00653404" w:rsidRPr="00BB7BEF" w:rsidTr="00104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80"/>
        </w:trPr>
        <w:tc>
          <w:tcPr>
            <w:tcW w:w="1817" w:type="dxa"/>
            <w:vMerge/>
            <w:tcBorders>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b/>
                <w:lang w:val="en-US"/>
              </w:rPr>
            </w:pPr>
          </w:p>
        </w:tc>
        <w:tc>
          <w:tcPr>
            <w:tcW w:w="2338" w:type="dxa"/>
            <w:tcBorders>
              <w:top w:val="single" w:sz="6" w:space="0" w:color="BFBFBF" w:themeColor="background1" w:themeShade="BF"/>
              <w:left w:val="single" w:sz="6" w:space="0" w:color="FFFFFF" w:themeColor="background1"/>
              <w:bottom w:val="single" w:sz="6" w:space="0" w:color="BFBFBF" w:themeColor="background1" w:themeShade="BF"/>
              <w:right w:val="nil"/>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Demonstration that outcome of interest was not present at start of study</w:t>
            </w:r>
          </w:p>
        </w:tc>
        <w:tc>
          <w:tcPr>
            <w:tcW w:w="1581" w:type="dxa"/>
            <w:tcBorders>
              <w:top w:val="single" w:sz="6" w:space="0" w:color="BFBFBF" w:themeColor="background1" w:themeShade="BF"/>
              <w:left w:val="nil"/>
              <w:bottom w:val="single" w:sz="6" w:space="0" w:color="BFBFBF" w:themeColor="background1" w:themeShade="BF"/>
              <w:right w:val="nil"/>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579" w:type="dxa"/>
            <w:tcBorders>
              <w:top w:val="single" w:sz="6" w:space="0" w:color="BFBFBF" w:themeColor="background1" w:themeShade="BF"/>
              <w:left w:val="nil"/>
              <w:bottom w:val="single" w:sz="6" w:space="0" w:color="BFBFBF" w:themeColor="background1" w:themeShade="BF"/>
              <w:right w:val="nil"/>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927" w:type="dxa"/>
            <w:tcBorders>
              <w:top w:val="single" w:sz="6" w:space="0" w:color="BFBFBF" w:themeColor="background1" w:themeShade="BF"/>
              <w:left w:val="nil"/>
              <w:bottom w:val="single" w:sz="6" w:space="0" w:color="BFBFBF" w:themeColor="background1" w:themeShade="BF"/>
              <w:right w:val="nil"/>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r>
      <w:tr w:rsidR="00653404" w:rsidRPr="00BB7BEF" w:rsidTr="00104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80"/>
        </w:trPr>
        <w:tc>
          <w:tcPr>
            <w:tcW w:w="1817" w:type="dxa"/>
            <w:tcBorders>
              <w:top w:val="single" w:sz="6" w:space="0" w:color="BFBFBF" w:themeColor="background1" w:themeShade="BF"/>
              <w:left w:val="nil"/>
              <w:bottom w:val="nil"/>
              <w:right w:val="nil"/>
            </w:tcBorders>
            <w:vAlign w:val="center"/>
          </w:tcPr>
          <w:p w:rsidR="00653404" w:rsidRPr="00BB7BEF" w:rsidRDefault="00653404" w:rsidP="00104190">
            <w:pPr>
              <w:spacing w:line="480" w:lineRule="auto"/>
              <w:rPr>
                <w:rFonts w:ascii="Times New Roman" w:hAnsi="Times New Roman" w:cs="Times New Roman"/>
                <w:b/>
                <w:lang w:val="en-US"/>
              </w:rPr>
            </w:pPr>
            <w:r w:rsidRPr="00BB7BEF">
              <w:rPr>
                <w:rFonts w:ascii="Times New Roman" w:hAnsi="Times New Roman" w:cs="Times New Roman"/>
                <w:b/>
                <w:lang w:val="en-US"/>
              </w:rPr>
              <w:t>Comparability</w:t>
            </w:r>
          </w:p>
        </w:tc>
        <w:tc>
          <w:tcPr>
            <w:tcW w:w="2338" w:type="dxa"/>
            <w:tcBorders>
              <w:top w:val="single" w:sz="6" w:space="0" w:color="BFBFBF" w:themeColor="background1" w:themeShade="BF"/>
              <w:left w:val="nil"/>
              <w:bottom w:val="nil"/>
              <w:right w:val="nil"/>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Comparability of cohorts on the basis of the design or analysis</w:t>
            </w:r>
          </w:p>
        </w:tc>
        <w:tc>
          <w:tcPr>
            <w:tcW w:w="1581" w:type="dxa"/>
            <w:tcBorders>
              <w:top w:val="single" w:sz="6" w:space="0" w:color="BFBFBF" w:themeColor="background1" w:themeShade="BF"/>
              <w:left w:val="nil"/>
              <w:bottom w:val="single" w:sz="6" w:space="0" w:color="BFBFBF" w:themeColor="background1" w:themeShade="BF"/>
              <w:right w:val="nil"/>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NA</w:t>
            </w:r>
          </w:p>
        </w:tc>
        <w:tc>
          <w:tcPr>
            <w:tcW w:w="1579" w:type="dxa"/>
            <w:tcBorders>
              <w:top w:val="single" w:sz="6" w:space="0" w:color="BFBFBF" w:themeColor="background1" w:themeShade="BF"/>
              <w:left w:val="nil"/>
              <w:bottom w:val="single" w:sz="6" w:space="0" w:color="BFBFBF" w:themeColor="background1" w:themeShade="BF"/>
              <w:right w:val="nil"/>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a*b*</w:t>
            </w:r>
          </w:p>
        </w:tc>
        <w:tc>
          <w:tcPr>
            <w:tcW w:w="1927" w:type="dxa"/>
            <w:tcBorders>
              <w:top w:val="single" w:sz="6" w:space="0" w:color="BFBFBF" w:themeColor="background1" w:themeShade="BF"/>
              <w:left w:val="nil"/>
              <w:bottom w:val="single" w:sz="6" w:space="0" w:color="BFBFBF" w:themeColor="background1" w:themeShade="BF"/>
              <w:right w:val="nil"/>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a*b*</w:t>
            </w:r>
          </w:p>
        </w:tc>
      </w:tr>
      <w:tr w:rsidR="00653404" w:rsidRPr="00BB7BEF" w:rsidTr="006534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80"/>
        </w:trPr>
        <w:tc>
          <w:tcPr>
            <w:tcW w:w="1817" w:type="dxa"/>
            <w:vMerge w:val="restart"/>
            <w:tcBorders>
              <w:top w:val="single" w:sz="6"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b/>
                <w:lang w:val="en-US"/>
              </w:rPr>
            </w:pPr>
            <w:r w:rsidRPr="00BB7BEF">
              <w:rPr>
                <w:rFonts w:ascii="Times New Roman" w:hAnsi="Times New Roman" w:cs="Times New Roman"/>
                <w:b/>
                <w:lang w:val="en-US"/>
              </w:rPr>
              <w:t>Outcome</w:t>
            </w:r>
          </w:p>
        </w:tc>
        <w:tc>
          <w:tcPr>
            <w:tcW w:w="2338"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Assessment of outcome</w:t>
            </w:r>
          </w:p>
        </w:tc>
        <w:tc>
          <w:tcPr>
            <w:tcW w:w="1581"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C</w:t>
            </w:r>
          </w:p>
        </w:tc>
        <w:tc>
          <w:tcPr>
            <w:tcW w:w="1579"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b*</w:t>
            </w:r>
          </w:p>
        </w:tc>
        <w:tc>
          <w:tcPr>
            <w:tcW w:w="1927"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b*</w:t>
            </w:r>
          </w:p>
        </w:tc>
      </w:tr>
      <w:tr w:rsidR="00653404" w:rsidRPr="00BB7BEF" w:rsidTr="006534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80"/>
        </w:trPr>
        <w:tc>
          <w:tcPr>
            <w:tcW w:w="1817" w:type="dxa"/>
            <w:vMerge/>
            <w:tcBorders>
              <w:top w:val="single" w:sz="4"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lang w:val="en-US"/>
              </w:rPr>
            </w:pPr>
          </w:p>
        </w:tc>
        <w:tc>
          <w:tcPr>
            <w:tcW w:w="2338" w:type="dxa"/>
            <w:tcBorders>
              <w:top w:val="single" w:sz="6"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Was follow-up long enough for outcomes to occur</w:t>
            </w:r>
          </w:p>
        </w:tc>
        <w:tc>
          <w:tcPr>
            <w:tcW w:w="1581" w:type="dxa"/>
            <w:tcBorders>
              <w:top w:val="single" w:sz="6"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B</w:t>
            </w:r>
          </w:p>
        </w:tc>
        <w:tc>
          <w:tcPr>
            <w:tcW w:w="1579" w:type="dxa"/>
            <w:tcBorders>
              <w:top w:val="single" w:sz="6"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927" w:type="dxa"/>
            <w:tcBorders>
              <w:top w:val="single" w:sz="6"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r>
      <w:tr w:rsidR="00653404" w:rsidRPr="00BB7BEF" w:rsidTr="006534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80"/>
        </w:trPr>
        <w:tc>
          <w:tcPr>
            <w:tcW w:w="1817" w:type="dxa"/>
            <w:tcBorders>
              <w:top w:val="single" w:sz="4"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lang w:val="en-US"/>
              </w:rPr>
            </w:pPr>
          </w:p>
        </w:tc>
        <w:tc>
          <w:tcPr>
            <w:tcW w:w="2338" w:type="dxa"/>
            <w:tcBorders>
              <w:top w:val="single" w:sz="4"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Adequacy of follow-up of cohorts</w:t>
            </w:r>
          </w:p>
        </w:tc>
        <w:tc>
          <w:tcPr>
            <w:tcW w:w="1581"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a*</w:t>
            </w:r>
          </w:p>
        </w:tc>
        <w:tc>
          <w:tcPr>
            <w:tcW w:w="1579"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C</w:t>
            </w:r>
          </w:p>
        </w:tc>
        <w:tc>
          <w:tcPr>
            <w:tcW w:w="1927" w:type="dxa"/>
            <w:tcBorders>
              <w:top w:val="single" w:sz="6" w:space="0" w:color="BFBFBF" w:themeColor="background1" w:themeShade="BF"/>
              <w:left w:val="single" w:sz="6" w:space="0" w:color="FFFFFF" w:themeColor="background1"/>
              <w:bottom w:val="single" w:sz="6"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lang w:val="en-US"/>
              </w:rPr>
            </w:pPr>
            <w:r w:rsidRPr="00BB7BEF">
              <w:rPr>
                <w:rFonts w:ascii="Times New Roman" w:hAnsi="Times New Roman" w:cs="Times New Roman"/>
                <w:lang w:val="en-US"/>
              </w:rPr>
              <w:t>b*</w:t>
            </w:r>
          </w:p>
        </w:tc>
      </w:tr>
      <w:tr w:rsidR="00653404" w:rsidRPr="00BB7BEF" w:rsidTr="001041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680"/>
        </w:trPr>
        <w:tc>
          <w:tcPr>
            <w:tcW w:w="4155" w:type="dxa"/>
            <w:gridSpan w:val="2"/>
            <w:tcBorders>
              <w:top w:val="single" w:sz="12"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Total # of stars (*)</w:t>
            </w:r>
          </w:p>
        </w:tc>
        <w:tc>
          <w:tcPr>
            <w:tcW w:w="1581" w:type="dxa"/>
            <w:tcBorders>
              <w:top w:val="single" w:sz="12"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b/>
                <w:lang w:val="en-US"/>
              </w:rPr>
            </w:pPr>
            <w:r w:rsidRPr="00BB7BEF">
              <w:rPr>
                <w:rFonts w:ascii="Times New Roman" w:hAnsi="Times New Roman" w:cs="Times New Roman"/>
                <w:b/>
                <w:lang w:val="en-US"/>
              </w:rPr>
              <w:t>6</w:t>
            </w:r>
          </w:p>
        </w:tc>
        <w:tc>
          <w:tcPr>
            <w:tcW w:w="1579" w:type="dxa"/>
            <w:tcBorders>
              <w:top w:val="single" w:sz="12"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b/>
                <w:lang w:val="en-US"/>
              </w:rPr>
            </w:pPr>
            <w:r w:rsidRPr="00BB7BEF">
              <w:rPr>
                <w:rFonts w:ascii="Times New Roman" w:hAnsi="Times New Roman" w:cs="Times New Roman"/>
                <w:b/>
                <w:lang w:val="en-US"/>
              </w:rPr>
              <w:t>8</w:t>
            </w:r>
          </w:p>
        </w:tc>
        <w:tc>
          <w:tcPr>
            <w:tcW w:w="1927" w:type="dxa"/>
            <w:tcBorders>
              <w:top w:val="single" w:sz="12" w:space="0" w:color="BFBFBF" w:themeColor="background1" w:themeShade="BF"/>
              <w:left w:val="single" w:sz="6" w:space="0" w:color="FFFFFF" w:themeColor="background1"/>
              <w:bottom w:val="single" w:sz="18" w:space="0" w:color="BFBFBF" w:themeColor="background1" w:themeShade="BF"/>
              <w:right w:val="single" w:sz="6" w:space="0" w:color="FFFFFF" w:themeColor="background1"/>
            </w:tcBorders>
            <w:vAlign w:val="center"/>
          </w:tcPr>
          <w:p w:rsidR="00653404" w:rsidRPr="00BB7BEF" w:rsidRDefault="00653404" w:rsidP="00104190">
            <w:pPr>
              <w:spacing w:line="480" w:lineRule="auto"/>
              <w:jc w:val="center"/>
              <w:rPr>
                <w:rFonts w:ascii="Times New Roman" w:hAnsi="Times New Roman" w:cs="Times New Roman"/>
                <w:b/>
                <w:lang w:val="en-US"/>
              </w:rPr>
            </w:pPr>
            <w:r w:rsidRPr="00BB7BEF">
              <w:rPr>
                <w:rFonts w:ascii="Times New Roman" w:hAnsi="Times New Roman" w:cs="Times New Roman"/>
                <w:b/>
                <w:lang w:val="en-US"/>
              </w:rPr>
              <w:t>9</w:t>
            </w:r>
          </w:p>
        </w:tc>
      </w:tr>
    </w:tbl>
    <w:p w:rsidR="00653404" w:rsidRPr="00BB7BEF" w:rsidRDefault="00653404" w:rsidP="00653404">
      <w:pPr>
        <w:spacing w:line="480" w:lineRule="auto"/>
        <w:rPr>
          <w:rFonts w:ascii="Times New Roman" w:hAnsi="Times New Roman" w:cs="Times New Roman"/>
          <w:sz w:val="24"/>
          <w:szCs w:val="24"/>
        </w:rPr>
      </w:pPr>
    </w:p>
    <w:p w:rsidR="00653404" w:rsidRPr="00BB7BEF" w:rsidRDefault="00653404" w:rsidP="00653404">
      <w:pPr>
        <w:spacing w:line="480" w:lineRule="auto"/>
        <w:rPr>
          <w:rFonts w:ascii="Times New Roman" w:hAnsi="Times New Roman" w:cs="Times New Roman"/>
          <w:sz w:val="24"/>
          <w:szCs w:val="24"/>
        </w:rPr>
      </w:pPr>
      <w:r w:rsidRPr="00BB7BEF">
        <w:rPr>
          <w:rFonts w:ascii="Times New Roman" w:hAnsi="Times New Roman" w:cs="Times New Roman"/>
          <w:sz w:val="24"/>
          <w:szCs w:val="24"/>
        </w:rPr>
        <w:br w:type="page"/>
      </w:r>
    </w:p>
    <w:tbl>
      <w:tblPr>
        <w:tblStyle w:val="Tabel-Gitter"/>
        <w:tblW w:w="92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093"/>
        <w:gridCol w:w="2270"/>
        <w:gridCol w:w="2408"/>
        <w:gridCol w:w="2471"/>
      </w:tblGrid>
      <w:tr w:rsidR="00653404" w:rsidRPr="00BB7BEF" w:rsidTr="00653404">
        <w:trPr>
          <w:trHeight w:val="948"/>
        </w:trPr>
        <w:tc>
          <w:tcPr>
            <w:tcW w:w="9242" w:type="dxa"/>
            <w:gridSpan w:val="4"/>
            <w:tcBorders>
              <w:top w:val="single" w:sz="18" w:space="0" w:color="BFBFBF" w:themeColor="background1" w:themeShade="BF"/>
              <w:bottom w:val="single" w:sz="18" w:space="0" w:color="BFBFBF" w:themeColor="background1" w:themeShade="BF"/>
            </w:tcBorders>
          </w:tcPr>
          <w:p w:rsidR="00653404" w:rsidRPr="00BB7BEF" w:rsidRDefault="00653404" w:rsidP="00653404">
            <w:pPr>
              <w:spacing w:after="200" w:line="480" w:lineRule="auto"/>
              <w:ind w:left="108"/>
              <w:rPr>
                <w:rFonts w:ascii="Times New Roman" w:hAnsi="Times New Roman" w:cs="Times New Roman"/>
              </w:rPr>
            </w:pPr>
            <w:r>
              <w:rPr>
                <w:rFonts w:ascii="Times New Roman" w:hAnsi="Times New Roman" w:cs="Times New Roman"/>
                <w:b/>
              </w:rPr>
              <w:lastRenderedPageBreak/>
              <w:t>Supplemental table 2</w:t>
            </w:r>
            <w:r w:rsidRPr="00BB7BEF">
              <w:rPr>
                <w:rFonts w:ascii="Times New Roman" w:hAnsi="Times New Roman" w:cs="Times New Roman"/>
              </w:rPr>
              <w:t>. Risk of Bias in Non-Randomized Studies of Intervention (ROBINS-I)</w:t>
            </w:r>
          </w:p>
        </w:tc>
      </w:tr>
      <w:tr w:rsidR="00653404" w:rsidRPr="00BB7BEF" w:rsidTr="00104190">
        <w:tblPrEx>
          <w:tblCellMar>
            <w:left w:w="108" w:type="dxa"/>
            <w:right w:w="108" w:type="dxa"/>
          </w:tblCellMar>
          <w:tblLook w:val="04A0" w:firstRow="1" w:lastRow="0" w:firstColumn="1" w:lastColumn="0" w:noHBand="0" w:noVBand="1"/>
        </w:tblPrEx>
        <w:trPr>
          <w:trHeight w:val="575"/>
        </w:trPr>
        <w:tc>
          <w:tcPr>
            <w:tcW w:w="2093" w:type="dxa"/>
            <w:tcBorders>
              <w:top w:val="single" w:sz="18" w:space="0" w:color="BFBFBF" w:themeColor="background1" w:themeShade="BF"/>
              <w:bottom w:val="single" w:sz="6" w:space="0" w:color="BFBFBF" w:themeColor="background1" w:themeShade="BF"/>
            </w:tcBorders>
            <w:shd w:val="clear" w:color="auto" w:fill="FFFFFF" w:themeFill="background1"/>
            <w:vAlign w:val="center"/>
          </w:tcPr>
          <w:p w:rsidR="00653404" w:rsidRPr="00BB7BEF" w:rsidRDefault="00653404" w:rsidP="00104190">
            <w:pPr>
              <w:spacing w:line="480" w:lineRule="auto"/>
              <w:jc w:val="center"/>
              <w:rPr>
                <w:rFonts w:ascii="Times New Roman" w:hAnsi="Times New Roman" w:cs="Times New Roman"/>
                <w:lang w:val="en-US"/>
              </w:rPr>
            </w:pPr>
          </w:p>
        </w:tc>
        <w:tc>
          <w:tcPr>
            <w:tcW w:w="2270" w:type="dxa"/>
            <w:tcBorders>
              <w:top w:val="single" w:sz="18" w:space="0" w:color="BFBFBF" w:themeColor="background1" w:themeShade="BF"/>
              <w:bottom w:val="single" w:sz="6" w:space="0" w:color="BFBFBF" w:themeColor="background1" w:themeShade="BF"/>
            </w:tcBorders>
            <w:shd w:val="clear" w:color="auto" w:fill="FFFFFF" w:themeFill="background1"/>
            <w:vAlign w:val="center"/>
          </w:tcPr>
          <w:p w:rsidR="00653404" w:rsidRPr="00BB7BEF" w:rsidRDefault="00653404" w:rsidP="00104190">
            <w:pPr>
              <w:spacing w:line="480" w:lineRule="auto"/>
              <w:jc w:val="center"/>
              <w:rPr>
                <w:rFonts w:ascii="Times New Roman" w:hAnsi="Times New Roman" w:cs="Times New Roman"/>
                <w:i/>
                <w:lang w:val="en-US"/>
              </w:rPr>
            </w:pPr>
            <w:r w:rsidRPr="00BB7BEF">
              <w:rPr>
                <w:rFonts w:ascii="Times New Roman" w:hAnsi="Times New Roman" w:cs="Times New Roman"/>
                <w:i/>
                <w:lang w:val="en-US"/>
              </w:rPr>
              <w:t xml:space="preserve">Cromartie, 1976 </w:t>
            </w:r>
            <w:r w:rsidRPr="00BB7BEF">
              <w:rPr>
                <w:rFonts w:ascii="Times New Roman" w:hAnsi="Times New Roman" w:cs="Times New Roman"/>
                <w:i/>
                <w:lang w:val="en-US"/>
              </w:rPr>
              <w:fldChar w:fldCharType="begin"/>
            </w:r>
            <w:r w:rsidRPr="00BB7BEF">
              <w:rPr>
                <w:rFonts w:ascii="Times New Roman" w:hAnsi="Times New Roman" w:cs="Times New Roman"/>
                <w:i/>
                <w:lang w:val="en-US"/>
              </w:rPr>
              <w:instrText xml:space="preserve"> ADDIN ZOTERO_ITEM CSL_CITATION {"citationID":"apg4vb1orm","properties":{"formattedCitation":"{\\rtf \\super 35\\nosupersub{}}","plainCitation":"35"},"citationItems":[{"id":7516,"uris":["http://zotero.org/users/2558997/items/WE9GTVMY"],"uri":["http://zotero.org/users/2558997/items/WE9GTVMY"],"itemData":{"id":7516,"type":"article-journal","title":"Rapid anesthesia induction in combat casualties with full stomachs","container-title":"Anesthesia and Analgesia","page":"74-76","volume":"55","issue":"1","source":"PubMed","abstract":"A series of 50 combat-injured patients given crash intubation for rapid induction of anesthesia is presented. The technic consisted of injection of 3 mg of d-tubocurarine and 0.4 mg of atropine IV, preoxygenation by face mask for 3 minutes, and then injection of sodium thiopental or ketamine, followed immediately by 60 to 80 mg of succinylcholine IV. Intubation was performed with a cuffed tube after cessation of spontaneous respirations and relaxation of the jaw. In the entire series there was no vomiting or aspiration on induction. Thirty-six patients were induced with thiopental and 14 with ketamine. Three patients given thiopental and 2 given ketamine had a fall in blood pressure to below 100 torr systolic. The average BP change was in a positive direction with both agents.","ISSN":"0003-2999","note":"PMID: 1108710","journalAbbreviation":"Anesth. Analg.","language":"eng","author":[{"family":"Cromartie","given":"R. S."}],"issued":{"date-parts":[["1976",2]]}}}],"schema":"https://github.com/citation-style-language/schema/raw/master/csl-citation.json"} </w:instrText>
            </w:r>
            <w:r w:rsidRPr="00BB7BEF">
              <w:rPr>
                <w:rFonts w:ascii="Times New Roman" w:hAnsi="Times New Roman" w:cs="Times New Roman"/>
                <w:i/>
                <w:lang w:val="en-US"/>
              </w:rPr>
              <w:fldChar w:fldCharType="separate"/>
            </w:r>
            <w:r w:rsidRPr="00897269">
              <w:rPr>
                <w:rFonts w:ascii="Times New Roman" w:hAnsi="Times New Roman" w:cs="Times New Roman"/>
                <w:vertAlign w:val="superscript"/>
              </w:rPr>
              <w:t>35</w:t>
            </w:r>
            <w:r w:rsidRPr="00BB7BEF">
              <w:rPr>
                <w:rFonts w:ascii="Times New Roman" w:hAnsi="Times New Roman" w:cs="Times New Roman"/>
                <w:i/>
                <w:lang w:val="en-US"/>
              </w:rPr>
              <w:fldChar w:fldCharType="end"/>
            </w:r>
          </w:p>
        </w:tc>
        <w:tc>
          <w:tcPr>
            <w:tcW w:w="2408" w:type="dxa"/>
            <w:tcBorders>
              <w:top w:val="single" w:sz="18" w:space="0" w:color="BFBFBF" w:themeColor="background1" w:themeShade="BF"/>
              <w:bottom w:val="single" w:sz="6" w:space="0" w:color="BFBFBF" w:themeColor="background1" w:themeShade="BF"/>
            </w:tcBorders>
            <w:shd w:val="clear" w:color="auto" w:fill="FFFFFF" w:themeFill="background1"/>
            <w:vAlign w:val="center"/>
          </w:tcPr>
          <w:p w:rsidR="00653404" w:rsidRPr="00BB7BEF" w:rsidRDefault="00653404" w:rsidP="00104190">
            <w:pPr>
              <w:spacing w:line="480" w:lineRule="auto"/>
              <w:jc w:val="center"/>
              <w:rPr>
                <w:rFonts w:ascii="Times New Roman" w:hAnsi="Times New Roman" w:cs="Times New Roman"/>
                <w:i/>
                <w:lang w:val="en-US"/>
              </w:rPr>
            </w:pPr>
            <w:r w:rsidRPr="00BB7BEF">
              <w:rPr>
                <w:rFonts w:ascii="Times New Roman" w:hAnsi="Times New Roman" w:cs="Times New Roman"/>
                <w:i/>
                <w:lang w:val="en-US"/>
              </w:rPr>
              <w:t xml:space="preserve">Lyon et al., 2015 </w:t>
            </w:r>
            <w:r w:rsidRPr="00BB7BEF">
              <w:rPr>
                <w:rFonts w:ascii="Times New Roman" w:hAnsi="Times New Roman" w:cs="Times New Roman"/>
                <w:i/>
                <w:lang w:val="en-US"/>
              </w:rPr>
              <w:fldChar w:fldCharType="begin"/>
            </w:r>
            <w:r w:rsidRPr="00BB7BEF">
              <w:rPr>
                <w:rFonts w:ascii="Times New Roman" w:hAnsi="Times New Roman" w:cs="Times New Roman"/>
                <w:i/>
                <w:lang w:val="en-US"/>
              </w:rPr>
              <w:instrText xml:space="preserve"> ADDIN ZOTERO_ITEM CSL_CITATION {"citationID":"a1v1q0d0rhg","properties":{"formattedCitation":"{\\rtf \\super 37\\nosupersub{}}","plainCitation":"37"},"citationItems":[{"id":7515,"uris":["http://zotero.org/users/2558997/items/KLJL5B3B"],"uri":["http://zotero.org/users/2558997/items/KLJL5B3B"],"itemData":{"id":7515,"type":"article-journal","title":"Significant modification of traditional rapid sequence induction improves safety and effectiveness of pre-hospital trauma anaesthesia","container-title":"Critical Care","volume":"19","issue":"1","source":"CrossRef","URL":"http://ccforum.com/content/19/1/134","DOI":"10.1186/s13054-015-0872-2","ISSN":"1364-8535","language":"en","author":[{"literal":"on behalf of Kent, Surrey &amp; Sussex Air Ambulance Trust"},{"family":"Lyon","given":"Richard M"},{"family":"Perkins","given":"Zane B"},{"family":"Chatterjee","given":"Debamoy"},{"family":"Lockey","given":"David J"},{"family":"Russell","given":"Malcolm Q"}],"issued":{"date-parts":[["2015",12]]},"accessed":{"date-parts":[["2017",8,30]]}}}],"schema":"https://github.com/citation-style-language/schema/raw/master/csl-citation.json"} </w:instrText>
            </w:r>
            <w:r w:rsidRPr="00BB7BEF">
              <w:rPr>
                <w:rFonts w:ascii="Times New Roman" w:hAnsi="Times New Roman" w:cs="Times New Roman"/>
                <w:i/>
                <w:lang w:val="en-US"/>
              </w:rPr>
              <w:fldChar w:fldCharType="separate"/>
            </w:r>
            <w:r w:rsidRPr="00897269">
              <w:rPr>
                <w:rFonts w:ascii="Times New Roman" w:hAnsi="Times New Roman" w:cs="Times New Roman"/>
                <w:vertAlign w:val="superscript"/>
              </w:rPr>
              <w:t>37</w:t>
            </w:r>
            <w:r w:rsidRPr="00BB7BEF">
              <w:rPr>
                <w:rFonts w:ascii="Times New Roman" w:hAnsi="Times New Roman" w:cs="Times New Roman"/>
                <w:i/>
                <w:lang w:val="en-US"/>
              </w:rPr>
              <w:fldChar w:fldCharType="end"/>
            </w:r>
          </w:p>
        </w:tc>
        <w:tc>
          <w:tcPr>
            <w:tcW w:w="2471" w:type="dxa"/>
            <w:tcBorders>
              <w:top w:val="single" w:sz="18" w:space="0" w:color="BFBFBF" w:themeColor="background1" w:themeShade="BF"/>
              <w:bottom w:val="single" w:sz="6" w:space="0" w:color="BFBFBF" w:themeColor="background1" w:themeShade="BF"/>
            </w:tcBorders>
            <w:shd w:val="clear" w:color="auto" w:fill="FFFFFF" w:themeFill="background1"/>
            <w:vAlign w:val="center"/>
          </w:tcPr>
          <w:p w:rsidR="00653404" w:rsidRPr="00BB7BEF" w:rsidRDefault="00653404" w:rsidP="00104190">
            <w:pPr>
              <w:spacing w:line="480" w:lineRule="auto"/>
              <w:jc w:val="center"/>
              <w:rPr>
                <w:rFonts w:ascii="Times New Roman" w:hAnsi="Times New Roman" w:cs="Times New Roman"/>
                <w:i/>
                <w:lang w:val="en-US"/>
              </w:rPr>
            </w:pPr>
            <w:r w:rsidRPr="00BB7BEF">
              <w:rPr>
                <w:rFonts w:ascii="Times New Roman" w:hAnsi="Times New Roman" w:cs="Times New Roman"/>
                <w:i/>
                <w:lang w:val="en-US"/>
              </w:rPr>
              <w:t xml:space="preserve">Upchurch et al., 2017 </w:t>
            </w:r>
            <w:r w:rsidRPr="00BB7BEF">
              <w:rPr>
                <w:rFonts w:ascii="Times New Roman" w:hAnsi="Times New Roman" w:cs="Times New Roman"/>
                <w:i/>
                <w:lang w:val="en-US"/>
              </w:rPr>
              <w:fldChar w:fldCharType="begin"/>
            </w:r>
            <w:r w:rsidRPr="00BB7BEF">
              <w:rPr>
                <w:rFonts w:ascii="Times New Roman" w:hAnsi="Times New Roman" w:cs="Times New Roman"/>
                <w:i/>
                <w:lang w:val="en-US"/>
              </w:rPr>
              <w:instrText xml:space="preserve"> ADDIN ZOTERO_ITEM CSL_CITATION {"citationID":"a26ut3iule9","properties":{"formattedCitation":"{\\rtf \\super 38\\nosupersub{}}","plainCitation":"38"},"citationItems":[{"id":7497,"uris":["http://zotero.org/users/2558997/items/J3Z55F34"],"uri":["http://zotero.org/users/2558997/items/J3Z55F34"],"itemData":{"id":7497,"type":"article-journal","title":"Comparison of Etomidate and Ketamine for Induction During Rapid Sequence Intubation of Adult Trauma Patients","container-title":"Annals of Emergency Medicine","page":"24-33.e2","volume":"69","issue":"1","source":"CrossRef","DOI":"10.1016/j.annemergmed.2016.08.009","ISSN":"01960644","language":"en","author":[{"family":"Upchurch","given":"Cameron P."},{"family":"Grijalva","given":"Carlos G."},{"family":"Russ","given":"Stephan"},{"family":"Collins","given":"Sean P."},{"family":"Semler","given":"Matthew W."},{"family":"Rice","given":"Todd W."},{"family":"Liu","given":"Dandan"},{"family":"Ehrenfeld","given":"Jesse M."},{"family":"High","given":"Kevin"},{"family":"Barrett","given":"Tyler W."},{"family":"McNaughton","given":"Candace D."},{"family":"Self","given":"Wesley H."}],"issued":{"date-parts":[["2017",1]]}}}],"schema":"https://github.com/citation-style-language/schema/raw/master/csl-citation.json"} </w:instrText>
            </w:r>
            <w:r w:rsidRPr="00BB7BEF">
              <w:rPr>
                <w:rFonts w:ascii="Times New Roman" w:hAnsi="Times New Roman" w:cs="Times New Roman"/>
                <w:i/>
                <w:lang w:val="en-US"/>
              </w:rPr>
              <w:fldChar w:fldCharType="separate"/>
            </w:r>
            <w:r w:rsidRPr="00897269">
              <w:rPr>
                <w:rFonts w:ascii="Times New Roman" w:hAnsi="Times New Roman" w:cs="Times New Roman"/>
                <w:vertAlign w:val="superscript"/>
              </w:rPr>
              <w:t>38</w:t>
            </w:r>
            <w:r w:rsidRPr="00BB7BEF">
              <w:rPr>
                <w:rFonts w:ascii="Times New Roman" w:hAnsi="Times New Roman" w:cs="Times New Roman"/>
                <w:i/>
                <w:lang w:val="en-US"/>
              </w:rPr>
              <w:fldChar w:fldCharType="end"/>
            </w:r>
          </w:p>
        </w:tc>
      </w:tr>
      <w:tr w:rsidR="00653404" w:rsidRPr="00BB7BEF" w:rsidTr="00104190">
        <w:tblPrEx>
          <w:tblCellMar>
            <w:left w:w="108" w:type="dxa"/>
            <w:right w:w="108" w:type="dxa"/>
          </w:tblCellMar>
          <w:tblLook w:val="04A0" w:firstRow="1" w:lastRow="0" w:firstColumn="1" w:lastColumn="0" w:noHBand="0" w:noVBand="1"/>
        </w:tblPrEx>
        <w:trPr>
          <w:trHeight w:val="674"/>
        </w:trPr>
        <w:tc>
          <w:tcPr>
            <w:tcW w:w="2093"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Confounding</w:t>
            </w:r>
          </w:p>
        </w:tc>
        <w:tc>
          <w:tcPr>
            <w:tcW w:w="2270"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Low/Moderate/</w:t>
            </w:r>
            <w:r w:rsidRPr="00BB7BEF">
              <w:rPr>
                <w:rFonts w:ascii="Times New Roman" w:hAnsi="Times New Roman" w:cs="Times New Roman"/>
                <w:lang w:val="en-US"/>
              </w:rPr>
              <w:br/>
              <w:t>Serious/</w:t>
            </w:r>
            <w:r w:rsidRPr="00BB7BEF">
              <w:rPr>
                <w:rFonts w:ascii="Times New Roman" w:hAnsi="Times New Roman" w:cs="Times New Roman"/>
                <w:highlight w:val="lightGray"/>
                <w:lang w:val="en-US"/>
              </w:rPr>
              <w:t>Critical</w:t>
            </w:r>
          </w:p>
        </w:tc>
        <w:tc>
          <w:tcPr>
            <w:tcW w:w="2408"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r w:rsidRPr="00BB7BEF">
              <w:rPr>
                <w:rFonts w:ascii="Times New Roman" w:hAnsi="Times New Roman" w:cs="Times New Roman"/>
                <w:highlight w:val="lightGray"/>
                <w:lang w:val="en-US"/>
              </w:rPr>
              <w:t>Moderate</w:t>
            </w:r>
            <w:r w:rsidRPr="00BB7BEF">
              <w:rPr>
                <w:rFonts w:ascii="Times New Roman" w:hAnsi="Times New Roman" w:cs="Times New Roman"/>
                <w:lang w:val="en-US"/>
              </w:rPr>
              <w:t>/</w:t>
            </w:r>
            <w:r w:rsidRPr="00BB7BEF">
              <w:rPr>
                <w:rFonts w:ascii="Times New Roman" w:hAnsi="Times New Roman" w:cs="Times New Roman"/>
                <w:lang w:val="en-US"/>
              </w:rPr>
              <w:br/>
              <w:t>Serious/Critical</w:t>
            </w:r>
          </w:p>
        </w:tc>
        <w:tc>
          <w:tcPr>
            <w:tcW w:w="2471" w:type="dxa"/>
            <w:tcBorders>
              <w:top w:val="single" w:sz="6" w:space="0" w:color="BFBFBF" w:themeColor="background1" w:themeShade="BF"/>
              <w:bottom w:val="single" w:sz="6" w:space="0" w:color="808080" w:themeColor="background1" w:themeShade="80"/>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r w:rsidRPr="00BB7BEF">
              <w:rPr>
                <w:rFonts w:ascii="Times New Roman" w:hAnsi="Times New Roman" w:cs="Times New Roman"/>
                <w:highlight w:val="lightGray"/>
                <w:lang w:val="en-US"/>
              </w:rPr>
              <w:t>Moderate</w:t>
            </w:r>
            <w:r w:rsidRPr="00BB7BEF">
              <w:rPr>
                <w:rFonts w:ascii="Times New Roman" w:hAnsi="Times New Roman" w:cs="Times New Roman"/>
                <w:lang w:val="en-US"/>
              </w:rPr>
              <w:t>/</w:t>
            </w:r>
            <w:r w:rsidRPr="00BB7BEF">
              <w:rPr>
                <w:rFonts w:ascii="Times New Roman" w:hAnsi="Times New Roman" w:cs="Times New Roman"/>
                <w:lang w:val="en-US"/>
              </w:rPr>
              <w:br/>
              <w:t>Serious/Critical</w:t>
            </w:r>
          </w:p>
        </w:tc>
      </w:tr>
      <w:tr w:rsidR="00653404" w:rsidRPr="00BB7BEF" w:rsidTr="00104190">
        <w:tblPrEx>
          <w:tblCellMar>
            <w:left w:w="108" w:type="dxa"/>
            <w:right w:w="108" w:type="dxa"/>
          </w:tblCellMar>
          <w:tblLook w:val="04A0" w:firstRow="1" w:lastRow="0" w:firstColumn="1" w:lastColumn="0" w:noHBand="0" w:noVBand="1"/>
        </w:tblPrEx>
        <w:trPr>
          <w:trHeight w:val="674"/>
        </w:trPr>
        <w:tc>
          <w:tcPr>
            <w:tcW w:w="2093"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Selection</w:t>
            </w:r>
          </w:p>
        </w:tc>
        <w:tc>
          <w:tcPr>
            <w:tcW w:w="2270"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Low/Moderate/</w:t>
            </w:r>
            <w:r w:rsidRPr="00BB7BEF">
              <w:rPr>
                <w:rFonts w:ascii="Times New Roman" w:hAnsi="Times New Roman" w:cs="Times New Roman"/>
                <w:lang w:val="en-US"/>
              </w:rPr>
              <w:br/>
              <w:t>Serious/</w:t>
            </w:r>
            <w:r w:rsidRPr="00BB7BEF">
              <w:rPr>
                <w:rFonts w:ascii="Times New Roman" w:hAnsi="Times New Roman" w:cs="Times New Roman"/>
                <w:highlight w:val="lightGray"/>
                <w:lang w:val="en-US"/>
              </w:rPr>
              <w:t>Critical</w:t>
            </w:r>
          </w:p>
        </w:tc>
        <w:tc>
          <w:tcPr>
            <w:tcW w:w="2408"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highlight w:val="lightGray"/>
                <w:lang w:val="en-US"/>
              </w:rPr>
              <w:t>Low</w:t>
            </w:r>
            <w:r w:rsidRPr="00BB7BEF">
              <w:rPr>
                <w:rFonts w:ascii="Times New Roman" w:hAnsi="Times New Roman" w:cs="Times New Roman"/>
                <w:lang w:val="en-US"/>
              </w:rPr>
              <w:t>/Moderate/</w:t>
            </w:r>
            <w:r w:rsidRPr="00BB7BEF">
              <w:rPr>
                <w:rFonts w:ascii="Times New Roman" w:hAnsi="Times New Roman" w:cs="Times New Roman"/>
                <w:lang w:val="en-US"/>
              </w:rPr>
              <w:br/>
              <w:t>Serious/Critical</w:t>
            </w:r>
          </w:p>
        </w:tc>
        <w:tc>
          <w:tcPr>
            <w:tcW w:w="2471" w:type="dxa"/>
            <w:tcBorders>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highlight w:val="lightGray"/>
                <w:lang w:val="en-US"/>
              </w:rPr>
              <w:t>Low</w:t>
            </w:r>
            <w:r w:rsidRPr="00BB7BEF">
              <w:rPr>
                <w:rFonts w:ascii="Times New Roman" w:hAnsi="Times New Roman" w:cs="Times New Roman"/>
                <w:lang w:val="en-US"/>
              </w:rPr>
              <w:t>/Moderate/</w:t>
            </w:r>
            <w:r w:rsidRPr="00BB7BEF">
              <w:rPr>
                <w:rFonts w:ascii="Times New Roman" w:hAnsi="Times New Roman" w:cs="Times New Roman"/>
                <w:lang w:val="en-US"/>
              </w:rPr>
              <w:br/>
              <w:t>Serious/Critical</w:t>
            </w:r>
          </w:p>
        </w:tc>
      </w:tr>
      <w:tr w:rsidR="00653404" w:rsidRPr="00BB7BEF" w:rsidTr="00104190">
        <w:tblPrEx>
          <w:tblCellMar>
            <w:left w:w="108" w:type="dxa"/>
            <w:right w:w="108" w:type="dxa"/>
          </w:tblCellMar>
          <w:tblLook w:val="04A0" w:firstRow="1" w:lastRow="0" w:firstColumn="1" w:lastColumn="0" w:noHBand="0" w:noVBand="1"/>
        </w:tblPrEx>
        <w:trPr>
          <w:trHeight w:val="821"/>
        </w:trPr>
        <w:tc>
          <w:tcPr>
            <w:tcW w:w="2093"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Measurement of intervention</w:t>
            </w:r>
          </w:p>
        </w:tc>
        <w:tc>
          <w:tcPr>
            <w:tcW w:w="2270"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Low/Moderate</w:t>
            </w:r>
            <w:r w:rsidRPr="00BB7BEF">
              <w:rPr>
                <w:rFonts w:ascii="Times New Roman" w:hAnsi="Times New Roman" w:cs="Times New Roman"/>
                <w:lang w:val="en-US"/>
              </w:rPr>
              <w:br/>
              <w:t>/</w:t>
            </w:r>
            <w:r w:rsidRPr="00BB7BEF">
              <w:rPr>
                <w:rFonts w:ascii="Times New Roman" w:hAnsi="Times New Roman" w:cs="Times New Roman"/>
                <w:highlight w:val="lightGray"/>
                <w:lang w:val="en-US"/>
              </w:rPr>
              <w:t>Serious</w:t>
            </w:r>
            <w:r w:rsidRPr="00BB7BEF">
              <w:rPr>
                <w:rFonts w:ascii="Times New Roman" w:hAnsi="Times New Roman" w:cs="Times New Roman"/>
                <w:lang w:val="en-US"/>
              </w:rPr>
              <w:t>/Critical</w:t>
            </w:r>
          </w:p>
        </w:tc>
        <w:tc>
          <w:tcPr>
            <w:tcW w:w="2408"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highlight w:val="lightGray"/>
                <w:lang w:val="en-US"/>
              </w:rPr>
              <w:t>Low</w:t>
            </w:r>
            <w:r w:rsidRPr="00BB7BEF">
              <w:rPr>
                <w:rFonts w:ascii="Times New Roman" w:hAnsi="Times New Roman" w:cs="Times New Roman"/>
                <w:lang w:val="en-US"/>
              </w:rPr>
              <w:t>/Moderate/</w:t>
            </w:r>
            <w:r w:rsidRPr="00BB7BEF">
              <w:rPr>
                <w:rFonts w:ascii="Times New Roman" w:hAnsi="Times New Roman" w:cs="Times New Roman"/>
                <w:lang w:val="en-US"/>
              </w:rPr>
              <w:br/>
              <w:t>Serious/Critical</w:t>
            </w:r>
          </w:p>
        </w:tc>
        <w:tc>
          <w:tcPr>
            <w:tcW w:w="2471"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Low/Moderate/</w:t>
            </w:r>
            <w:r w:rsidRPr="00BB7BEF">
              <w:rPr>
                <w:rFonts w:ascii="Times New Roman" w:hAnsi="Times New Roman" w:cs="Times New Roman"/>
                <w:lang w:val="en-US"/>
              </w:rPr>
              <w:br/>
            </w:r>
            <w:r w:rsidRPr="00BB7BEF">
              <w:rPr>
                <w:rFonts w:ascii="Times New Roman" w:hAnsi="Times New Roman" w:cs="Times New Roman"/>
                <w:highlight w:val="lightGray"/>
                <w:lang w:val="en-US"/>
              </w:rPr>
              <w:t>Serious</w:t>
            </w:r>
            <w:r w:rsidRPr="00BB7BEF">
              <w:rPr>
                <w:rFonts w:ascii="Times New Roman" w:hAnsi="Times New Roman" w:cs="Times New Roman"/>
                <w:lang w:val="en-US"/>
              </w:rPr>
              <w:t>/Critical</w:t>
            </w:r>
          </w:p>
        </w:tc>
      </w:tr>
      <w:tr w:rsidR="00653404" w:rsidRPr="00BB7BEF" w:rsidTr="00104190">
        <w:tblPrEx>
          <w:tblCellMar>
            <w:left w:w="108" w:type="dxa"/>
            <w:right w:w="108" w:type="dxa"/>
          </w:tblCellMar>
          <w:tblLook w:val="04A0" w:firstRow="1" w:lastRow="0" w:firstColumn="1" w:lastColumn="0" w:noHBand="0" w:noVBand="1"/>
        </w:tblPrEx>
        <w:trPr>
          <w:trHeight w:val="1257"/>
        </w:trPr>
        <w:tc>
          <w:tcPr>
            <w:tcW w:w="2093"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 xml:space="preserve">Deviations from intended </w:t>
            </w:r>
          </w:p>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intervention</w:t>
            </w:r>
          </w:p>
        </w:tc>
        <w:tc>
          <w:tcPr>
            <w:tcW w:w="2270"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Low/Moderate/</w:t>
            </w:r>
            <w:r w:rsidRPr="00BB7BEF">
              <w:rPr>
                <w:rFonts w:ascii="Times New Roman" w:hAnsi="Times New Roman" w:cs="Times New Roman"/>
                <w:lang w:val="en-US"/>
              </w:rPr>
              <w:br/>
            </w:r>
            <w:r w:rsidRPr="00BB7BEF">
              <w:rPr>
                <w:rFonts w:ascii="Times New Roman" w:hAnsi="Times New Roman" w:cs="Times New Roman"/>
                <w:highlight w:val="lightGray"/>
                <w:lang w:val="en-US"/>
              </w:rPr>
              <w:t>Serious</w:t>
            </w:r>
            <w:r w:rsidRPr="00BB7BEF">
              <w:rPr>
                <w:rFonts w:ascii="Times New Roman" w:hAnsi="Times New Roman" w:cs="Times New Roman"/>
                <w:lang w:val="en-US"/>
              </w:rPr>
              <w:t>/Critical</w:t>
            </w:r>
          </w:p>
        </w:tc>
        <w:tc>
          <w:tcPr>
            <w:tcW w:w="2408"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r w:rsidRPr="00BB7BEF">
              <w:rPr>
                <w:rFonts w:ascii="Times New Roman" w:hAnsi="Times New Roman" w:cs="Times New Roman"/>
                <w:highlight w:val="lightGray"/>
                <w:lang w:val="en-US"/>
              </w:rPr>
              <w:t>Moderate</w:t>
            </w:r>
            <w:r w:rsidRPr="00BB7BEF">
              <w:rPr>
                <w:rFonts w:ascii="Times New Roman" w:hAnsi="Times New Roman" w:cs="Times New Roman"/>
                <w:lang w:val="en-US"/>
              </w:rPr>
              <w:t>/</w:t>
            </w:r>
            <w:r w:rsidRPr="00BB7BEF">
              <w:rPr>
                <w:rFonts w:ascii="Times New Roman" w:hAnsi="Times New Roman" w:cs="Times New Roman"/>
                <w:lang w:val="en-US"/>
              </w:rPr>
              <w:br/>
              <w:t>Serious/Critical</w:t>
            </w:r>
          </w:p>
        </w:tc>
        <w:tc>
          <w:tcPr>
            <w:tcW w:w="2471"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r w:rsidRPr="00BB7BEF">
              <w:rPr>
                <w:rFonts w:ascii="Times New Roman" w:hAnsi="Times New Roman" w:cs="Times New Roman"/>
                <w:highlight w:val="lightGray"/>
                <w:lang w:val="en-US"/>
              </w:rPr>
              <w:t>Moderate</w:t>
            </w:r>
            <w:r w:rsidRPr="00BB7BEF">
              <w:rPr>
                <w:rFonts w:ascii="Times New Roman" w:hAnsi="Times New Roman" w:cs="Times New Roman"/>
                <w:lang w:val="en-US"/>
              </w:rPr>
              <w:t>/</w:t>
            </w:r>
            <w:r w:rsidRPr="00BB7BEF">
              <w:rPr>
                <w:rFonts w:ascii="Times New Roman" w:hAnsi="Times New Roman" w:cs="Times New Roman"/>
                <w:lang w:val="en-US"/>
              </w:rPr>
              <w:br/>
              <w:t>Serious/Critical</w:t>
            </w:r>
          </w:p>
        </w:tc>
      </w:tr>
      <w:tr w:rsidR="00653404" w:rsidRPr="00BB7BEF" w:rsidTr="00104190">
        <w:tblPrEx>
          <w:tblCellMar>
            <w:left w:w="108" w:type="dxa"/>
            <w:right w:w="108" w:type="dxa"/>
          </w:tblCellMar>
          <w:tblLook w:val="04A0" w:firstRow="1" w:lastRow="0" w:firstColumn="1" w:lastColumn="0" w:noHBand="0" w:noVBand="1"/>
        </w:tblPrEx>
        <w:trPr>
          <w:trHeight w:val="821"/>
        </w:trPr>
        <w:tc>
          <w:tcPr>
            <w:tcW w:w="2093"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Missing data</w:t>
            </w:r>
          </w:p>
        </w:tc>
        <w:tc>
          <w:tcPr>
            <w:tcW w:w="2270"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r w:rsidRPr="00BB7BEF">
              <w:rPr>
                <w:rFonts w:ascii="Times New Roman" w:hAnsi="Times New Roman" w:cs="Times New Roman"/>
                <w:highlight w:val="lightGray"/>
                <w:lang w:val="en-US"/>
              </w:rPr>
              <w:t>Moderate</w:t>
            </w:r>
            <w:r w:rsidRPr="00BB7BEF">
              <w:rPr>
                <w:rFonts w:ascii="Times New Roman" w:hAnsi="Times New Roman" w:cs="Times New Roman"/>
                <w:lang w:val="en-US"/>
              </w:rPr>
              <w:t>/</w:t>
            </w:r>
            <w:r w:rsidRPr="00BB7BEF">
              <w:rPr>
                <w:rFonts w:ascii="Times New Roman" w:hAnsi="Times New Roman" w:cs="Times New Roman"/>
                <w:lang w:val="en-US"/>
              </w:rPr>
              <w:br/>
              <w:t>Serious/Critical</w:t>
            </w:r>
          </w:p>
        </w:tc>
        <w:tc>
          <w:tcPr>
            <w:tcW w:w="2408"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Low/Moderate/</w:t>
            </w:r>
            <w:r w:rsidRPr="00BB7BEF">
              <w:rPr>
                <w:rFonts w:ascii="Times New Roman" w:hAnsi="Times New Roman" w:cs="Times New Roman"/>
                <w:lang w:val="en-US"/>
              </w:rPr>
              <w:br/>
            </w:r>
            <w:r w:rsidRPr="00BB7BEF">
              <w:rPr>
                <w:rFonts w:ascii="Times New Roman" w:hAnsi="Times New Roman" w:cs="Times New Roman"/>
                <w:highlight w:val="lightGray"/>
                <w:lang w:val="en-US"/>
              </w:rPr>
              <w:t>Serious</w:t>
            </w:r>
            <w:r w:rsidRPr="00BB7BEF">
              <w:rPr>
                <w:rFonts w:ascii="Times New Roman" w:hAnsi="Times New Roman" w:cs="Times New Roman"/>
                <w:lang w:val="en-US"/>
              </w:rPr>
              <w:t>/Critical</w:t>
            </w:r>
          </w:p>
        </w:tc>
        <w:tc>
          <w:tcPr>
            <w:tcW w:w="2471"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r w:rsidRPr="00BB7BEF">
              <w:rPr>
                <w:rFonts w:ascii="Times New Roman" w:hAnsi="Times New Roman" w:cs="Times New Roman"/>
                <w:highlight w:val="lightGray"/>
                <w:lang w:val="en-US"/>
              </w:rPr>
              <w:t>Moderate</w:t>
            </w:r>
            <w:r w:rsidRPr="00BB7BEF">
              <w:rPr>
                <w:rFonts w:ascii="Times New Roman" w:hAnsi="Times New Roman" w:cs="Times New Roman"/>
                <w:lang w:val="en-US"/>
              </w:rPr>
              <w:t>/</w:t>
            </w:r>
            <w:r w:rsidRPr="00BB7BEF">
              <w:rPr>
                <w:rFonts w:ascii="Times New Roman" w:hAnsi="Times New Roman" w:cs="Times New Roman"/>
                <w:lang w:val="en-US"/>
              </w:rPr>
              <w:br/>
              <w:t>Serious/Critical</w:t>
            </w:r>
          </w:p>
        </w:tc>
      </w:tr>
      <w:tr w:rsidR="00653404" w:rsidRPr="00BB7BEF" w:rsidTr="00104190">
        <w:tblPrEx>
          <w:tblCellMar>
            <w:left w:w="108" w:type="dxa"/>
            <w:right w:w="108" w:type="dxa"/>
          </w:tblCellMar>
          <w:tblLook w:val="04A0" w:firstRow="1" w:lastRow="0" w:firstColumn="1" w:lastColumn="0" w:noHBand="0" w:noVBand="1"/>
        </w:tblPrEx>
        <w:trPr>
          <w:trHeight w:val="821"/>
        </w:trPr>
        <w:tc>
          <w:tcPr>
            <w:tcW w:w="2093"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Measurement of outcomes</w:t>
            </w:r>
          </w:p>
        </w:tc>
        <w:tc>
          <w:tcPr>
            <w:tcW w:w="2270"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Low/Moderate/</w:t>
            </w:r>
            <w:r w:rsidRPr="00BB7BEF">
              <w:rPr>
                <w:rFonts w:ascii="Times New Roman" w:hAnsi="Times New Roman" w:cs="Times New Roman"/>
                <w:lang w:val="en-US"/>
              </w:rPr>
              <w:br/>
            </w:r>
            <w:r w:rsidRPr="00BB7BEF">
              <w:rPr>
                <w:rFonts w:ascii="Times New Roman" w:hAnsi="Times New Roman" w:cs="Times New Roman"/>
                <w:highlight w:val="lightGray"/>
                <w:lang w:val="en-US"/>
              </w:rPr>
              <w:t>Serious</w:t>
            </w:r>
            <w:r w:rsidRPr="00BB7BEF">
              <w:rPr>
                <w:rFonts w:ascii="Times New Roman" w:hAnsi="Times New Roman" w:cs="Times New Roman"/>
                <w:lang w:val="en-US"/>
              </w:rPr>
              <w:t>/Critical</w:t>
            </w:r>
          </w:p>
        </w:tc>
        <w:tc>
          <w:tcPr>
            <w:tcW w:w="2408" w:type="dxa"/>
            <w:tcBorders>
              <w:top w:val="single" w:sz="6" w:space="0" w:color="BFBFBF" w:themeColor="background1" w:themeShade="BF"/>
              <w:bottom w:val="single" w:sz="6"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Low/Moderate/</w:t>
            </w:r>
            <w:r w:rsidRPr="00BB7BEF">
              <w:rPr>
                <w:rFonts w:ascii="Times New Roman" w:hAnsi="Times New Roman" w:cs="Times New Roman"/>
                <w:lang w:val="en-US"/>
              </w:rPr>
              <w:br/>
            </w:r>
            <w:r w:rsidRPr="00BB7BEF">
              <w:rPr>
                <w:rFonts w:ascii="Times New Roman" w:hAnsi="Times New Roman" w:cs="Times New Roman"/>
                <w:highlight w:val="lightGray"/>
                <w:lang w:val="en-US"/>
              </w:rPr>
              <w:t>Serious</w:t>
            </w:r>
            <w:r w:rsidRPr="00BB7BEF">
              <w:rPr>
                <w:rFonts w:ascii="Times New Roman" w:hAnsi="Times New Roman" w:cs="Times New Roman"/>
                <w:lang w:val="en-US"/>
              </w:rPr>
              <w:t>/Critical</w:t>
            </w:r>
          </w:p>
        </w:tc>
        <w:tc>
          <w:tcPr>
            <w:tcW w:w="2471" w:type="dxa"/>
            <w:tcBorders>
              <w:top w:val="single" w:sz="6" w:space="0" w:color="BFBFBF" w:themeColor="background1" w:themeShade="BF"/>
              <w:bottom w:val="single" w:sz="6" w:space="0" w:color="808080" w:themeColor="background1" w:themeShade="80"/>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r w:rsidRPr="00BB7BEF">
              <w:rPr>
                <w:rFonts w:ascii="Times New Roman" w:hAnsi="Times New Roman" w:cs="Times New Roman"/>
                <w:highlight w:val="lightGray"/>
                <w:lang w:val="en-US"/>
              </w:rPr>
              <w:t>Moderate</w:t>
            </w:r>
            <w:r w:rsidRPr="00BB7BEF">
              <w:rPr>
                <w:rFonts w:ascii="Times New Roman" w:hAnsi="Times New Roman" w:cs="Times New Roman"/>
                <w:lang w:val="en-US"/>
              </w:rPr>
              <w:t>/</w:t>
            </w:r>
            <w:r w:rsidRPr="00BB7BEF">
              <w:rPr>
                <w:rFonts w:ascii="Times New Roman" w:hAnsi="Times New Roman" w:cs="Times New Roman"/>
                <w:lang w:val="en-US"/>
              </w:rPr>
              <w:br/>
              <w:t>Serious/Critical</w:t>
            </w:r>
          </w:p>
        </w:tc>
      </w:tr>
      <w:tr w:rsidR="00653404" w:rsidRPr="00BB7BEF" w:rsidTr="00104190">
        <w:tblPrEx>
          <w:tblCellMar>
            <w:left w:w="108" w:type="dxa"/>
            <w:right w:w="108" w:type="dxa"/>
          </w:tblCellMar>
          <w:tblLook w:val="04A0" w:firstRow="1" w:lastRow="0" w:firstColumn="1" w:lastColumn="0" w:noHBand="0" w:noVBand="1"/>
        </w:tblPrEx>
        <w:trPr>
          <w:trHeight w:val="821"/>
        </w:trPr>
        <w:tc>
          <w:tcPr>
            <w:tcW w:w="2093" w:type="dxa"/>
            <w:tcBorders>
              <w:top w:val="single" w:sz="6" w:space="0" w:color="BFBFBF" w:themeColor="background1" w:themeShade="BF"/>
              <w:bottom w:val="single" w:sz="18"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Reported results</w:t>
            </w:r>
          </w:p>
        </w:tc>
        <w:tc>
          <w:tcPr>
            <w:tcW w:w="2270" w:type="dxa"/>
            <w:tcBorders>
              <w:top w:val="single" w:sz="6" w:space="0" w:color="BFBFBF" w:themeColor="background1" w:themeShade="BF"/>
              <w:bottom w:val="single" w:sz="18"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highlight w:val="lightGray"/>
                <w:lang w:val="en-US"/>
              </w:rPr>
              <w:t>Low</w:t>
            </w:r>
            <w:r w:rsidRPr="00BB7BEF">
              <w:rPr>
                <w:rFonts w:ascii="Times New Roman" w:hAnsi="Times New Roman" w:cs="Times New Roman"/>
                <w:lang w:val="en-US"/>
              </w:rPr>
              <w:t>/Moderate/</w:t>
            </w:r>
            <w:r w:rsidRPr="00BB7BEF">
              <w:rPr>
                <w:rFonts w:ascii="Times New Roman" w:hAnsi="Times New Roman" w:cs="Times New Roman"/>
                <w:lang w:val="en-US"/>
              </w:rPr>
              <w:br/>
              <w:t>Serious/Critical</w:t>
            </w:r>
          </w:p>
        </w:tc>
        <w:tc>
          <w:tcPr>
            <w:tcW w:w="2408" w:type="dxa"/>
            <w:tcBorders>
              <w:top w:val="single" w:sz="6" w:space="0" w:color="BFBFBF" w:themeColor="background1" w:themeShade="BF"/>
              <w:bottom w:val="single" w:sz="18"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highlight w:val="lightGray"/>
                <w:lang w:val="en-US"/>
              </w:rPr>
              <w:t>Low</w:t>
            </w:r>
            <w:r w:rsidRPr="00BB7BEF">
              <w:rPr>
                <w:rFonts w:ascii="Times New Roman" w:hAnsi="Times New Roman" w:cs="Times New Roman"/>
                <w:lang w:val="en-US"/>
              </w:rPr>
              <w:t>/Moderate/</w:t>
            </w:r>
            <w:r w:rsidRPr="00BB7BEF">
              <w:rPr>
                <w:rFonts w:ascii="Times New Roman" w:hAnsi="Times New Roman" w:cs="Times New Roman"/>
                <w:lang w:val="en-US"/>
              </w:rPr>
              <w:br/>
              <w:t>Serious/Critical</w:t>
            </w:r>
          </w:p>
        </w:tc>
        <w:tc>
          <w:tcPr>
            <w:tcW w:w="2471" w:type="dxa"/>
            <w:tcBorders>
              <w:top w:val="single" w:sz="6" w:space="0" w:color="808080" w:themeColor="background1" w:themeShade="80"/>
              <w:bottom w:val="single" w:sz="18"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highlight w:val="lightGray"/>
                <w:lang w:val="en-US"/>
              </w:rPr>
              <w:t>Low</w:t>
            </w:r>
            <w:r w:rsidRPr="00BB7BEF">
              <w:rPr>
                <w:rFonts w:ascii="Times New Roman" w:hAnsi="Times New Roman" w:cs="Times New Roman"/>
                <w:lang w:val="en-US"/>
              </w:rPr>
              <w:t>/Moderate/</w:t>
            </w:r>
            <w:r w:rsidRPr="00BB7BEF">
              <w:rPr>
                <w:rFonts w:ascii="Times New Roman" w:hAnsi="Times New Roman" w:cs="Times New Roman"/>
                <w:lang w:val="en-US"/>
              </w:rPr>
              <w:br/>
              <w:t>Serious/Critical</w:t>
            </w:r>
          </w:p>
        </w:tc>
      </w:tr>
      <w:tr w:rsidR="00653404" w:rsidRPr="00BB7BEF" w:rsidTr="00104190">
        <w:tblPrEx>
          <w:tblCellMar>
            <w:left w:w="108" w:type="dxa"/>
            <w:right w:w="108" w:type="dxa"/>
          </w:tblCellMar>
          <w:tblLook w:val="04A0" w:firstRow="1" w:lastRow="0" w:firstColumn="1" w:lastColumn="0" w:noHBand="0" w:noVBand="1"/>
        </w:tblPrEx>
        <w:trPr>
          <w:trHeight w:val="821"/>
        </w:trPr>
        <w:tc>
          <w:tcPr>
            <w:tcW w:w="2093" w:type="dxa"/>
            <w:tcBorders>
              <w:top w:val="single" w:sz="18" w:space="0" w:color="BFBFBF" w:themeColor="background1" w:themeShade="BF"/>
              <w:bottom w:val="single" w:sz="18" w:space="0" w:color="BFBFBF" w:themeColor="background1" w:themeShade="BF"/>
            </w:tcBorders>
          </w:tcPr>
          <w:p w:rsidR="00653404" w:rsidRPr="00BB7BEF" w:rsidRDefault="00653404" w:rsidP="00104190">
            <w:pPr>
              <w:spacing w:line="480" w:lineRule="auto"/>
              <w:rPr>
                <w:rFonts w:ascii="Times New Roman" w:hAnsi="Times New Roman" w:cs="Times New Roman"/>
                <w:b/>
                <w:lang w:val="en-US"/>
              </w:rPr>
            </w:pPr>
            <w:r w:rsidRPr="00BB7BEF">
              <w:rPr>
                <w:rFonts w:ascii="Times New Roman" w:hAnsi="Times New Roman" w:cs="Times New Roman"/>
                <w:b/>
                <w:lang w:val="en-US"/>
              </w:rPr>
              <w:t>Overall</w:t>
            </w:r>
          </w:p>
        </w:tc>
        <w:tc>
          <w:tcPr>
            <w:tcW w:w="2270" w:type="dxa"/>
            <w:tcBorders>
              <w:top w:val="single" w:sz="18" w:space="0" w:color="BFBFBF" w:themeColor="background1" w:themeShade="BF"/>
              <w:bottom w:val="single" w:sz="18"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Low/Moderate/</w:t>
            </w:r>
            <w:r w:rsidRPr="00BB7BEF">
              <w:rPr>
                <w:rFonts w:ascii="Times New Roman" w:hAnsi="Times New Roman" w:cs="Times New Roman"/>
                <w:lang w:val="en-US"/>
              </w:rPr>
              <w:br/>
            </w:r>
            <w:r w:rsidRPr="00BB7BEF">
              <w:rPr>
                <w:rFonts w:ascii="Times New Roman" w:hAnsi="Times New Roman" w:cs="Times New Roman"/>
                <w:highlight w:val="lightGray"/>
                <w:lang w:val="en-US"/>
              </w:rPr>
              <w:t>Serious</w:t>
            </w:r>
            <w:r w:rsidRPr="00BB7BEF">
              <w:rPr>
                <w:rFonts w:ascii="Times New Roman" w:hAnsi="Times New Roman" w:cs="Times New Roman"/>
                <w:lang w:val="en-US"/>
              </w:rPr>
              <w:t>/Critical</w:t>
            </w:r>
          </w:p>
        </w:tc>
        <w:tc>
          <w:tcPr>
            <w:tcW w:w="2408" w:type="dxa"/>
            <w:tcBorders>
              <w:top w:val="single" w:sz="18" w:space="0" w:color="BFBFBF" w:themeColor="background1" w:themeShade="BF"/>
              <w:bottom w:val="single" w:sz="18"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r w:rsidRPr="00BB7BEF">
              <w:rPr>
                <w:rFonts w:ascii="Times New Roman" w:hAnsi="Times New Roman" w:cs="Times New Roman"/>
                <w:highlight w:val="lightGray"/>
                <w:lang w:val="en-US"/>
              </w:rPr>
              <w:t>Moderate</w:t>
            </w:r>
            <w:r w:rsidRPr="00BB7BEF">
              <w:rPr>
                <w:rFonts w:ascii="Times New Roman" w:hAnsi="Times New Roman" w:cs="Times New Roman"/>
                <w:lang w:val="en-US"/>
              </w:rPr>
              <w:t>/</w:t>
            </w:r>
            <w:r w:rsidRPr="00BB7BEF">
              <w:rPr>
                <w:rFonts w:ascii="Times New Roman" w:hAnsi="Times New Roman" w:cs="Times New Roman"/>
                <w:lang w:val="en-US"/>
              </w:rPr>
              <w:br/>
              <w:t>Serious/Critical</w:t>
            </w:r>
          </w:p>
        </w:tc>
        <w:tc>
          <w:tcPr>
            <w:tcW w:w="2471" w:type="dxa"/>
            <w:tcBorders>
              <w:top w:val="single" w:sz="18" w:space="0" w:color="BFBFBF" w:themeColor="background1" w:themeShade="BF"/>
              <w:bottom w:val="single" w:sz="18" w:space="0" w:color="BFBFBF" w:themeColor="background1" w:themeShade="BF"/>
            </w:tcBorders>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r w:rsidRPr="00BB7BEF">
              <w:rPr>
                <w:rFonts w:ascii="Times New Roman" w:hAnsi="Times New Roman" w:cs="Times New Roman"/>
                <w:highlight w:val="lightGray"/>
                <w:lang w:val="en-US"/>
              </w:rPr>
              <w:t>Moderate</w:t>
            </w:r>
            <w:r w:rsidRPr="00BB7BEF">
              <w:rPr>
                <w:rFonts w:ascii="Times New Roman" w:hAnsi="Times New Roman" w:cs="Times New Roman"/>
                <w:lang w:val="en-US"/>
              </w:rPr>
              <w:t>/</w:t>
            </w:r>
            <w:r w:rsidRPr="00BB7BEF">
              <w:rPr>
                <w:rFonts w:ascii="Times New Roman" w:hAnsi="Times New Roman" w:cs="Times New Roman"/>
                <w:lang w:val="en-US"/>
              </w:rPr>
              <w:br/>
              <w:t>Serious/Critical</w:t>
            </w:r>
          </w:p>
        </w:tc>
      </w:tr>
    </w:tbl>
    <w:p w:rsidR="00653404" w:rsidRPr="00BB7BEF" w:rsidRDefault="00653404" w:rsidP="00653404">
      <w:pPr>
        <w:spacing w:line="480" w:lineRule="auto"/>
        <w:rPr>
          <w:rFonts w:ascii="Times New Roman" w:hAnsi="Times New Roman" w:cs="Times New Roman"/>
          <w:sz w:val="24"/>
          <w:szCs w:val="24"/>
        </w:rPr>
      </w:pPr>
    </w:p>
    <w:p w:rsidR="00653404" w:rsidRDefault="00653404" w:rsidP="00653404">
      <w:pPr>
        <w:spacing w:line="480" w:lineRule="auto"/>
        <w:rPr>
          <w:rFonts w:ascii="Times New Roman" w:hAnsi="Times New Roman" w:cs="Times New Roman"/>
          <w:i/>
          <w:sz w:val="24"/>
          <w:szCs w:val="24"/>
          <w:lang w:val="en-US"/>
        </w:rPr>
      </w:pPr>
      <w:r w:rsidRPr="00BB7BEF">
        <w:rPr>
          <w:rFonts w:ascii="Times New Roman" w:hAnsi="Times New Roman" w:cs="Times New Roman"/>
          <w:i/>
          <w:sz w:val="24"/>
          <w:szCs w:val="24"/>
          <w:u w:val="single"/>
          <w:lang w:val="en-US"/>
        </w:rPr>
        <w:lastRenderedPageBreak/>
        <w:t>Note</w:t>
      </w:r>
      <w:r w:rsidRPr="00BB7BEF">
        <w:rPr>
          <w:rFonts w:ascii="Times New Roman" w:hAnsi="Times New Roman" w:cs="Times New Roman"/>
          <w:i/>
          <w:sz w:val="24"/>
          <w:szCs w:val="24"/>
          <w:lang w:val="en-US"/>
        </w:rPr>
        <w:t xml:space="preserve">: </w:t>
      </w:r>
      <w:r w:rsidRPr="00BB7BEF">
        <w:rPr>
          <w:rFonts w:ascii="Times New Roman" w:hAnsi="Times New Roman" w:cs="Times New Roman"/>
          <w:b/>
          <w:i/>
          <w:sz w:val="24"/>
          <w:szCs w:val="24"/>
          <w:lang w:val="en-US"/>
        </w:rPr>
        <w:t>“Low”=</w:t>
      </w:r>
      <w:r w:rsidRPr="00BB7BEF">
        <w:rPr>
          <w:rFonts w:ascii="Times New Roman" w:hAnsi="Times New Roman" w:cs="Times New Roman"/>
          <w:i/>
          <w:sz w:val="24"/>
          <w:szCs w:val="24"/>
          <w:lang w:val="en-US"/>
        </w:rPr>
        <w:t xml:space="preserve">comparable to a well performed randomized trial; </w:t>
      </w:r>
      <w:r w:rsidRPr="00BB7BEF">
        <w:rPr>
          <w:rFonts w:ascii="Times New Roman" w:hAnsi="Times New Roman" w:cs="Times New Roman"/>
          <w:b/>
          <w:i/>
          <w:sz w:val="24"/>
          <w:szCs w:val="24"/>
          <w:lang w:val="en-US"/>
        </w:rPr>
        <w:t>“Moderate”=</w:t>
      </w:r>
      <w:r w:rsidRPr="00BB7BEF">
        <w:rPr>
          <w:rFonts w:ascii="Times New Roman" w:hAnsi="Times New Roman" w:cs="Times New Roman"/>
          <w:i/>
          <w:sz w:val="24"/>
          <w:szCs w:val="24"/>
          <w:lang w:val="en-US"/>
        </w:rPr>
        <w:t xml:space="preserve">sound for an observational study; </w:t>
      </w:r>
      <w:r w:rsidRPr="00BB7BEF">
        <w:rPr>
          <w:rFonts w:ascii="Times New Roman" w:hAnsi="Times New Roman" w:cs="Times New Roman"/>
          <w:b/>
          <w:i/>
          <w:sz w:val="24"/>
          <w:szCs w:val="24"/>
          <w:lang w:val="en-US"/>
        </w:rPr>
        <w:t>“High”=</w:t>
      </w:r>
      <w:r w:rsidRPr="00BB7BEF">
        <w:rPr>
          <w:rFonts w:ascii="Times New Roman" w:hAnsi="Times New Roman" w:cs="Times New Roman"/>
          <w:i/>
          <w:sz w:val="24"/>
          <w:szCs w:val="24"/>
          <w:lang w:val="en-US"/>
        </w:rPr>
        <w:t>there are important problems/the study is too problematic to provide useful evidence</w:t>
      </w:r>
    </w:p>
    <w:p w:rsidR="00653404" w:rsidRDefault="00653404">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tbl>
      <w:tblPr>
        <w:tblStyle w:val="Tabel-Gitter"/>
        <w:tblW w:w="0" w:type="auto"/>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520"/>
        <w:gridCol w:w="1560"/>
        <w:gridCol w:w="5241"/>
      </w:tblGrid>
      <w:tr w:rsidR="00653404" w:rsidRPr="00BB7BEF" w:rsidTr="00104190">
        <w:trPr>
          <w:trHeight w:val="381"/>
        </w:trPr>
        <w:tc>
          <w:tcPr>
            <w:tcW w:w="9321" w:type="dxa"/>
            <w:gridSpan w:val="3"/>
            <w:tcBorders>
              <w:top w:val="single" w:sz="18" w:space="0" w:color="BFBFBF" w:themeColor="background1" w:themeShade="BF"/>
              <w:bottom w:val="single" w:sz="6" w:space="0" w:color="808080" w:themeColor="background1" w:themeShade="80"/>
            </w:tcBorders>
          </w:tcPr>
          <w:p w:rsidR="00653404" w:rsidRPr="00BB7BEF" w:rsidRDefault="00653404" w:rsidP="00104190">
            <w:pPr>
              <w:spacing w:after="200" w:line="480" w:lineRule="auto"/>
              <w:ind w:left="252"/>
              <w:rPr>
                <w:rFonts w:ascii="Times New Roman" w:hAnsi="Times New Roman" w:cs="Times New Roman"/>
              </w:rPr>
            </w:pPr>
            <w:r>
              <w:rPr>
                <w:rFonts w:ascii="Times New Roman" w:hAnsi="Times New Roman" w:cs="Times New Roman"/>
                <w:b/>
              </w:rPr>
              <w:lastRenderedPageBreak/>
              <w:t>Supplemental table 3</w:t>
            </w:r>
            <w:r w:rsidRPr="00BB7BEF">
              <w:rPr>
                <w:rFonts w:ascii="Times New Roman" w:hAnsi="Times New Roman" w:cs="Times New Roman"/>
              </w:rPr>
              <w:t xml:space="preserve">. Risk of Bias in Interventional Trial </w:t>
            </w:r>
          </w:p>
        </w:tc>
      </w:tr>
      <w:tr w:rsidR="00653404" w:rsidRPr="00BB7BEF" w:rsidTr="00104190">
        <w:tblPrEx>
          <w:tblCellMar>
            <w:left w:w="108" w:type="dxa"/>
            <w:right w:w="108" w:type="dxa"/>
          </w:tblCellMar>
          <w:tblLook w:val="00A0" w:firstRow="1" w:lastRow="0" w:firstColumn="1" w:lastColumn="0" w:noHBand="0" w:noVBand="0"/>
        </w:tblPrEx>
        <w:trPr>
          <w:trHeight w:val="304"/>
        </w:trPr>
        <w:tc>
          <w:tcPr>
            <w:tcW w:w="2520" w:type="dxa"/>
            <w:tcBorders>
              <w:top w:val="single" w:sz="18" w:space="0" w:color="BFBFBF" w:themeColor="background1" w:themeShade="BF"/>
              <w:bottom w:val="single" w:sz="18" w:space="0" w:color="BFBFBF" w:themeColor="background1" w:themeShade="BF"/>
            </w:tcBorders>
            <w:shd w:val="clear" w:color="auto" w:fill="FFFFFF" w:themeFill="background1"/>
            <w:vAlign w:val="center"/>
          </w:tcPr>
          <w:p w:rsidR="00653404" w:rsidRPr="00BB7BEF" w:rsidRDefault="00653404" w:rsidP="00104190">
            <w:pPr>
              <w:spacing w:line="480" w:lineRule="auto"/>
              <w:jc w:val="center"/>
              <w:rPr>
                <w:rFonts w:ascii="Times New Roman" w:hAnsi="Times New Roman" w:cs="Times New Roman"/>
                <w:lang w:val="en-US"/>
              </w:rPr>
            </w:pPr>
          </w:p>
        </w:tc>
        <w:tc>
          <w:tcPr>
            <w:tcW w:w="6801" w:type="dxa"/>
            <w:gridSpan w:val="2"/>
            <w:tcBorders>
              <w:top w:val="single" w:sz="18" w:space="0" w:color="BFBFBF" w:themeColor="background1" w:themeShade="BF"/>
              <w:bottom w:val="single" w:sz="18" w:space="0" w:color="BFBFBF" w:themeColor="background1" w:themeShade="BF"/>
            </w:tcBorders>
            <w:shd w:val="clear" w:color="auto" w:fill="FFFFFF" w:themeFill="background1"/>
            <w:vAlign w:val="center"/>
          </w:tcPr>
          <w:p w:rsidR="00653404" w:rsidRPr="00BB7BEF" w:rsidRDefault="00653404" w:rsidP="00104190">
            <w:pPr>
              <w:spacing w:line="480" w:lineRule="auto"/>
              <w:jc w:val="center"/>
              <w:rPr>
                <w:rFonts w:ascii="Times New Roman" w:hAnsi="Times New Roman" w:cs="Times New Roman"/>
                <w:i/>
                <w:lang w:val="en-US"/>
              </w:rPr>
            </w:pPr>
            <w:r w:rsidRPr="00BB7BEF">
              <w:rPr>
                <w:rFonts w:ascii="Times New Roman" w:hAnsi="Times New Roman" w:cs="Times New Roman"/>
                <w:i/>
                <w:lang w:val="en-US"/>
              </w:rPr>
              <w:t xml:space="preserve">Jabre et al., 2009 </w:t>
            </w:r>
            <w:r w:rsidRPr="00BB7BEF">
              <w:rPr>
                <w:rFonts w:ascii="Times New Roman" w:hAnsi="Times New Roman" w:cs="Times New Roman"/>
                <w:i/>
                <w:lang w:val="en-US"/>
              </w:rPr>
              <w:fldChar w:fldCharType="begin"/>
            </w:r>
            <w:r w:rsidRPr="00BB7BEF">
              <w:rPr>
                <w:rFonts w:ascii="Times New Roman" w:hAnsi="Times New Roman" w:cs="Times New Roman"/>
                <w:i/>
                <w:lang w:val="en-US"/>
              </w:rPr>
              <w:instrText xml:space="preserve"> ADDIN ZOTERO_ITEM CSL_CITATION {"citationID":"a2abhpq361c","properties":{"formattedCitation":"{\\rtf \\super 36\\nosupersub{}}","plainCitation":"36"},"citationItems":[{"id":30,"uris":["http://zotero.org/users/2558997/items/EJKC34SP"],"uri":["http://zotero.org/users/2558997/items/EJKC34SP"],"itemData":{"id":30,"type":"article-journal","title":"Etomidate versus ketamine for rapid sequence intubation in acutely ill patients: a multicentre randomised controlled trial","container-title":"The Lancet","page":"293-300","volume":"374","issue":"9686","source":"CrossRef","DOI":"10.1016/S0140-6736(09)60949-1","ISSN":"01406736","shortTitle":"Etomidate versus ketamine for rapid sequence intubation in acutely ill patients","language":"en","author":[{"family":"Jabre","given":"Patricia"},{"family":"Combes","given":"Xavier"},{"family":"Lapostolle","given":"Frederic"},{"family":"Dhaouadi","given":"Mohamed"},{"family":"Ricard-Hibon","given":"Agnes"},{"family":"Vivien","given":"Benoit"},{"family":"Bertrand","given":"Lionel"},{"family":"Beltramini","given":"Alexandra"},{"family":"Gamand","given":"Pascale"},{"family":"Albizzati","given":"Stephane"},{"family":"Perdrizet","given":"Deborah"},{"family":"Lebail","given":"Gaelle"},{"family":"Chollet-Xemard","given":"Charlotte"},{"family":"Maxime","given":"Virginie"},{"family":"Brun-Buisson","given":"Christian"},{"family":"Lefrant","given":"Jean-Yves"},{"family":"Bollaert","given":"Pierre-Edouard"},{"family":"Megarbane","given":"Bruno"},{"family":"Ricard","given":"Jean-Damien"},{"family":"Anguel","given":"Nadia"},{"family":"Vicaut","given":"Eric"},{"family":"Adnet","given":"Frederic"}],"issued":{"date-parts":[["2009",7]]}}}],"schema":"https://github.com/citation-style-language/schema/raw/master/csl-citation.json"} </w:instrText>
            </w:r>
            <w:r w:rsidRPr="00BB7BEF">
              <w:rPr>
                <w:rFonts w:ascii="Times New Roman" w:hAnsi="Times New Roman" w:cs="Times New Roman"/>
                <w:i/>
                <w:lang w:val="en-US"/>
              </w:rPr>
              <w:fldChar w:fldCharType="separate"/>
            </w:r>
            <w:r w:rsidRPr="00897269">
              <w:rPr>
                <w:rFonts w:ascii="Times New Roman" w:hAnsi="Times New Roman" w:cs="Times New Roman"/>
                <w:vertAlign w:val="superscript"/>
              </w:rPr>
              <w:t>36</w:t>
            </w:r>
            <w:r w:rsidRPr="00BB7BEF">
              <w:rPr>
                <w:rFonts w:ascii="Times New Roman" w:hAnsi="Times New Roman" w:cs="Times New Roman"/>
                <w:i/>
                <w:lang w:val="en-US"/>
              </w:rPr>
              <w:fldChar w:fldCharType="end"/>
            </w:r>
          </w:p>
        </w:tc>
      </w:tr>
      <w:tr w:rsidR="00653404" w:rsidRPr="00BB7BEF" w:rsidTr="00104190">
        <w:tblPrEx>
          <w:tblCellMar>
            <w:left w:w="108" w:type="dxa"/>
            <w:right w:w="108" w:type="dxa"/>
          </w:tblCellMar>
          <w:tblLook w:val="00A0" w:firstRow="1" w:lastRow="0" w:firstColumn="1" w:lastColumn="0" w:noHBand="0" w:noVBand="0"/>
        </w:tblPrEx>
        <w:trPr>
          <w:trHeight w:val="555"/>
        </w:trPr>
        <w:tc>
          <w:tcPr>
            <w:tcW w:w="2520" w:type="dxa"/>
            <w:tcBorders>
              <w:top w:val="single" w:sz="18" w:space="0" w:color="BFBFBF" w:themeColor="background1" w:themeShade="BF"/>
              <w:bottom w:val="single" w:sz="18"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b/>
                <w:lang w:val="en-US"/>
              </w:rPr>
            </w:pPr>
            <w:r w:rsidRPr="00BB7BEF">
              <w:rPr>
                <w:rFonts w:ascii="Times New Roman" w:hAnsi="Times New Roman" w:cs="Times New Roman"/>
                <w:b/>
                <w:lang w:val="en-US"/>
              </w:rPr>
              <w:t>Risk of bias domain</w:t>
            </w:r>
          </w:p>
        </w:tc>
        <w:tc>
          <w:tcPr>
            <w:tcW w:w="1560" w:type="dxa"/>
            <w:tcBorders>
              <w:top w:val="single" w:sz="18" w:space="0" w:color="BFBFBF" w:themeColor="background1" w:themeShade="BF"/>
              <w:bottom w:val="single" w:sz="18"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b/>
                <w:lang w:val="en-US"/>
              </w:rPr>
            </w:pPr>
            <w:r w:rsidRPr="00BB7BEF">
              <w:rPr>
                <w:rFonts w:ascii="Times New Roman" w:hAnsi="Times New Roman" w:cs="Times New Roman"/>
                <w:b/>
                <w:lang w:val="en-US"/>
              </w:rPr>
              <w:t>Judgment</w:t>
            </w:r>
          </w:p>
        </w:tc>
        <w:tc>
          <w:tcPr>
            <w:tcW w:w="5241" w:type="dxa"/>
            <w:tcBorders>
              <w:top w:val="single" w:sz="18" w:space="0" w:color="BFBFBF" w:themeColor="background1" w:themeShade="BF"/>
              <w:bottom w:val="single" w:sz="18"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b/>
                <w:lang w:val="en-US"/>
              </w:rPr>
            </w:pPr>
            <w:r w:rsidRPr="00BB7BEF">
              <w:rPr>
                <w:rFonts w:ascii="Times New Roman" w:hAnsi="Times New Roman" w:cs="Times New Roman"/>
                <w:b/>
                <w:lang w:val="en-US"/>
              </w:rPr>
              <w:t>Reasoning</w:t>
            </w:r>
          </w:p>
        </w:tc>
      </w:tr>
      <w:tr w:rsidR="00653404" w:rsidRPr="00BB7BEF" w:rsidTr="00104190">
        <w:tblPrEx>
          <w:tblCellMar>
            <w:left w:w="108" w:type="dxa"/>
            <w:right w:w="108" w:type="dxa"/>
          </w:tblCellMar>
          <w:tblLook w:val="00A0" w:firstRow="1" w:lastRow="0" w:firstColumn="1" w:lastColumn="0" w:noHBand="0" w:noVBand="0"/>
        </w:tblPrEx>
        <w:trPr>
          <w:trHeight w:val="1858"/>
        </w:trPr>
        <w:tc>
          <w:tcPr>
            <w:tcW w:w="2520" w:type="dxa"/>
            <w:tcBorders>
              <w:top w:val="single" w:sz="18"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Random sequence generation (selection bias)</w:t>
            </w:r>
          </w:p>
        </w:tc>
        <w:tc>
          <w:tcPr>
            <w:tcW w:w="1560" w:type="dxa"/>
            <w:tcBorders>
              <w:top w:val="single" w:sz="18" w:space="0" w:color="BFBFBF" w:themeColor="background1" w:themeShade="BF"/>
              <w:bottom w:val="single" w:sz="6" w:space="0" w:color="BFBFBF" w:themeColor="background1" w:themeShade="BF"/>
            </w:tcBorders>
            <w:shd w:val="clear" w:color="auto" w:fill="auto"/>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p>
        </w:tc>
        <w:tc>
          <w:tcPr>
            <w:tcW w:w="5241" w:type="dxa"/>
            <w:tcBorders>
              <w:top w:val="single" w:sz="18"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i/>
                <w:lang w:val="en-US"/>
              </w:rPr>
            </w:pPr>
            <w:r w:rsidRPr="00BB7BEF">
              <w:rPr>
                <w:rFonts w:ascii="Times New Roman" w:hAnsi="Times New Roman" w:cs="Times New Roman"/>
                <w:i/>
                <w:iCs/>
                <w:color w:val="333333"/>
                <w:shd w:val="clear" w:color="auto" w:fill="FFFFFF"/>
                <w:lang w:val="en-US"/>
              </w:rPr>
              <w:t>“Randomization was done in blocks of four by a computerized random-number generator list provided by a statistician who was not involved in determination of patient eligibility, drug administration, or outcome assessment.”</w:t>
            </w:r>
          </w:p>
        </w:tc>
      </w:tr>
      <w:tr w:rsidR="00653404" w:rsidRPr="00BB7BEF" w:rsidTr="00104190">
        <w:tblPrEx>
          <w:tblCellMar>
            <w:left w:w="108" w:type="dxa"/>
            <w:right w:w="108" w:type="dxa"/>
          </w:tblCellMar>
          <w:tblLook w:val="00A0" w:firstRow="1" w:lastRow="0" w:firstColumn="1" w:lastColumn="0" w:noHBand="0" w:noVBand="0"/>
        </w:tblPrEx>
        <w:trPr>
          <w:trHeight w:val="189"/>
        </w:trPr>
        <w:tc>
          <w:tcPr>
            <w:tcW w:w="2520" w:type="dxa"/>
            <w:tcBorders>
              <w:top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lang w:val="en-US"/>
              </w:rPr>
            </w:pPr>
          </w:p>
        </w:tc>
        <w:tc>
          <w:tcPr>
            <w:tcW w:w="1560" w:type="dxa"/>
            <w:tcBorders>
              <w:top w:val="single" w:sz="6" w:space="0" w:color="BFBFBF" w:themeColor="background1" w:themeShade="BF"/>
            </w:tcBorders>
            <w:shd w:val="clear" w:color="auto" w:fill="auto"/>
            <w:vAlign w:val="center"/>
          </w:tcPr>
          <w:p w:rsidR="00653404" w:rsidRPr="00BB7BEF" w:rsidRDefault="00653404" w:rsidP="00104190">
            <w:pPr>
              <w:spacing w:line="480" w:lineRule="auto"/>
              <w:rPr>
                <w:rFonts w:ascii="Times New Roman" w:hAnsi="Times New Roman" w:cs="Times New Roman"/>
                <w:lang w:val="en-US"/>
              </w:rPr>
            </w:pPr>
          </w:p>
        </w:tc>
        <w:tc>
          <w:tcPr>
            <w:tcW w:w="5241" w:type="dxa"/>
            <w:tcBorders>
              <w:top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i/>
                <w:iCs/>
                <w:color w:val="333333"/>
                <w:shd w:val="clear" w:color="auto" w:fill="FFFFFF"/>
                <w:lang w:val="en-US"/>
              </w:rPr>
            </w:pPr>
          </w:p>
        </w:tc>
      </w:tr>
      <w:tr w:rsidR="00653404" w:rsidRPr="00BB7BEF" w:rsidTr="00104190">
        <w:tblPrEx>
          <w:tblCellMar>
            <w:left w:w="108" w:type="dxa"/>
            <w:right w:w="108" w:type="dxa"/>
          </w:tblCellMar>
          <w:tblLook w:val="00A0" w:firstRow="1" w:lastRow="0" w:firstColumn="1" w:lastColumn="0" w:noHBand="0" w:noVBand="0"/>
        </w:tblPrEx>
        <w:trPr>
          <w:trHeight w:val="492"/>
        </w:trPr>
        <w:tc>
          <w:tcPr>
            <w:tcW w:w="2520" w:type="dxa"/>
            <w:tcBorders>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Allocation concealment (selection bias)</w:t>
            </w:r>
          </w:p>
        </w:tc>
        <w:tc>
          <w:tcPr>
            <w:tcW w:w="1560" w:type="dxa"/>
            <w:tcBorders>
              <w:bottom w:val="single" w:sz="6" w:space="0" w:color="BFBFBF" w:themeColor="background1" w:themeShade="BF"/>
            </w:tcBorders>
            <w:shd w:val="clear" w:color="auto" w:fill="auto"/>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p>
        </w:tc>
        <w:tc>
          <w:tcPr>
            <w:tcW w:w="5241" w:type="dxa"/>
            <w:tcBorders>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i/>
                <w:lang w:val="en-US"/>
              </w:rPr>
            </w:pPr>
            <w:r w:rsidRPr="00BB7BEF">
              <w:rPr>
                <w:rFonts w:ascii="Times New Roman" w:hAnsi="Times New Roman" w:cs="Times New Roman"/>
                <w:i/>
                <w:color w:val="333333"/>
                <w:shd w:val="clear" w:color="auto" w:fill="FFFFFF"/>
                <w:lang w:val="en-US"/>
              </w:rPr>
              <w:t>“The study drug was sealed in sequentially numbered, identical boxed containing the entire treatment.”</w:t>
            </w:r>
          </w:p>
        </w:tc>
      </w:tr>
      <w:tr w:rsidR="00653404" w:rsidRPr="00BB7BEF" w:rsidTr="00104190">
        <w:tblPrEx>
          <w:tblCellMar>
            <w:left w:w="108" w:type="dxa"/>
            <w:right w:w="108" w:type="dxa"/>
          </w:tblCellMar>
          <w:tblLook w:val="00A0" w:firstRow="1" w:lastRow="0" w:firstColumn="1" w:lastColumn="0" w:noHBand="0" w:noVBand="0"/>
        </w:tblPrEx>
        <w:trPr>
          <w:trHeight w:val="738"/>
        </w:trPr>
        <w:tc>
          <w:tcPr>
            <w:tcW w:w="2520" w:type="dxa"/>
            <w:tcBorders>
              <w:top w:val="single" w:sz="6"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Blinding of participants and personnel (performance bias)</w:t>
            </w:r>
          </w:p>
        </w:tc>
        <w:tc>
          <w:tcPr>
            <w:tcW w:w="1560" w:type="dxa"/>
            <w:tcBorders>
              <w:top w:val="single" w:sz="6" w:space="0" w:color="BFBFBF" w:themeColor="background1" w:themeShade="BF"/>
              <w:bottom w:val="single" w:sz="6" w:space="0" w:color="BFBFBF" w:themeColor="background1" w:themeShade="BF"/>
            </w:tcBorders>
            <w:shd w:val="clear" w:color="auto" w:fill="auto"/>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p>
        </w:tc>
        <w:tc>
          <w:tcPr>
            <w:tcW w:w="5241" w:type="dxa"/>
            <w:tcBorders>
              <w:top w:val="single" w:sz="6"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i/>
                <w:lang w:val="en-US"/>
              </w:rPr>
            </w:pPr>
            <w:r w:rsidRPr="00BB7BEF">
              <w:rPr>
                <w:rFonts w:ascii="Times New Roman" w:hAnsi="Times New Roman" w:cs="Times New Roman"/>
                <w:i/>
                <w:iCs/>
                <w:color w:val="333333"/>
                <w:shd w:val="clear" w:color="auto" w:fill="FFFFFF"/>
                <w:lang w:val="en-US"/>
              </w:rPr>
              <w:t>“Emergency physician enrolling patients was aware of study group assignment. However, nurses and intensivists in the intensive care unit were masked to the treatment assigned because it was not specified on the patient’s medical record or conveyed in verbal or written reports. “</w:t>
            </w:r>
          </w:p>
        </w:tc>
      </w:tr>
      <w:tr w:rsidR="00653404" w:rsidRPr="00BB7BEF" w:rsidTr="00104190">
        <w:tblPrEx>
          <w:tblCellMar>
            <w:left w:w="108" w:type="dxa"/>
            <w:right w:w="108" w:type="dxa"/>
          </w:tblCellMar>
          <w:tblLook w:val="00A0" w:firstRow="1" w:lastRow="0" w:firstColumn="1" w:lastColumn="0" w:noHBand="0" w:noVBand="0"/>
        </w:tblPrEx>
        <w:trPr>
          <w:trHeight w:val="738"/>
        </w:trPr>
        <w:tc>
          <w:tcPr>
            <w:tcW w:w="2520" w:type="dxa"/>
            <w:tcBorders>
              <w:top w:val="single" w:sz="6"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Blinding of outcome assessment (detection bias)</w:t>
            </w:r>
          </w:p>
        </w:tc>
        <w:tc>
          <w:tcPr>
            <w:tcW w:w="1560" w:type="dxa"/>
            <w:tcBorders>
              <w:top w:val="single" w:sz="6" w:space="0" w:color="BFBFBF" w:themeColor="background1" w:themeShade="BF"/>
              <w:bottom w:val="single" w:sz="6" w:space="0" w:color="BFBFBF" w:themeColor="background1" w:themeShade="BF"/>
            </w:tcBorders>
            <w:shd w:val="clear" w:color="auto" w:fill="auto"/>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Unclear</w:t>
            </w:r>
          </w:p>
        </w:tc>
        <w:tc>
          <w:tcPr>
            <w:tcW w:w="5241" w:type="dxa"/>
            <w:tcBorders>
              <w:top w:val="single" w:sz="6"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i/>
                <w:lang w:val="en-US"/>
              </w:rPr>
            </w:pPr>
            <w:r w:rsidRPr="00BB7BEF">
              <w:rPr>
                <w:rFonts w:ascii="Times New Roman" w:hAnsi="Times New Roman" w:cs="Times New Roman"/>
                <w:i/>
                <w:color w:val="333333"/>
                <w:shd w:val="clear" w:color="auto" w:fill="FFFFFF"/>
                <w:lang w:val="en-US"/>
              </w:rPr>
              <w:t>Not clear whether the outcome assessors were blinded.</w:t>
            </w:r>
          </w:p>
        </w:tc>
      </w:tr>
      <w:tr w:rsidR="00653404" w:rsidRPr="00BB7BEF" w:rsidTr="00104190">
        <w:tblPrEx>
          <w:tblCellMar>
            <w:left w:w="108" w:type="dxa"/>
            <w:right w:w="108" w:type="dxa"/>
          </w:tblCellMar>
          <w:tblLook w:val="00A0" w:firstRow="1" w:lastRow="0" w:firstColumn="1" w:lastColumn="0" w:noHBand="0" w:noVBand="0"/>
        </w:tblPrEx>
        <w:trPr>
          <w:trHeight w:val="492"/>
        </w:trPr>
        <w:tc>
          <w:tcPr>
            <w:tcW w:w="2520" w:type="dxa"/>
            <w:tcBorders>
              <w:top w:val="single" w:sz="6"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Incomplete outcome data (attrition bias)</w:t>
            </w:r>
          </w:p>
        </w:tc>
        <w:tc>
          <w:tcPr>
            <w:tcW w:w="1560" w:type="dxa"/>
            <w:tcBorders>
              <w:top w:val="single" w:sz="6" w:space="0" w:color="BFBFBF" w:themeColor="background1" w:themeShade="BF"/>
              <w:bottom w:val="single" w:sz="6" w:space="0" w:color="BFBFBF" w:themeColor="background1" w:themeShade="BF"/>
            </w:tcBorders>
            <w:shd w:val="clear" w:color="auto" w:fill="auto"/>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p>
        </w:tc>
        <w:tc>
          <w:tcPr>
            <w:tcW w:w="5241" w:type="dxa"/>
            <w:tcBorders>
              <w:top w:val="single" w:sz="6"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i/>
                <w:lang w:val="en-US"/>
              </w:rPr>
            </w:pPr>
            <w:r w:rsidRPr="00BB7BEF">
              <w:rPr>
                <w:rFonts w:ascii="Times New Roman" w:hAnsi="Times New Roman" w:cs="Times New Roman"/>
                <w:i/>
                <w:color w:val="333333"/>
                <w:shd w:val="clear" w:color="auto" w:fill="FFFFFF"/>
                <w:lang w:val="en-US"/>
              </w:rPr>
              <w:t>There seems to be no missing outcome data for included patients.</w:t>
            </w:r>
          </w:p>
        </w:tc>
      </w:tr>
      <w:tr w:rsidR="00653404" w:rsidRPr="00BB7BEF" w:rsidTr="00104190">
        <w:tblPrEx>
          <w:tblCellMar>
            <w:left w:w="108" w:type="dxa"/>
            <w:right w:w="108" w:type="dxa"/>
          </w:tblCellMar>
          <w:tblLook w:val="00A0" w:firstRow="1" w:lastRow="0" w:firstColumn="1" w:lastColumn="0" w:noHBand="0" w:noVBand="0"/>
        </w:tblPrEx>
        <w:trPr>
          <w:trHeight w:val="492"/>
        </w:trPr>
        <w:tc>
          <w:tcPr>
            <w:tcW w:w="2520" w:type="dxa"/>
            <w:tcBorders>
              <w:top w:val="single" w:sz="6"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 xml:space="preserve">Selective reporting </w:t>
            </w:r>
            <w:r w:rsidRPr="00BB7BEF">
              <w:rPr>
                <w:rFonts w:ascii="Times New Roman" w:hAnsi="Times New Roman" w:cs="Times New Roman"/>
                <w:lang w:val="en-US"/>
              </w:rPr>
              <w:lastRenderedPageBreak/>
              <w:t>(reporting bias)</w:t>
            </w:r>
          </w:p>
        </w:tc>
        <w:tc>
          <w:tcPr>
            <w:tcW w:w="1560" w:type="dxa"/>
            <w:tcBorders>
              <w:top w:val="single" w:sz="6" w:space="0" w:color="BFBFBF" w:themeColor="background1" w:themeShade="BF"/>
              <w:bottom w:val="single" w:sz="6" w:space="0" w:color="BFBFBF" w:themeColor="background1" w:themeShade="BF"/>
            </w:tcBorders>
            <w:shd w:val="clear" w:color="auto" w:fill="auto"/>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lastRenderedPageBreak/>
              <w:t>Low</w:t>
            </w:r>
          </w:p>
        </w:tc>
        <w:tc>
          <w:tcPr>
            <w:tcW w:w="5241" w:type="dxa"/>
            <w:tcBorders>
              <w:top w:val="single" w:sz="6" w:space="0" w:color="BFBFBF" w:themeColor="background1" w:themeShade="BF"/>
              <w:bottom w:val="single" w:sz="6" w:space="0" w:color="BFBFBF" w:themeColor="background1" w:themeShade="BF"/>
            </w:tcBorders>
            <w:vAlign w:val="center"/>
          </w:tcPr>
          <w:p w:rsidR="00653404" w:rsidRPr="00BB7BEF" w:rsidRDefault="00653404" w:rsidP="00104190">
            <w:pPr>
              <w:spacing w:line="480" w:lineRule="auto"/>
              <w:rPr>
                <w:rFonts w:ascii="Times New Roman" w:hAnsi="Times New Roman" w:cs="Times New Roman"/>
                <w:i/>
                <w:lang w:val="en-US"/>
              </w:rPr>
            </w:pPr>
            <w:r w:rsidRPr="00BB7BEF">
              <w:rPr>
                <w:rFonts w:ascii="Times New Roman" w:hAnsi="Times New Roman" w:cs="Times New Roman"/>
                <w:i/>
                <w:lang w:val="en-US"/>
              </w:rPr>
              <w:t>T</w:t>
            </w:r>
            <w:r w:rsidRPr="00BB7BEF">
              <w:rPr>
                <w:rFonts w:ascii="Times New Roman" w:hAnsi="Times New Roman" w:cs="Times New Roman"/>
                <w:i/>
                <w:color w:val="333333"/>
                <w:shd w:val="clear" w:color="auto" w:fill="FFFFFF"/>
                <w:lang w:val="en-US"/>
              </w:rPr>
              <w:t xml:space="preserve">he study protocol is available, and the results </w:t>
            </w:r>
            <w:r w:rsidRPr="00BB7BEF">
              <w:rPr>
                <w:rFonts w:ascii="Times New Roman" w:hAnsi="Times New Roman" w:cs="Times New Roman"/>
                <w:i/>
                <w:color w:val="333333"/>
                <w:shd w:val="clear" w:color="auto" w:fill="FFFFFF"/>
                <w:lang w:val="en-US"/>
              </w:rPr>
              <w:lastRenderedPageBreak/>
              <w:t>include all outcomes listed in the methods section.</w:t>
            </w:r>
          </w:p>
        </w:tc>
      </w:tr>
      <w:tr w:rsidR="00653404" w:rsidRPr="00BB7BEF" w:rsidTr="00104190">
        <w:tblPrEx>
          <w:tblCellMar>
            <w:left w:w="108" w:type="dxa"/>
            <w:right w:w="108" w:type="dxa"/>
          </w:tblCellMar>
          <w:tblLook w:val="00A0" w:firstRow="1" w:lastRow="0" w:firstColumn="1" w:lastColumn="0" w:noHBand="0" w:noVBand="0"/>
        </w:tblPrEx>
        <w:trPr>
          <w:trHeight w:val="651"/>
        </w:trPr>
        <w:tc>
          <w:tcPr>
            <w:tcW w:w="2520" w:type="dxa"/>
            <w:tcBorders>
              <w:top w:val="single" w:sz="6" w:space="0" w:color="BFBFBF" w:themeColor="background1" w:themeShade="BF"/>
              <w:bottom w:val="single" w:sz="12" w:space="0" w:color="808080" w:themeColor="background1" w:themeShade="80"/>
            </w:tcBorders>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lastRenderedPageBreak/>
              <w:t>Other bias</w:t>
            </w:r>
          </w:p>
        </w:tc>
        <w:tc>
          <w:tcPr>
            <w:tcW w:w="1560" w:type="dxa"/>
            <w:tcBorders>
              <w:top w:val="single" w:sz="6" w:space="0" w:color="BFBFBF" w:themeColor="background1" w:themeShade="BF"/>
              <w:bottom w:val="single" w:sz="12" w:space="0" w:color="808080" w:themeColor="background1" w:themeShade="80"/>
            </w:tcBorders>
            <w:shd w:val="clear" w:color="auto" w:fill="auto"/>
            <w:vAlign w:val="center"/>
          </w:tcPr>
          <w:p w:rsidR="00653404" w:rsidRPr="00BB7BEF" w:rsidRDefault="00653404" w:rsidP="00104190">
            <w:pPr>
              <w:spacing w:line="480" w:lineRule="auto"/>
              <w:rPr>
                <w:rFonts w:ascii="Times New Roman" w:hAnsi="Times New Roman" w:cs="Times New Roman"/>
                <w:lang w:val="en-US"/>
              </w:rPr>
            </w:pPr>
            <w:r w:rsidRPr="00BB7BEF">
              <w:rPr>
                <w:rFonts w:ascii="Times New Roman" w:hAnsi="Times New Roman" w:cs="Times New Roman"/>
                <w:lang w:val="en-US"/>
              </w:rPr>
              <w:t>Low</w:t>
            </w:r>
          </w:p>
        </w:tc>
        <w:tc>
          <w:tcPr>
            <w:tcW w:w="5241" w:type="dxa"/>
            <w:tcBorders>
              <w:top w:val="single" w:sz="6" w:space="0" w:color="BFBFBF" w:themeColor="background1" w:themeShade="BF"/>
              <w:bottom w:val="single" w:sz="12" w:space="0" w:color="808080" w:themeColor="background1" w:themeShade="80"/>
            </w:tcBorders>
            <w:vAlign w:val="center"/>
          </w:tcPr>
          <w:p w:rsidR="00653404" w:rsidRPr="00BB7BEF" w:rsidRDefault="00653404" w:rsidP="00104190">
            <w:pPr>
              <w:spacing w:line="480" w:lineRule="auto"/>
              <w:rPr>
                <w:rFonts w:ascii="Times New Roman" w:hAnsi="Times New Roman" w:cs="Times New Roman"/>
                <w:i/>
                <w:lang w:val="en-US"/>
              </w:rPr>
            </w:pPr>
            <w:r w:rsidRPr="00BB7BEF">
              <w:rPr>
                <w:rFonts w:ascii="Times New Roman" w:hAnsi="Times New Roman" w:cs="Times New Roman"/>
                <w:i/>
                <w:color w:val="333333"/>
                <w:shd w:val="clear" w:color="auto" w:fill="FFFFFF"/>
                <w:lang w:val="en-US"/>
              </w:rPr>
              <w:t>There seems to be no other obvious sources of bias.</w:t>
            </w:r>
          </w:p>
        </w:tc>
      </w:tr>
    </w:tbl>
    <w:p w:rsidR="00857CB4" w:rsidRPr="00517DA3" w:rsidRDefault="005A68EF" w:rsidP="00517DA3">
      <w:pPr>
        <w:spacing w:line="480" w:lineRule="auto"/>
        <w:rPr>
          <w:rFonts w:ascii="Times New Roman" w:hAnsi="Times New Roman" w:cs="Times New Roman"/>
          <w:sz w:val="24"/>
          <w:szCs w:val="24"/>
        </w:rPr>
      </w:pPr>
      <w:bookmarkStart w:id="0" w:name="_GoBack"/>
      <w:bookmarkEnd w:id="0"/>
    </w:p>
    <w:sectPr w:rsidR="00857CB4" w:rsidRPr="00517DA3" w:rsidSect="00F55D29">
      <w:footerReference w:type="default" r:id="rId7"/>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EF" w:rsidRDefault="005A68EF">
      <w:pPr>
        <w:spacing w:after="0" w:line="240" w:lineRule="auto"/>
      </w:pPr>
      <w:r>
        <w:separator/>
      </w:r>
    </w:p>
  </w:endnote>
  <w:endnote w:type="continuationSeparator" w:id="0">
    <w:p w:rsidR="005A68EF" w:rsidRDefault="005A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2913"/>
      <w:docPartObj>
        <w:docPartGallery w:val="Page Numbers (Bottom of Page)"/>
        <w:docPartUnique/>
      </w:docPartObj>
    </w:sdtPr>
    <w:sdtEndPr/>
    <w:sdtContent>
      <w:p w:rsidR="002539B4" w:rsidRDefault="00653404">
        <w:pPr>
          <w:pStyle w:val="Sidefod"/>
          <w:jc w:val="right"/>
        </w:pPr>
        <w:r>
          <w:fldChar w:fldCharType="begin"/>
        </w:r>
        <w:r>
          <w:instrText>PAGE   \* MERGEFORMAT</w:instrText>
        </w:r>
        <w:r>
          <w:fldChar w:fldCharType="separate"/>
        </w:r>
        <w:r w:rsidR="00517DA3" w:rsidRPr="00517DA3">
          <w:rPr>
            <w:noProof/>
            <w:lang w:val="da-DK"/>
          </w:rPr>
          <w:t>2</w:t>
        </w:r>
        <w:r>
          <w:rPr>
            <w:noProof/>
            <w:lang w:val="da-DK"/>
          </w:rPr>
          <w:fldChar w:fldCharType="end"/>
        </w:r>
      </w:p>
    </w:sdtContent>
  </w:sdt>
  <w:p w:rsidR="002539B4" w:rsidRDefault="005A68E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EF" w:rsidRDefault="005A68EF">
      <w:pPr>
        <w:spacing w:after="0" w:line="240" w:lineRule="auto"/>
      </w:pPr>
      <w:r>
        <w:separator/>
      </w:r>
    </w:p>
  </w:footnote>
  <w:footnote w:type="continuationSeparator" w:id="0">
    <w:p w:rsidR="005A68EF" w:rsidRDefault="005A6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04"/>
    <w:rsid w:val="00444241"/>
    <w:rsid w:val="00517DA3"/>
    <w:rsid w:val="005708C4"/>
    <w:rsid w:val="005A68EF"/>
    <w:rsid w:val="00653404"/>
    <w:rsid w:val="00B26D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04"/>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6534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3404"/>
    <w:rPr>
      <w:lang w:val="en-GB"/>
    </w:rPr>
  </w:style>
  <w:style w:type="table" w:styleId="Tabel-Gitter">
    <w:name w:val="Table Grid"/>
    <w:basedOn w:val="Tabel-Normal"/>
    <w:uiPriority w:val="59"/>
    <w:rsid w:val="00653404"/>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jenummer">
    <w:name w:val="line number"/>
    <w:basedOn w:val="Standardskrifttypeiafsnit"/>
    <w:uiPriority w:val="99"/>
    <w:semiHidden/>
    <w:unhideWhenUsed/>
    <w:rsid w:val="00653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04"/>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6534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3404"/>
    <w:rPr>
      <w:lang w:val="en-GB"/>
    </w:rPr>
  </w:style>
  <w:style w:type="table" w:styleId="Tabel-Gitter">
    <w:name w:val="Table Grid"/>
    <w:basedOn w:val="Tabel-Normal"/>
    <w:uiPriority w:val="59"/>
    <w:rsid w:val="00653404"/>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jenummer">
    <w:name w:val="line number"/>
    <w:basedOn w:val="Standardskrifttypeiafsnit"/>
    <w:uiPriority w:val="99"/>
    <w:semiHidden/>
    <w:unhideWhenUsed/>
    <w:rsid w:val="0065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1834</Words>
  <Characters>11191</Characters>
  <Application>Microsoft Office Word</Application>
  <DocSecurity>0</DocSecurity>
  <Lines>93</Lines>
  <Paragraphs>25</Paragraphs>
  <ScaleCrop>false</ScaleCrop>
  <Company>Region Hovedstaden</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Stokholm Bækgaard</dc:creator>
  <cp:lastModifiedBy>Josefine Stokholm Bækgaard</cp:lastModifiedBy>
  <cp:revision>3</cp:revision>
  <dcterms:created xsi:type="dcterms:W3CDTF">2017-10-17T09:10:00Z</dcterms:created>
  <dcterms:modified xsi:type="dcterms:W3CDTF">2017-10-24T08:19:00Z</dcterms:modified>
</cp:coreProperties>
</file>