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B519" w14:textId="77777777" w:rsidR="00EE5A1D" w:rsidRPr="001C2812" w:rsidRDefault="00EE5A1D" w:rsidP="008B708C">
      <w:pPr>
        <w:spacing w:after="0" w:line="480" w:lineRule="auto"/>
        <w:rPr>
          <w:rFonts w:ascii="Times New Roman" w:hAnsi="Times New Roman" w:cs="Times New Roman"/>
          <w:b/>
          <w:color w:val="000000" w:themeColor="text1"/>
          <w:sz w:val="24"/>
          <w:szCs w:val="24"/>
          <w:lang w:val="en"/>
        </w:rPr>
      </w:pPr>
      <w:r w:rsidRPr="001C2812">
        <w:rPr>
          <w:rFonts w:ascii="Times New Roman" w:hAnsi="Times New Roman" w:cs="Times New Roman"/>
          <w:b/>
          <w:color w:val="000000" w:themeColor="text1"/>
          <w:sz w:val="24"/>
          <w:szCs w:val="24"/>
          <w:lang w:val="en"/>
        </w:rPr>
        <w:t>Supplementary Digital Files to</w:t>
      </w:r>
    </w:p>
    <w:p w14:paraId="16CF48D7" w14:textId="77777777" w:rsidR="004362C5" w:rsidRPr="001C2812" w:rsidRDefault="004362C5" w:rsidP="008B708C">
      <w:pPr>
        <w:spacing w:after="0" w:line="480" w:lineRule="auto"/>
        <w:rPr>
          <w:rFonts w:ascii="Times New Roman" w:eastAsia="Times New Roman" w:hAnsi="Times New Roman" w:cs="Times New Roman"/>
          <w:b/>
          <w:color w:val="000000" w:themeColor="text1"/>
          <w:sz w:val="24"/>
          <w:szCs w:val="24"/>
        </w:rPr>
      </w:pPr>
    </w:p>
    <w:p w14:paraId="292A21E5" w14:textId="77777777" w:rsidR="00AF570F" w:rsidRPr="001C2812" w:rsidRDefault="00D527A4" w:rsidP="008B708C">
      <w:pPr>
        <w:autoSpaceDE w:val="0"/>
        <w:autoSpaceDN w:val="0"/>
        <w:adjustRightInd w:val="0"/>
        <w:spacing w:after="0" w:line="480" w:lineRule="auto"/>
        <w:outlineLvl w:val="0"/>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A</w:t>
      </w:r>
      <w:r w:rsidR="00C863A2" w:rsidRPr="001C2812">
        <w:rPr>
          <w:rFonts w:ascii="Times New Roman" w:hAnsi="Times New Roman" w:cs="Times New Roman"/>
          <w:b/>
          <w:color w:val="000000" w:themeColor="text1"/>
          <w:sz w:val="24"/>
          <w:szCs w:val="24"/>
        </w:rPr>
        <w:t>nesthesiologists</w:t>
      </w:r>
      <w:r w:rsidR="00AF570F" w:rsidRPr="001C2812">
        <w:rPr>
          <w:rFonts w:ascii="Times New Roman" w:hAnsi="Times New Roman" w:cs="Times New Roman"/>
          <w:b/>
          <w:color w:val="000000" w:themeColor="text1"/>
          <w:sz w:val="24"/>
          <w:szCs w:val="24"/>
        </w:rPr>
        <w:t xml:space="preserve">’ overconfidence in their perceived knowledge of neuromuscular monitoring and its relevance to all aspects of medical practice: an international survey </w:t>
      </w:r>
    </w:p>
    <w:p w14:paraId="50631419" w14:textId="77777777" w:rsidR="000E5958" w:rsidRPr="001C2812" w:rsidRDefault="000E5958" w:rsidP="008B708C">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This </w:t>
      </w:r>
      <w:r w:rsidR="00020132" w:rsidRPr="001C2812">
        <w:rPr>
          <w:rFonts w:ascii="Times New Roman" w:hAnsi="Times New Roman" w:cs="Times New Roman"/>
          <w:color w:val="000000" w:themeColor="text1"/>
          <w:sz w:val="24"/>
          <w:szCs w:val="24"/>
        </w:rPr>
        <w:t>supplement</w:t>
      </w:r>
      <w:r w:rsidRPr="001C2812">
        <w:rPr>
          <w:rFonts w:ascii="Times New Roman" w:hAnsi="Times New Roman" w:cs="Times New Roman"/>
          <w:color w:val="000000" w:themeColor="text1"/>
          <w:sz w:val="24"/>
          <w:szCs w:val="24"/>
        </w:rPr>
        <w:t xml:space="preserve"> provide</w:t>
      </w:r>
      <w:r w:rsidR="00020132" w:rsidRPr="001C2812">
        <w:rPr>
          <w:rFonts w:ascii="Times New Roman" w:hAnsi="Times New Roman" w:cs="Times New Roman"/>
          <w:color w:val="000000" w:themeColor="text1"/>
          <w:sz w:val="24"/>
          <w:szCs w:val="24"/>
        </w:rPr>
        <w:t>s</w:t>
      </w:r>
      <w:r w:rsidRPr="001C2812">
        <w:rPr>
          <w:rFonts w:ascii="Times New Roman" w:hAnsi="Times New Roman" w:cs="Times New Roman"/>
          <w:color w:val="000000" w:themeColor="text1"/>
          <w:sz w:val="24"/>
          <w:szCs w:val="24"/>
        </w:rPr>
        <w:t xml:space="preserve"> the contents of the survey</w:t>
      </w:r>
      <w:r w:rsidR="0038427B" w:rsidRPr="001C2812">
        <w:rPr>
          <w:rFonts w:ascii="Times New Roman" w:hAnsi="Times New Roman" w:cs="Times New Roman"/>
          <w:color w:val="000000" w:themeColor="text1"/>
          <w:sz w:val="24"/>
          <w:szCs w:val="24"/>
        </w:rPr>
        <w:t>, references supporting survey questions,</w:t>
      </w:r>
      <w:r w:rsidRPr="001C2812">
        <w:rPr>
          <w:rFonts w:ascii="Times New Roman" w:hAnsi="Times New Roman" w:cs="Times New Roman"/>
          <w:color w:val="000000" w:themeColor="text1"/>
          <w:sz w:val="24"/>
          <w:szCs w:val="24"/>
        </w:rPr>
        <w:t xml:space="preserve"> and supplemental Table</w:t>
      </w:r>
      <w:r w:rsidR="006E4113" w:rsidRPr="001C2812">
        <w:rPr>
          <w:rFonts w:ascii="Times New Roman" w:hAnsi="Times New Roman" w:cs="Times New Roman"/>
          <w:color w:val="000000" w:themeColor="text1"/>
          <w:sz w:val="24"/>
          <w:szCs w:val="24"/>
        </w:rPr>
        <w:t>s</w:t>
      </w:r>
      <w:r w:rsidRPr="001C2812">
        <w:rPr>
          <w:rFonts w:ascii="Times New Roman" w:hAnsi="Times New Roman" w:cs="Times New Roman"/>
          <w:color w:val="000000" w:themeColor="text1"/>
          <w:sz w:val="24"/>
          <w:szCs w:val="24"/>
        </w:rPr>
        <w:t xml:space="preserve"> 1</w:t>
      </w:r>
      <w:r w:rsidR="006E4113" w:rsidRPr="001C2812">
        <w:rPr>
          <w:rFonts w:ascii="Times New Roman" w:hAnsi="Times New Roman" w:cs="Times New Roman"/>
          <w:color w:val="000000" w:themeColor="text1"/>
          <w:sz w:val="24"/>
          <w:szCs w:val="24"/>
        </w:rPr>
        <w:t xml:space="preserve"> and 2</w:t>
      </w:r>
      <w:r w:rsidRPr="001C2812">
        <w:rPr>
          <w:rFonts w:ascii="Times New Roman" w:hAnsi="Times New Roman" w:cs="Times New Roman"/>
          <w:color w:val="000000" w:themeColor="text1"/>
          <w:sz w:val="24"/>
          <w:szCs w:val="24"/>
        </w:rPr>
        <w:t>.</w:t>
      </w:r>
    </w:p>
    <w:p w14:paraId="0406EEFC" w14:textId="77777777" w:rsidR="000E5958" w:rsidRPr="001C2812" w:rsidRDefault="000E5958" w:rsidP="000E5958">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190ADC3E" w14:textId="77777777" w:rsidR="000E5958" w:rsidRPr="001C2812" w:rsidRDefault="000E5958" w:rsidP="000E5958">
      <w:pPr>
        <w:spacing w:line="240" w:lineRule="auto"/>
        <w:jc w:val="center"/>
        <w:rPr>
          <w:rFonts w:ascii="Times New Roman" w:hAnsi="Times New Roman" w:cs="Times New Roman"/>
          <w:b/>
          <w:color w:val="000000" w:themeColor="text1"/>
          <w:sz w:val="24"/>
          <w:szCs w:val="24"/>
        </w:rPr>
      </w:pPr>
      <w:r w:rsidRPr="001C2812">
        <w:rPr>
          <w:rFonts w:ascii="Times New Roman" w:hAnsi="Times New Roman" w:cs="Times New Roman"/>
          <w:b/>
          <w:bCs/>
          <w:color w:val="000000" w:themeColor="text1"/>
          <w:sz w:val="24"/>
          <w:szCs w:val="24"/>
        </w:rPr>
        <w:t>Neuromuscular Survey</w:t>
      </w:r>
    </w:p>
    <w:p w14:paraId="50AFEDD2" w14:textId="77777777" w:rsidR="00197E1F" w:rsidRPr="001C2812" w:rsidRDefault="00197E1F" w:rsidP="00197E1F">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Participation in this minimal-risk survey study is entirely voluntary. This survey is conducted by research teams from Cleveland Clinic, </w:t>
      </w:r>
      <w:r w:rsidR="00374AA1" w:rsidRPr="001C2812">
        <w:rPr>
          <w:rFonts w:ascii="Times New Roman" w:hAnsi="Times New Roman" w:cs="Times New Roman"/>
          <w:color w:val="000000" w:themeColor="text1"/>
          <w:sz w:val="24"/>
          <w:szCs w:val="24"/>
        </w:rPr>
        <w:t xml:space="preserve">and </w:t>
      </w:r>
      <w:r w:rsidRPr="001C2812">
        <w:rPr>
          <w:rFonts w:ascii="Times New Roman" w:hAnsi="Times New Roman" w:cs="Times New Roman"/>
          <w:color w:val="000000" w:themeColor="text1"/>
          <w:sz w:val="24"/>
          <w:szCs w:val="24"/>
        </w:rPr>
        <w:t xml:space="preserve">Mayo Clinic, who will be collecting information that may be shared with health authorities, study monitors who check the accuracy of the information, and individuals who collate report forms. </w:t>
      </w:r>
      <w:r w:rsidRPr="001C2812">
        <w:rPr>
          <w:rFonts w:ascii="Times New Roman" w:hAnsi="Times New Roman" w:cs="Times New Roman"/>
          <w:b/>
          <w:color w:val="000000" w:themeColor="text1"/>
          <w:sz w:val="24"/>
          <w:szCs w:val="24"/>
        </w:rPr>
        <w:t>No identifying information will be collected.</w:t>
      </w:r>
      <w:r w:rsidRPr="001C2812">
        <w:rPr>
          <w:rFonts w:ascii="Times New Roman" w:hAnsi="Times New Roman" w:cs="Times New Roman"/>
          <w:color w:val="000000" w:themeColor="text1"/>
          <w:sz w:val="24"/>
          <w:szCs w:val="24"/>
        </w:rPr>
        <w:t xml:space="preserve"> By answering the questions, you are providing authorization for the research team to use and share this de-identified information at any time. If you do not want to authorize the use and disclosure of this information, you may choose not to answer these questions. There is no expiration date for the use of this information as stated in this authorization. Thank you for your consideration.</w:t>
      </w:r>
    </w:p>
    <w:p w14:paraId="08436D14" w14:textId="77777777" w:rsidR="000F65B3" w:rsidRPr="001C2812" w:rsidRDefault="000F65B3" w:rsidP="00330A0A">
      <w:pPr>
        <w:spacing w:after="0" w:line="240" w:lineRule="auto"/>
        <w:rPr>
          <w:rFonts w:ascii="Times New Roman" w:hAnsi="Times New Roman" w:cs="Times New Roman"/>
          <w:b/>
          <w:color w:val="000000" w:themeColor="text1"/>
          <w:sz w:val="24"/>
          <w:szCs w:val="24"/>
        </w:rPr>
      </w:pPr>
    </w:p>
    <w:p w14:paraId="1DBC5F4D" w14:textId="77777777" w:rsidR="00330A0A" w:rsidRPr="001C2812" w:rsidRDefault="00330A0A" w:rsidP="00330A0A">
      <w:pPr>
        <w:spacing w:line="240" w:lineRule="auto"/>
        <w:rPr>
          <w:rFonts w:ascii="Times New Roman" w:hAnsi="Times New Roman" w:cs="Times New Roman"/>
          <w:b/>
          <w:color w:val="000000" w:themeColor="text1"/>
          <w:sz w:val="24"/>
          <w:szCs w:val="24"/>
        </w:rPr>
      </w:pPr>
      <w:r w:rsidRPr="001C2812">
        <w:rPr>
          <w:rFonts w:ascii="Times New Roman" w:hAnsi="Times New Roman" w:cs="Times New Roman"/>
          <w:b/>
          <w:bCs/>
          <w:color w:val="000000" w:themeColor="text1"/>
          <w:sz w:val="24"/>
          <w:szCs w:val="24"/>
        </w:rPr>
        <w:t>Neuromuscular Survey</w:t>
      </w:r>
    </w:p>
    <w:p w14:paraId="5EA0C7F1" w14:textId="77777777" w:rsidR="00330A0A" w:rsidRPr="001C2812" w:rsidRDefault="00330A0A" w:rsidP="00330A0A">
      <w:pPr>
        <w:spacing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 xml:space="preserve">Please fill out the survey by placing an "X" after your answer.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C2812" w:rsidRPr="001C2812" w14:paraId="0C9627C6" w14:textId="77777777" w:rsidTr="00285EAB">
        <w:trPr>
          <w:trHeight w:val="1697"/>
        </w:trPr>
        <w:tc>
          <w:tcPr>
            <w:tcW w:w="9101" w:type="dxa"/>
            <w:shd w:val="clear" w:color="auto" w:fill="auto"/>
          </w:tcPr>
          <w:p w14:paraId="59234084"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 xml:space="preserve">In addition, after each question, please indicate the level of confidence you have in your answer. </w:t>
            </w:r>
          </w:p>
          <w:p w14:paraId="386EEB3C"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p>
          <w:p w14:paraId="12432A20"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u w:val="single"/>
              </w:rPr>
              <w:t>Please use a 50% to 100% scale</w:t>
            </w:r>
            <w:r w:rsidRPr="001C2812">
              <w:rPr>
                <w:rFonts w:ascii="Times New Roman" w:hAnsi="Times New Roman" w:cs="Times New Roman"/>
                <w:b/>
                <w:color w:val="000000" w:themeColor="text1"/>
                <w:sz w:val="24"/>
                <w:szCs w:val="24"/>
              </w:rPr>
              <w:t xml:space="preserve">: </w:t>
            </w:r>
          </w:p>
          <w:p w14:paraId="35B3D27C"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p>
          <w:p w14:paraId="4E9EB61D"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 xml:space="preserve">1. If you are completely unsure whether your chosen answer is correct you should indicate 50% as your confidence; because there are two options, the likelihood of your answer being correct is only </w:t>
            </w:r>
            <w:r w:rsidR="004C6BDE" w:rsidRPr="001C2812">
              <w:rPr>
                <w:rFonts w:ascii="Times New Roman" w:hAnsi="Times New Roman" w:cs="Times New Roman"/>
                <w:b/>
                <w:color w:val="000000" w:themeColor="text1"/>
                <w:sz w:val="24"/>
                <w:szCs w:val="24"/>
              </w:rPr>
              <w:t xml:space="preserve">at </w:t>
            </w:r>
            <w:r w:rsidRPr="001C2812">
              <w:rPr>
                <w:rFonts w:ascii="Times New Roman" w:hAnsi="Times New Roman" w:cs="Times New Roman"/>
                <w:b/>
                <w:color w:val="000000" w:themeColor="text1"/>
                <w:sz w:val="24"/>
                <w:szCs w:val="24"/>
              </w:rPr>
              <w:t xml:space="preserve">the chance level of 50%. </w:t>
            </w:r>
          </w:p>
          <w:p w14:paraId="39BD52EC"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p>
          <w:p w14:paraId="2F230027"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 xml:space="preserve">2. On the other hand, if you are completely confident in your answer, you should indicate 100%. </w:t>
            </w:r>
          </w:p>
          <w:p w14:paraId="6CC99887"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p>
          <w:p w14:paraId="0CED745F"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 xml:space="preserve">3. You can indicate any confidence level from 50% to 100% that your answer is correct. </w:t>
            </w:r>
          </w:p>
        </w:tc>
      </w:tr>
    </w:tbl>
    <w:p w14:paraId="77808070" w14:textId="77777777" w:rsidR="00330A0A" w:rsidRPr="001C2812" w:rsidRDefault="00330A0A" w:rsidP="00330A0A">
      <w:pPr>
        <w:spacing w:after="0" w:line="240" w:lineRule="auto"/>
        <w:rPr>
          <w:rFonts w:ascii="Times New Roman" w:hAnsi="Times New Roman" w:cs="Times New Roman"/>
          <w:b/>
          <w:color w:val="000000" w:themeColor="text1"/>
          <w:sz w:val="24"/>
          <w:szCs w:val="24"/>
          <w:u w:val="single"/>
        </w:rPr>
      </w:pPr>
      <w:r w:rsidRPr="001C2812">
        <w:rPr>
          <w:rFonts w:ascii="Times New Roman" w:hAnsi="Times New Roman" w:cs="Times New Roman"/>
          <w:b/>
          <w:color w:val="000000" w:themeColor="text1"/>
          <w:sz w:val="24"/>
          <w:szCs w:val="24"/>
          <w:u w:val="single"/>
        </w:rPr>
        <w:t>Demographic Data</w:t>
      </w:r>
    </w:p>
    <w:p w14:paraId="17CC3AA8"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p>
    <w:p w14:paraId="10F2FD26" w14:textId="77777777" w:rsidR="00330A0A" w:rsidRPr="001C2812" w:rsidRDefault="00330A0A" w:rsidP="00330A0A">
      <w:p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bCs/>
          <w:color w:val="000000" w:themeColor="text1"/>
          <w:sz w:val="24"/>
          <w:szCs w:val="24"/>
        </w:rPr>
        <w:lastRenderedPageBreak/>
        <w:t>A. Practice location/State</w:t>
      </w:r>
      <w:r w:rsidRPr="001C2812">
        <w:rPr>
          <w:rFonts w:ascii="Times New Roman" w:hAnsi="Times New Roman" w:cs="Times New Roman"/>
          <w:b/>
          <w:color w:val="000000" w:themeColor="text1"/>
          <w:sz w:val="24"/>
          <w:szCs w:val="24"/>
        </w:rPr>
        <w:t xml:space="preserve"> </w:t>
      </w:r>
    </w:p>
    <w:p w14:paraId="54E66488" w14:textId="77777777" w:rsidR="001E35BE" w:rsidRPr="001C2812" w:rsidRDefault="001E35BE" w:rsidP="00330A0A">
      <w:pPr>
        <w:spacing w:after="0" w:line="240" w:lineRule="auto"/>
        <w:rPr>
          <w:rFonts w:ascii="Times New Roman" w:hAnsi="Times New Roman" w:cs="Times New Roman"/>
          <w:color w:val="000000" w:themeColor="text1"/>
          <w:sz w:val="24"/>
          <w:szCs w:val="24"/>
        </w:rPr>
      </w:pPr>
    </w:p>
    <w:p w14:paraId="25ABAB6C"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 Americas (USA, Canada, Mexico, Brazil, etc.) __________________</w:t>
      </w:r>
    </w:p>
    <w:p w14:paraId="45DC04EF"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24B60F3B"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 Europe (please specify the country) ________________</w:t>
      </w:r>
    </w:p>
    <w:p w14:paraId="77730C11"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13A2ECE0"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 Africa (please specify the country) ________________</w:t>
      </w:r>
    </w:p>
    <w:p w14:paraId="6C661B39"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242F4F59"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roofErr w:type="gramStart"/>
      <w:r w:rsidRPr="001C2812">
        <w:rPr>
          <w:rFonts w:ascii="Times New Roman" w:hAnsi="Times New Roman" w:cs="Times New Roman"/>
          <w:color w:val="000000" w:themeColor="text1"/>
          <w:sz w:val="24"/>
          <w:szCs w:val="24"/>
        </w:rPr>
        <w:t>d</w:t>
      </w:r>
      <w:proofErr w:type="gramEnd"/>
      <w:r w:rsidRPr="001C2812">
        <w:rPr>
          <w:rFonts w:ascii="Times New Roman" w:hAnsi="Times New Roman" w:cs="Times New Roman"/>
          <w:color w:val="000000" w:themeColor="text1"/>
          <w:sz w:val="24"/>
          <w:szCs w:val="24"/>
        </w:rPr>
        <w:t>) Australia/New Zealand</w:t>
      </w:r>
    </w:p>
    <w:p w14:paraId="4603C3B3"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197796FA"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e) Asia (please specify the country) ________________</w:t>
      </w:r>
    </w:p>
    <w:p w14:paraId="1BE7AC58" w14:textId="77777777" w:rsidR="00490825" w:rsidRPr="001C2812" w:rsidRDefault="00490825" w:rsidP="00330A0A">
      <w:pPr>
        <w:spacing w:after="0" w:line="240" w:lineRule="auto"/>
        <w:rPr>
          <w:rFonts w:ascii="Times New Roman" w:hAnsi="Times New Roman" w:cs="Times New Roman"/>
          <w:color w:val="000000" w:themeColor="text1"/>
          <w:sz w:val="24"/>
          <w:szCs w:val="24"/>
        </w:rPr>
      </w:pPr>
    </w:p>
    <w:p w14:paraId="21CB764D" w14:textId="77777777" w:rsidR="00490825" w:rsidRPr="001C2812" w:rsidRDefault="00490825" w:rsidP="00330A0A">
      <w:pPr>
        <w:spacing w:after="0" w:line="240" w:lineRule="auto"/>
        <w:rPr>
          <w:rFonts w:ascii="Times New Roman" w:hAnsi="Times New Roman" w:cs="Times New Roman"/>
          <w:color w:val="000000" w:themeColor="text1"/>
          <w:sz w:val="24"/>
          <w:szCs w:val="24"/>
        </w:rPr>
      </w:pPr>
    </w:p>
    <w:p w14:paraId="158622A5"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b/>
          <w:bCs/>
          <w:color w:val="000000" w:themeColor="text1"/>
          <w:sz w:val="24"/>
          <w:szCs w:val="24"/>
        </w:rPr>
        <w:t>B. Your academic degree(s):</w:t>
      </w:r>
    </w:p>
    <w:p w14:paraId="55EBD008"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5298B6AB"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a) Doctorate (MD, </w:t>
      </w:r>
      <w:r w:rsidR="004C6BDE" w:rsidRPr="001C2812">
        <w:rPr>
          <w:rFonts w:ascii="Times New Roman" w:hAnsi="Times New Roman" w:cs="Times New Roman"/>
          <w:color w:val="000000" w:themeColor="text1"/>
          <w:sz w:val="24"/>
          <w:szCs w:val="24"/>
        </w:rPr>
        <w:t xml:space="preserve">MB, CHB, BM, </w:t>
      </w:r>
      <w:r w:rsidRPr="001C2812">
        <w:rPr>
          <w:rFonts w:ascii="Times New Roman" w:hAnsi="Times New Roman" w:cs="Times New Roman"/>
          <w:color w:val="000000" w:themeColor="text1"/>
          <w:sz w:val="24"/>
          <w:szCs w:val="24"/>
        </w:rPr>
        <w:t>PhD, MD/PhD, DO) _______________</w:t>
      </w:r>
    </w:p>
    <w:p w14:paraId="47A4B050"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140CC003" w14:textId="77777777" w:rsidR="003E2F57" w:rsidRPr="001C2812" w:rsidRDefault="003E2F57" w:rsidP="00330A0A">
      <w:pPr>
        <w:spacing w:after="0" w:line="240" w:lineRule="auto"/>
        <w:rPr>
          <w:rFonts w:ascii="Times New Roman" w:hAnsi="Times New Roman" w:cs="Times New Roman"/>
          <w:color w:val="000000" w:themeColor="text1"/>
          <w:sz w:val="24"/>
          <w:szCs w:val="24"/>
        </w:rPr>
      </w:pPr>
    </w:p>
    <w:p w14:paraId="482EE97D"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b/>
          <w:bCs/>
          <w:color w:val="000000" w:themeColor="text1"/>
          <w:sz w:val="24"/>
          <w:szCs w:val="24"/>
        </w:rPr>
        <w:t>C. Years since completing your training:</w:t>
      </w:r>
    </w:p>
    <w:p w14:paraId="4AC0354E"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4AC9C375"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 0-5</w:t>
      </w:r>
    </w:p>
    <w:p w14:paraId="395C3C57"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2283B178"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 6-10</w:t>
      </w:r>
    </w:p>
    <w:p w14:paraId="313C1698"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693BA26D"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 11-15</w:t>
      </w:r>
    </w:p>
    <w:p w14:paraId="2FD32E4D"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53A41FBB"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d) 16-20</w:t>
      </w:r>
    </w:p>
    <w:p w14:paraId="5A622804"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02A60E8E" w14:textId="77777777" w:rsidR="00330A0A" w:rsidRPr="001C2812" w:rsidRDefault="00330A0A"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e) More than 20</w:t>
      </w:r>
    </w:p>
    <w:p w14:paraId="3788FCAF"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1D5287AA" w14:textId="77777777" w:rsidR="00197E1F" w:rsidRPr="001C2812" w:rsidRDefault="00197E1F" w:rsidP="00330A0A">
      <w:p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br w:type="page"/>
      </w:r>
    </w:p>
    <w:p w14:paraId="022B572F" w14:textId="77777777" w:rsidR="00330A0A" w:rsidRPr="001C2812" w:rsidRDefault="00330A0A" w:rsidP="00330A0A">
      <w:pPr>
        <w:spacing w:after="0" w:line="240" w:lineRule="auto"/>
        <w:rPr>
          <w:rFonts w:ascii="Times New Roman" w:hAnsi="Times New Roman" w:cs="Times New Roman"/>
          <w:b/>
          <w:bCs/>
          <w:color w:val="000000" w:themeColor="text1"/>
          <w:sz w:val="28"/>
          <w:szCs w:val="28"/>
        </w:rPr>
      </w:pPr>
      <w:r w:rsidRPr="001C2812">
        <w:rPr>
          <w:rFonts w:ascii="Times New Roman" w:hAnsi="Times New Roman" w:cs="Times New Roman"/>
          <w:b/>
          <w:bCs/>
          <w:color w:val="000000" w:themeColor="text1"/>
          <w:sz w:val="28"/>
          <w:szCs w:val="28"/>
        </w:rPr>
        <w:lastRenderedPageBreak/>
        <w:t>Please note:</w:t>
      </w:r>
    </w:p>
    <w:p w14:paraId="53BC520E" w14:textId="77777777" w:rsidR="00330A0A" w:rsidRPr="001C2812" w:rsidRDefault="00330A0A" w:rsidP="00330A0A">
      <w:pPr>
        <w:spacing w:after="0" w:line="240" w:lineRule="auto"/>
        <w:rPr>
          <w:rFonts w:ascii="Times New Roman" w:hAnsi="Times New Roman" w:cs="Times New Roman"/>
          <w:color w:val="000000" w:themeColor="text1"/>
          <w:sz w:val="24"/>
          <w:szCs w:val="24"/>
        </w:rPr>
      </w:pPr>
    </w:p>
    <w:p w14:paraId="7AA4D4D3" w14:textId="77777777" w:rsidR="00330A0A" w:rsidRPr="001C2812" w:rsidRDefault="00330A0A" w:rsidP="00330A0A">
      <w:pPr>
        <w:spacing w:after="0" w:line="240" w:lineRule="auto"/>
        <w:rPr>
          <w:rFonts w:ascii="Times New Roman" w:hAnsi="Times New Roman" w:cs="Times New Roman"/>
          <w:b/>
          <w:bCs/>
          <w:color w:val="000000" w:themeColor="text1"/>
          <w:sz w:val="24"/>
          <w:szCs w:val="24"/>
        </w:rPr>
      </w:pPr>
      <w:r w:rsidRPr="001C2812">
        <w:rPr>
          <w:rFonts w:ascii="Times New Roman" w:hAnsi="Times New Roman" w:cs="Times New Roman"/>
          <w:b/>
          <w:bCs/>
          <w:i/>
          <w:iCs/>
          <w:color w:val="000000" w:themeColor="text1"/>
          <w:sz w:val="24"/>
          <w:szCs w:val="24"/>
        </w:rPr>
        <w:t>Peripheral nerve stimulator</w:t>
      </w:r>
      <w:r w:rsidRPr="001C2812">
        <w:rPr>
          <w:rFonts w:ascii="Times New Roman" w:hAnsi="Times New Roman" w:cs="Times New Roman"/>
          <w:b/>
          <w:bCs/>
          <w:color w:val="000000" w:themeColor="text1"/>
          <w:sz w:val="24"/>
          <w:szCs w:val="24"/>
        </w:rPr>
        <w:t xml:space="preserve"> (</w:t>
      </w:r>
      <w:r w:rsidRPr="001C2812">
        <w:rPr>
          <w:rFonts w:ascii="Times New Roman" w:hAnsi="Times New Roman" w:cs="Times New Roman"/>
          <w:b/>
          <w:bCs/>
          <w:color w:val="000000" w:themeColor="text1"/>
          <w:sz w:val="24"/>
          <w:szCs w:val="24"/>
          <w:u w:val="single"/>
        </w:rPr>
        <w:t>PNS</w:t>
      </w:r>
      <w:r w:rsidRPr="001C2812">
        <w:rPr>
          <w:rFonts w:ascii="Times New Roman" w:hAnsi="Times New Roman" w:cs="Times New Roman"/>
          <w:b/>
          <w:bCs/>
          <w:color w:val="000000" w:themeColor="text1"/>
          <w:sz w:val="24"/>
          <w:szCs w:val="24"/>
        </w:rPr>
        <w:t xml:space="preserve">) units require the clinician to evaluate the evoked response by subjective (or QUALITATIVE) means (i.e., visually or tactilely). </w:t>
      </w:r>
    </w:p>
    <w:p w14:paraId="2085AF85"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43AB4760" w14:textId="77777777" w:rsidR="00330A0A" w:rsidRPr="001C2812" w:rsidRDefault="00330A0A" w:rsidP="00330A0A">
      <w:pPr>
        <w:spacing w:line="240" w:lineRule="auto"/>
        <w:rPr>
          <w:rFonts w:ascii="Times New Roman" w:hAnsi="Times New Roman" w:cs="Times New Roman"/>
          <w:color w:val="000000" w:themeColor="text1"/>
        </w:rPr>
      </w:pPr>
      <w:r w:rsidRPr="001C2812">
        <w:rPr>
          <w:rFonts w:ascii="Times New Roman" w:hAnsi="Times New Roman" w:cs="Times New Roman"/>
          <w:noProof/>
          <w:color w:val="000000" w:themeColor="text1"/>
        </w:rPr>
        <w:drawing>
          <wp:inline distT="0" distB="0" distL="0" distR="0" wp14:anchorId="0BB12A33" wp14:editId="26AC9E47">
            <wp:extent cx="2040890" cy="1836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890" cy="1836420"/>
                    </a:xfrm>
                    <a:prstGeom prst="rect">
                      <a:avLst/>
                    </a:prstGeom>
                    <a:noFill/>
                    <a:ln>
                      <a:noFill/>
                    </a:ln>
                  </pic:spPr>
                </pic:pic>
              </a:graphicData>
            </a:graphic>
          </wp:inline>
        </w:drawing>
      </w:r>
      <w:r w:rsidRPr="001C2812">
        <w:rPr>
          <w:rFonts w:ascii="Times New Roman" w:hAnsi="Times New Roman" w:cs="Times New Roman"/>
          <w:color w:val="000000" w:themeColor="text1"/>
        </w:rPr>
        <w:t xml:space="preserve"> </w:t>
      </w:r>
      <w:r w:rsidRPr="001C2812">
        <w:rPr>
          <w:rFonts w:ascii="Times New Roman" w:hAnsi="Times New Roman" w:cs="Times New Roman"/>
          <w:noProof/>
          <w:color w:val="000000" w:themeColor="text1"/>
        </w:rPr>
        <w:drawing>
          <wp:inline distT="0" distB="0" distL="0" distR="0" wp14:anchorId="4740C2AA" wp14:editId="1A78C86E">
            <wp:extent cx="2048510" cy="184340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1843405"/>
                    </a:xfrm>
                    <a:prstGeom prst="rect">
                      <a:avLst/>
                    </a:prstGeom>
                    <a:noFill/>
                    <a:ln>
                      <a:noFill/>
                    </a:ln>
                  </pic:spPr>
                </pic:pic>
              </a:graphicData>
            </a:graphic>
          </wp:inline>
        </w:drawing>
      </w:r>
    </w:p>
    <w:p w14:paraId="1CDE0159" w14:textId="77777777" w:rsidR="00330A0A" w:rsidRPr="001C2812" w:rsidRDefault="00330A0A" w:rsidP="00330A0A">
      <w:pPr>
        <w:spacing w:line="240" w:lineRule="auto"/>
        <w:rPr>
          <w:rFonts w:ascii="Times New Roman" w:hAnsi="Times New Roman" w:cs="Times New Roman"/>
          <w:color w:val="000000" w:themeColor="text1"/>
        </w:rPr>
      </w:pPr>
    </w:p>
    <w:p w14:paraId="0BE67426" w14:textId="77777777" w:rsidR="00330A0A" w:rsidRPr="001C2812" w:rsidRDefault="00330A0A" w:rsidP="00330A0A">
      <w:pPr>
        <w:spacing w:line="240" w:lineRule="auto"/>
        <w:rPr>
          <w:rFonts w:ascii="Times New Roman" w:hAnsi="Times New Roman" w:cs="Times New Roman"/>
          <w:b/>
          <w:bCs/>
          <w:color w:val="000000" w:themeColor="text1"/>
          <w:sz w:val="24"/>
          <w:szCs w:val="24"/>
        </w:rPr>
      </w:pPr>
      <w:r w:rsidRPr="001C2812">
        <w:rPr>
          <w:rFonts w:ascii="Times New Roman" w:hAnsi="Times New Roman" w:cs="Times New Roman"/>
          <w:b/>
          <w:bCs/>
          <w:i/>
          <w:iCs/>
          <w:color w:val="000000" w:themeColor="text1"/>
          <w:sz w:val="24"/>
          <w:szCs w:val="24"/>
        </w:rPr>
        <w:t xml:space="preserve">QUANTITATIVE train-of-four </w:t>
      </w:r>
      <w:r w:rsidRPr="001C2812">
        <w:rPr>
          <w:rFonts w:ascii="Times New Roman" w:hAnsi="Times New Roman" w:cs="Times New Roman"/>
          <w:b/>
          <w:bCs/>
          <w:i/>
          <w:iCs/>
          <w:color w:val="000000" w:themeColor="text1"/>
          <w:sz w:val="24"/>
          <w:szCs w:val="24"/>
          <w:u w:val="single"/>
        </w:rPr>
        <w:t>monitors</w:t>
      </w:r>
      <w:r w:rsidRPr="001C2812">
        <w:rPr>
          <w:rFonts w:ascii="Times New Roman" w:hAnsi="Times New Roman" w:cs="Times New Roman"/>
          <w:b/>
          <w:bCs/>
          <w:color w:val="000000" w:themeColor="text1"/>
          <w:sz w:val="24"/>
          <w:szCs w:val="24"/>
        </w:rPr>
        <w:t xml:space="preserve"> measure and display the train-of-four ratio (TOFR) in real time.</w:t>
      </w:r>
    </w:p>
    <w:p w14:paraId="23028DDA"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3408B8F1" w14:textId="77777777" w:rsidR="00330A0A" w:rsidRPr="001C2812" w:rsidRDefault="00330A0A" w:rsidP="00330A0A">
      <w:pPr>
        <w:spacing w:line="240" w:lineRule="auto"/>
        <w:rPr>
          <w:rFonts w:ascii="Times New Roman" w:hAnsi="Times New Roman" w:cs="Times New Roman"/>
          <w:noProof/>
          <w:color w:val="000000" w:themeColor="text1"/>
        </w:rPr>
      </w:pPr>
      <w:r w:rsidRPr="001C2812">
        <w:rPr>
          <w:rFonts w:ascii="Times New Roman" w:hAnsi="Times New Roman" w:cs="Times New Roman"/>
          <w:noProof/>
          <w:color w:val="000000" w:themeColor="text1"/>
        </w:rPr>
        <w:drawing>
          <wp:inline distT="0" distB="0" distL="0" distR="0" wp14:anchorId="26ADE12E" wp14:editId="77A4648B">
            <wp:extent cx="2252980" cy="1689735"/>
            <wp:effectExtent l="0" t="0" r="0" b="5715"/>
            <wp:docPr id="6" name="Picture 6" descr="sc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980" cy="1689735"/>
                    </a:xfrm>
                    <a:prstGeom prst="rect">
                      <a:avLst/>
                    </a:prstGeom>
                    <a:noFill/>
                    <a:ln>
                      <a:noFill/>
                    </a:ln>
                  </pic:spPr>
                </pic:pic>
              </a:graphicData>
            </a:graphic>
          </wp:inline>
        </w:drawing>
      </w:r>
      <w:r w:rsidRPr="001C2812">
        <w:rPr>
          <w:rFonts w:ascii="Times New Roman" w:hAnsi="Times New Roman" w:cs="Times New Roman"/>
          <w:noProof/>
          <w:color w:val="000000" w:themeColor="text1"/>
        </w:rPr>
        <w:t xml:space="preserve"> </w:t>
      </w:r>
      <w:r w:rsidRPr="001C2812">
        <w:rPr>
          <w:rFonts w:ascii="Times New Roman" w:hAnsi="Times New Roman" w:cs="Times New Roman"/>
          <w:noProof/>
          <w:color w:val="000000" w:themeColor="text1"/>
        </w:rPr>
        <w:drawing>
          <wp:inline distT="0" distB="0" distL="0" distR="0" wp14:anchorId="78B22998" wp14:editId="65F2AB38">
            <wp:extent cx="1851025" cy="1675130"/>
            <wp:effectExtent l="0" t="0" r="0" b="1270"/>
            <wp:docPr id="5" name="Picture 5" descr="sc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025" cy="1675130"/>
                    </a:xfrm>
                    <a:prstGeom prst="rect">
                      <a:avLst/>
                    </a:prstGeom>
                    <a:noFill/>
                    <a:ln>
                      <a:noFill/>
                    </a:ln>
                  </pic:spPr>
                </pic:pic>
              </a:graphicData>
            </a:graphic>
          </wp:inline>
        </w:drawing>
      </w:r>
    </w:p>
    <w:p w14:paraId="4DABB9BC" w14:textId="77777777" w:rsidR="00197E1F" w:rsidRPr="001C2812" w:rsidRDefault="00197E1F" w:rsidP="00330A0A">
      <w:pPr>
        <w:spacing w:line="240" w:lineRule="auto"/>
        <w:rPr>
          <w:rFonts w:ascii="Times New Roman" w:hAnsi="Times New Roman" w:cs="Times New Roman"/>
          <w:noProof/>
          <w:color w:val="000000" w:themeColor="text1"/>
        </w:rPr>
      </w:pPr>
      <w:r w:rsidRPr="001C2812">
        <w:rPr>
          <w:rFonts w:ascii="Times New Roman" w:hAnsi="Times New Roman" w:cs="Times New Roman"/>
          <w:noProof/>
          <w:color w:val="000000" w:themeColor="text1"/>
        </w:rPr>
        <w:br w:type="page"/>
      </w:r>
    </w:p>
    <w:p w14:paraId="50014660"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lastRenderedPageBreak/>
        <w:t xml:space="preserve">1. When rocuronium is administered and sugammadex is available, successful antagonism of residual block can be assured without the need for monitoring of neuromuscular function. </w:t>
      </w:r>
    </w:p>
    <w:p w14:paraId="5BF5ABFD" w14:textId="77777777" w:rsidR="00330A0A" w:rsidRPr="001C2812" w:rsidRDefault="00330A0A" w:rsidP="00330A0A">
      <w:pPr>
        <w:spacing w:line="240" w:lineRule="auto"/>
        <w:ind w:left="720"/>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 True</w:t>
      </w:r>
    </w:p>
    <w:p w14:paraId="7AD3DDF3" w14:textId="77777777" w:rsidR="00330A0A" w:rsidRPr="001C2812" w:rsidRDefault="00330A0A" w:rsidP="00330A0A">
      <w:pPr>
        <w:spacing w:line="240" w:lineRule="auto"/>
        <w:ind w:left="720"/>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b) False</w:t>
      </w:r>
    </w:p>
    <w:p w14:paraId="2CF6B9B3"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 Remember, 50% means you are completely unsure, 100% means you are absolutely sure of the answer.</w:t>
      </w:r>
    </w:p>
    <w:p w14:paraId="103EDCC6"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56A85C1D"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13E2A99E" w14:textId="77777777" w:rsidR="00330A0A" w:rsidRPr="001C2812" w:rsidRDefault="00330A0A" w:rsidP="00330A0A">
      <w:pPr>
        <w:spacing w:line="240" w:lineRule="auto"/>
        <w:rPr>
          <w:rFonts w:ascii="Times New Roman" w:hAnsi="Times New Roman" w:cs="Times New Roman"/>
          <w:bCs/>
          <w:color w:val="000000" w:themeColor="text1"/>
          <w:sz w:val="24"/>
          <w:szCs w:val="24"/>
        </w:rPr>
      </w:pPr>
      <w:r w:rsidRPr="001C2812">
        <w:rPr>
          <w:rFonts w:ascii="Times New Roman" w:hAnsi="Times New Roman" w:cs="Times New Roman"/>
          <w:color w:val="000000" w:themeColor="text1"/>
          <w:sz w:val="24"/>
          <w:szCs w:val="24"/>
        </w:rPr>
        <w:t xml:space="preserve">2. </w:t>
      </w:r>
      <w:r w:rsidRPr="001C2812">
        <w:rPr>
          <w:rFonts w:ascii="Times New Roman" w:hAnsi="Times New Roman" w:cs="Times New Roman"/>
          <w:bCs/>
          <w:color w:val="000000" w:themeColor="text1"/>
          <w:sz w:val="24"/>
          <w:szCs w:val="24"/>
        </w:rPr>
        <w:t xml:space="preserve">Subjective (visual or tactile) evaluation of TOF fade is a useful indicator of the adequacy of neuromuscular recovery. Once fade can no longer be detected visually or by touch, the TOF ratio is reliably above a value of 0.7. </w:t>
      </w:r>
    </w:p>
    <w:p w14:paraId="7991C725" w14:textId="77777777" w:rsidR="00330A0A" w:rsidRPr="001C2812" w:rsidRDefault="00330A0A" w:rsidP="00330A0A">
      <w:pPr>
        <w:spacing w:line="240" w:lineRule="auto"/>
        <w:ind w:left="720"/>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 True</w:t>
      </w:r>
    </w:p>
    <w:p w14:paraId="6891D1D9" w14:textId="77777777" w:rsidR="00330A0A" w:rsidRPr="001C2812" w:rsidRDefault="00330A0A" w:rsidP="00330A0A">
      <w:pPr>
        <w:spacing w:line="240" w:lineRule="auto"/>
        <w:ind w:left="720"/>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b) False</w:t>
      </w:r>
    </w:p>
    <w:p w14:paraId="3D2C51F7"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68514C4A"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11E8B1BD" w14:textId="77777777" w:rsidR="00330A0A" w:rsidRPr="001C2812" w:rsidRDefault="00330A0A" w:rsidP="00330A0A">
      <w:pPr>
        <w:spacing w:line="240" w:lineRule="auto"/>
        <w:rPr>
          <w:rFonts w:ascii="Times New Roman" w:hAnsi="Times New Roman" w:cs="Times New Roman"/>
          <w:bCs/>
          <w:color w:val="000000" w:themeColor="text1"/>
          <w:sz w:val="24"/>
          <w:szCs w:val="24"/>
        </w:rPr>
      </w:pPr>
    </w:p>
    <w:p w14:paraId="26F766FE" w14:textId="77777777" w:rsidR="00330A0A" w:rsidRPr="001C2812" w:rsidRDefault="00330A0A" w:rsidP="00330A0A">
      <w:pPr>
        <w:spacing w:line="240" w:lineRule="auto"/>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3. Following a single “intubation dose” of an intermediat</w:t>
      </w:r>
      <w:r w:rsidR="004C6BDE" w:rsidRPr="001C2812">
        <w:rPr>
          <w:rFonts w:ascii="Times New Roman" w:hAnsi="Times New Roman" w:cs="Times New Roman"/>
          <w:bCs/>
          <w:color w:val="000000" w:themeColor="text1"/>
          <w:sz w:val="24"/>
          <w:szCs w:val="24"/>
        </w:rPr>
        <w:t>e duration neuromuscular blocking agent</w:t>
      </w:r>
      <w:r w:rsidRPr="001C2812">
        <w:rPr>
          <w:rFonts w:ascii="Times New Roman" w:hAnsi="Times New Roman" w:cs="Times New Roman"/>
          <w:bCs/>
          <w:color w:val="000000" w:themeColor="text1"/>
          <w:sz w:val="24"/>
          <w:szCs w:val="24"/>
        </w:rPr>
        <w:t xml:space="preserve"> (e.g., rocuronium 0.6 mg/kg), adequate spontaneous recovery can be expected in about 2 to 2.5 hours. Antagonism of residual block can be safely omitted once this interval has elapsed even when neuromuscular monitoring has not been employed. </w:t>
      </w:r>
    </w:p>
    <w:p w14:paraId="7C36F51D" w14:textId="77777777" w:rsidR="00330A0A" w:rsidRPr="001C2812" w:rsidRDefault="00330A0A" w:rsidP="00330A0A">
      <w:pPr>
        <w:spacing w:line="240" w:lineRule="auto"/>
        <w:ind w:left="720"/>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a) True</w:t>
      </w:r>
    </w:p>
    <w:p w14:paraId="63664761" w14:textId="77777777" w:rsidR="00330A0A" w:rsidRPr="001C2812" w:rsidRDefault="00330A0A" w:rsidP="00330A0A">
      <w:pPr>
        <w:spacing w:line="240" w:lineRule="auto"/>
        <w:ind w:left="720"/>
        <w:rPr>
          <w:rFonts w:ascii="Times New Roman" w:hAnsi="Times New Roman" w:cs="Times New Roman"/>
          <w:b/>
          <w:bCs/>
          <w:color w:val="000000" w:themeColor="text1"/>
          <w:sz w:val="24"/>
          <w:szCs w:val="24"/>
        </w:rPr>
      </w:pPr>
      <w:r w:rsidRPr="001C2812">
        <w:rPr>
          <w:rFonts w:ascii="Times New Roman" w:hAnsi="Times New Roman" w:cs="Times New Roman"/>
          <w:b/>
          <w:bCs/>
          <w:color w:val="000000" w:themeColor="text1"/>
          <w:sz w:val="24"/>
          <w:szCs w:val="24"/>
        </w:rPr>
        <w:t>b) False</w:t>
      </w:r>
    </w:p>
    <w:p w14:paraId="65CD392A"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0D16F3CD" w14:textId="77777777" w:rsidR="00330A0A" w:rsidRPr="001C2812" w:rsidRDefault="00330A0A" w:rsidP="00330A0A">
      <w:pPr>
        <w:spacing w:line="240" w:lineRule="auto"/>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w:t>
      </w:r>
    </w:p>
    <w:p w14:paraId="4493B665" w14:textId="77777777" w:rsidR="00330A0A" w:rsidRPr="001C2812" w:rsidRDefault="00330A0A" w:rsidP="00330A0A">
      <w:pPr>
        <w:spacing w:line="240" w:lineRule="auto"/>
        <w:rPr>
          <w:rFonts w:ascii="Times New Roman" w:hAnsi="Times New Roman" w:cs="Times New Roman"/>
          <w:bCs/>
          <w:color w:val="000000" w:themeColor="text1"/>
          <w:sz w:val="24"/>
          <w:szCs w:val="24"/>
        </w:rPr>
      </w:pPr>
    </w:p>
    <w:p w14:paraId="71C91FFF" w14:textId="77777777" w:rsidR="00330A0A" w:rsidRPr="001C2812" w:rsidRDefault="00330A0A" w:rsidP="00330A0A">
      <w:pPr>
        <w:spacing w:line="240" w:lineRule="auto"/>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 xml:space="preserve">4. </w:t>
      </w:r>
      <w:r w:rsidRPr="001C2812">
        <w:rPr>
          <w:rFonts w:ascii="Times New Roman" w:hAnsi="Times New Roman" w:cs="Times New Roman"/>
          <w:color w:val="000000" w:themeColor="text1"/>
          <w:sz w:val="24"/>
          <w:szCs w:val="24"/>
        </w:rPr>
        <w:t xml:space="preserve">A </w:t>
      </w:r>
      <w:r w:rsidRPr="001C2812">
        <w:rPr>
          <w:rFonts w:ascii="Times New Roman" w:hAnsi="Times New Roman" w:cs="Times New Roman"/>
          <w:bCs/>
          <w:color w:val="000000" w:themeColor="text1"/>
          <w:sz w:val="24"/>
          <w:szCs w:val="24"/>
        </w:rPr>
        <w:t xml:space="preserve">patient’s ability to sustain a 5-second head lift is not a useful clinical indicator of recovery from neuromuscular blockade because it usually corresponds to a train-of-four ratio (TOFR) of 0.50 to 0.60. </w:t>
      </w:r>
    </w:p>
    <w:p w14:paraId="4BDD7BA3" w14:textId="77777777" w:rsidR="00330A0A" w:rsidRPr="001C2812" w:rsidRDefault="00330A0A" w:rsidP="00330A0A">
      <w:pPr>
        <w:spacing w:line="240" w:lineRule="auto"/>
        <w:ind w:left="720"/>
        <w:rPr>
          <w:rFonts w:ascii="Times New Roman" w:hAnsi="Times New Roman" w:cs="Times New Roman"/>
          <w:b/>
          <w:bCs/>
          <w:color w:val="000000" w:themeColor="text1"/>
          <w:sz w:val="24"/>
          <w:szCs w:val="24"/>
        </w:rPr>
      </w:pPr>
      <w:r w:rsidRPr="001C2812">
        <w:rPr>
          <w:rFonts w:ascii="Times New Roman" w:hAnsi="Times New Roman" w:cs="Times New Roman"/>
          <w:b/>
          <w:bCs/>
          <w:color w:val="000000" w:themeColor="text1"/>
          <w:sz w:val="24"/>
          <w:szCs w:val="24"/>
        </w:rPr>
        <w:t>a) True</w:t>
      </w:r>
    </w:p>
    <w:p w14:paraId="0ADCFBC1" w14:textId="77777777" w:rsidR="00330A0A" w:rsidRPr="001C2812" w:rsidRDefault="00330A0A" w:rsidP="00330A0A">
      <w:pPr>
        <w:spacing w:line="240" w:lineRule="auto"/>
        <w:ind w:left="720"/>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b) False</w:t>
      </w:r>
    </w:p>
    <w:p w14:paraId="5AB2BEED"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1653838F" w14:textId="77777777" w:rsidR="00330A0A" w:rsidRPr="001C2812" w:rsidRDefault="00330A0A" w:rsidP="00330A0A">
      <w:pPr>
        <w:spacing w:line="240" w:lineRule="auto"/>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w:t>
      </w:r>
    </w:p>
    <w:p w14:paraId="1CEAC949"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7638C22B"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lastRenderedPageBreak/>
        <w:t xml:space="preserve">5. A sustained (no fade) response to 50 Hz tetanic stimulation of 5 sec duration provides assurance that the TOFR has returned to a value ≥ 0.90. Antagonism of residual block is not required. </w:t>
      </w:r>
    </w:p>
    <w:p w14:paraId="7A7DE4DA" w14:textId="77777777" w:rsidR="00330A0A" w:rsidRPr="001C2812" w:rsidRDefault="00330A0A" w:rsidP="00330A0A">
      <w:pPr>
        <w:numPr>
          <w:ilvl w:val="0"/>
          <w:numId w:val="13"/>
        </w:numPr>
        <w:spacing w:after="0"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True</w:t>
      </w:r>
    </w:p>
    <w:p w14:paraId="4AC17B80" w14:textId="77777777" w:rsidR="00330A0A" w:rsidRPr="001C2812" w:rsidRDefault="00330A0A" w:rsidP="00330A0A">
      <w:pPr>
        <w:numPr>
          <w:ilvl w:val="0"/>
          <w:numId w:val="13"/>
        </w:numPr>
        <w:spacing w:after="0" w:line="240" w:lineRule="auto"/>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False</w:t>
      </w:r>
    </w:p>
    <w:p w14:paraId="7BABC486"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079F3F85"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03548818"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5CF5ABBA"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6. In the absence of an objective monitor, if the arms are not accessible during surgery, the TOF-count at the facial muscles (orbicularis oculi or corrugator supercilii) will give reliable estimates of what would be observed at the thumb (adductor pollicis) muscle. </w:t>
      </w:r>
    </w:p>
    <w:p w14:paraId="57C9E273" w14:textId="77777777" w:rsidR="00330A0A" w:rsidRPr="001C2812" w:rsidRDefault="00330A0A" w:rsidP="00330A0A">
      <w:pPr>
        <w:spacing w:line="240" w:lineRule="auto"/>
        <w:ind w:left="720"/>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 True</w:t>
      </w:r>
    </w:p>
    <w:p w14:paraId="77014B7D" w14:textId="77777777" w:rsidR="00330A0A" w:rsidRPr="001C2812" w:rsidRDefault="00330A0A" w:rsidP="00330A0A">
      <w:pPr>
        <w:spacing w:line="240" w:lineRule="auto"/>
        <w:ind w:left="720"/>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b) False</w:t>
      </w:r>
    </w:p>
    <w:p w14:paraId="07B9E1F7"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011E7569"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088AE4DC"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537A89BD"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7. Antagonism of residual non-depolarizing block cannot be achieved reliably with neostigmine if it is administered at the time when the TOF-count at the adductor pollicis has returned to a value of two. </w:t>
      </w:r>
    </w:p>
    <w:p w14:paraId="1F02F762" w14:textId="77777777" w:rsidR="00330A0A" w:rsidRPr="001C2812" w:rsidRDefault="00330A0A" w:rsidP="00330A0A">
      <w:pPr>
        <w:spacing w:line="240" w:lineRule="auto"/>
        <w:ind w:left="720"/>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a) True</w:t>
      </w:r>
    </w:p>
    <w:p w14:paraId="4FD932FB" w14:textId="77777777" w:rsidR="00330A0A" w:rsidRPr="001C2812" w:rsidRDefault="00330A0A" w:rsidP="00330A0A">
      <w:pPr>
        <w:spacing w:line="240" w:lineRule="auto"/>
        <w:ind w:left="720"/>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 False</w:t>
      </w:r>
    </w:p>
    <w:p w14:paraId="5A85B2DB"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562B5612"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5791DA90" w14:textId="77777777" w:rsidR="00330A0A" w:rsidRPr="001C2812" w:rsidRDefault="00330A0A" w:rsidP="00330A0A">
      <w:pPr>
        <w:spacing w:line="240" w:lineRule="auto"/>
        <w:rPr>
          <w:rFonts w:ascii="Times New Roman" w:hAnsi="Times New Roman" w:cs="Times New Roman"/>
          <w:bCs/>
          <w:color w:val="000000" w:themeColor="text1"/>
          <w:sz w:val="24"/>
          <w:szCs w:val="24"/>
        </w:rPr>
      </w:pPr>
    </w:p>
    <w:p w14:paraId="117AA0FB" w14:textId="77777777" w:rsidR="00330A0A" w:rsidRPr="001C2812" w:rsidRDefault="003E2F57" w:rsidP="00330A0A">
      <w:pPr>
        <w:autoSpaceDE w:val="0"/>
        <w:autoSpaceDN w:val="0"/>
        <w:adjustRightInd w:val="0"/>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8</w:t>
      </w:r>
      <w:r w:rsidR="00330A0A" w:rsidRPr="001C2812">
        <w:rPr>
          <w:rFonts w:ascii="Times New Roman" w:hAnsi="Times New Roman" w:cs="Times New Roman"/>
          <w:color w:val="000000" w:themeColor="text1"/>
          <w:sz w:val="24"/>
          <w:szCs w:val="24"/>
        </w:rPr>
        <w:t>. TOF counts of 1, 2, 3 and 4 correspond approximately to twitch height recovery of 10%, 20%, 30% and 40% of baseline, respectively.</w:t>
      </w:r>
    </w:p>
    <w:p w14:paraId="287E686B" w14:textId="77777777" w:rsidR="00330A0A" w:rsidRPr="001C2812" w:rsidRDefault="00330A0A" w:rsidP="00330A0A">
      <w:pPr>
        <w:spacing w:line="240" w:lineRule="auto"/>
        <w:ind w:left="720"/>
        <w:rPr>
          <w:rFonts w:ascii="Times New Roman" w:hAnsi="Times New Roman" w:cs="Times New Roman"/>
          <w:b/>
          <w:bCs/>
          <w:color w:val="000000" w:themeColor="text1"/>
          <w:sz w:val="24"/>
          <w:szCs w:val="24"/>
        </w:rPr>
      </w:pPr>
      <w:r w:rsidRPr="001C2812">
        <w:rPr>
          <w:rFonts w:ascii="Times New Roman" w:hAnsi="Times New Roman" w:cs="Times New Roman"/>
          <w:b/>
          <w:bCs/>
          <w:color w:val="000000" w:themeColor="text1"/>
          <w:sz w:val="24"/>
          <w:szCs w:val="24"/>
        </w:rPr>
        <w:t>a) True</w:t>
      </w:r>
    </w:p>
    <w:p w14:paraId="1478A34C" w14:textId="77777777" w:rsidR="00330A0A" w:rsidRPr="001C2812" w:rsidRDefault="00330A0A" w:rsidP="00330A0A">
      <w:pPr>
        <w:spacing w:line="240" w:lineRule="auto"/>
        <w:ind w:left="720"/>
        <w:rPr>
          <w:rFonts w:ascii="Times New Roman" w:hAnsi="Times New Roman" w:cs="Times New Roman"/>
          <w:bCs/>
          <w:color w:val="000000" w:themeColor="text1"/>
          <w:sz w:val="24"/>
          <w:szCs w:val="24"/>
        </w:rPr>
      </w:pPr>
      <w:r w:rsidRPr="001C2812">
        <w:rPr>
          <w:rFonts w:ascii="Times New Roman" w:hAnsi="Times New Roman" w:cs="Times New Roman"/>
          <w:bCs/>
          <w:color w:val="000000" w:themeColor="text1"/>
          <w:sz w:val="24"/>
          <w:szCs w:val="24"/>
        </w:rPr>
        <w:t>b) False</w:t>
      </w:r>
    </w:p>
    <w:p w14:paraId="731D4697"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452A0099"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7765BD3A" w14:textId="77777777" w:rsidR="00330A0A" w:rsidRPr="001C2812" w:rsidRDefault="00330A0A" w:rsidP="00330A0A">
      <w:pPr>
        <w:spacing w:line="240" w:lineRule="auto"/>
        <w:rPr>
          <w:rFonts w:ascii="Times New Roman" w:hAnsi="Times New Roman" w:cs="Times New Roman"/>
          <w:color w:val="000000" w:themeColor="text1"/>
          <w:sz w:val="24"/>
          <w:szCs w:val="24"/>
        </w:rPr>
      </w:pPr>
    </w:p>
    <w:p w14:paraId="15195D7F" w14:textId="77777777" w:rsidR="00330A0A" w:rsidRPr="001C2812" w:rsidRDefault="003E2F57"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9</w:t>
      </w:r>
      <w:r w:rsidR="00330A0A" w:rsidRPr="001C2812">
        <w:rPr>
          <w:rFonts w:ascii="Times New Roman" w:hAnsi="Times New Roman" w:cs="Times New Roman"/>
          <w:color w:val="000000" w:themeColor="text1"/>
          <w:sz w:val="24"/>
          <w:szCs w:val="24"/>
        </w:rPr>
        <w:t xml:space="preserve">. Up to a third of the postsynaptic receptors must be blocked by a nondepolarizing neuromuscular blocking agent (e.g., rocuronium) before there is a decrease in the strength of muscle contraction. </w:t>
      </w:r>
    </w:p>
    <w:p w14:paraId="09249BB2"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lastRenderedPageBreak/>
        <w:tab/>
        <w:t>a) True</w:t>
      </w:r>
    </w:p>
    <w:p w14:paraId="5C75A4E0" w14:textId="77777777" w:rsidR="00330A0A" w:rsidRPr="001C2812" w:rsidRDefault="00330A0A" w:rsidP="00330A0A">
      <w:pPr>
        <w:spacing w:line="240" w:lineRule="auto"/>
        <w:rPr>
          <w:rFonts w:ascii="Times New Roman" w:hAnsi="Times New Roman" w:cs="Times New Roman"/>
          <w:b/>
          <w:color w:val="000000" w:themeColor="text1"/>
          <w:sz w:val="24"/>
          <w:szCs w:val="24"/>
        </w:rPr>
      </w:pPr>
      <w:r w:rsidRPr="001C2812">
        <w:rPr>
          <w:rFonts w:ascii="Times New Roman" w:hAnsi="Times New Roman" w:cs="Times New Roman"/>
          <w:color w:val="000000" w:themeColor="text1"/>
          <w:sz w:val="24"/>
          <w:szCs w:val="24"/>
        </w:rPr>
        <w:tab/>
      </w:r>
      <w:r w:rsidRPr="001C2812">
        <w:rPr>
          <w:rFonts w:ascii="Times New Roman" w:hAnsi="Times New Roman" w:cs="Times New Roman"/>
          <w:b/>
          <w:color w:val="000000" w:themeColor="text1"/>
          <w:sz w:val="24"/>
          <w:szCs w:val="24"/>
        </w:rPr>
        <w:t>b)</w:t>
      </w:r>
      <w:r w:rsidRPr="001C2812">
        <w:rPr>
          <w:rFonts w:ascii="Times New Roman" w:hAnsi="Times New Roman" w:cs="Times New Roman"/>
          <w:color w:val="000000" w:themeColor="text1"/>
          <w:sz w:val="24"/>
          <w:szCs w:val="24"/>
        </w:rPr>
        <w:t xml:space="preserve"> </w:t>
      </w:r>
      <w:r w:rsidRPr="001C2812">
        <w:rPr>
          <w:rFonts w:ascii="Times New Roman" w:hAnsi="Times New Roman" w:cs="Times New Roman"/>
          <w:b/>
          <w:color w:val="000000" w:themeColor="text1"/>
          <w:sz w:val="24"/>
          <w:szCs w:val="24"/>
        </w:rPr>
        <w:t>False</w:t>
      </w:r>
    </w:p>
    <w:p w14:paraId="2842FB78"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 __________</w:t>
      </w:r>
      <w:proofErr w:type="gramStart"/>
      <w:r w:rsidRPr="001C2812">
        <w:rPr>
          <w:rFonts w:ascii="Times New Roman" w:hAnsi="Times New Roman" w:cs="Times New Roman"/>
          <w:color w:val="000000" w:themeColor="text1"/>
          <w:sz w:val="24"/>
          <w:szCs w:val="24"/>
        </w:rPr>
        <w:t>_(</w:t>
      </w:r>
      <w:proofErr w:type="gramEnd"/>
      <w:r w:rsidRPr="001C2812">
        <w:rPr>
          <w:rFonts w:ascii="Times New Roman" w:hAnsi="Times New Roman" w:cs="Times New Roman"/>
          <w:color w:val="000000" w:themeColor="text1"/>
          <w:sz w:val="24"/>
          <w:szCs w:val="24"/>
        </w:rPr>
        <w:t>50% to 100%)</w:t>
      </w:r>
    </w:p>
    <w:p w14:paraId="2CB5F91F" w14:textId="77777777" w:rsidR="00330A0A" w:rsidRPr="001C2812" w:rsidRDefault="00330A0A" w:rsidP="00330A0A">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w:t>
      </w:r>
    </w:p>
    <w:p w14:paraId="5C22DB86" w14:textId="77777777" w:rsidR="00330A0A" w:rsidRPr="001C2812" w:rsidRDefault="00330A0A" w:rsidP="00330A0A">
      <w:pPr>
        <w:pBdr>
          <w:bottom w:val="single" w:sz="12" w:space="1" w:color="auto"/>
        </w:pBdr>
        <w:spacing w:line="240" w:lineRule="auto"/>
        <w:rPr>
          <w:rFonts w:ascii="Times New Roman" w:hAnsi="Times New Roman" w:cs="Times New Roman"/>
          <w:color w:val="000000" w:themeColor="text1"/>
          <w:sz w:val="24"/>
          <w:szCs w:val="24"/>
          <w:lang w:val="en"/>
        </w:rPr>
      </w:pPr>
    </w:p>
    <w:p w14:paraId="404C8589" w14:textId="77777777" w:rsidR="00330A0A" w:rsidRPr="001C2812" w:rsidRDefault="00330A0A" w:rsidP="00330A0A">
      <w:pPr>
        <w:pBdr>
          <w:bottom w:val="single" w:sz="12" w:space="1" w:color="auto"/>
        </w:pBdr>
        <w:spacing w:line="240" w:lineRule="auto"/>
        <w:rPr>
          <w:rFonts w:ascii="Times New Roman" w:hAnsi="Times New Roman" w:cs="Times New Roman"/>
          <w:color w:val="000000" w:themeColor="text1"/>
          <w:sz w:val="24"/>
          <w:szCs w:val="24"/>
          <w:lang w:val="en"/>
        </w:rPr>
      </w:pPr>
      <w:r w:rsidRPr="001C2812">
        <w:rPr>
          <w:rFonts w:ascii="Times New Roman" w:hAnsi="Times New Roman" w:cs="Times New Roman"/>
          <w:color w:val="000000" w:themeColor="text1"/>
          <w:sz w:val="24"/>
          <w:szCs w:val="24"/>
          <w:lang w:val="en"/>
        </w:rPr>
        <w:t>Thank you for your time and participation.</w:t>
      </w:r>
    </w:p>
    <w:p w14:paraId="52ABBB26" w14:textId="77777777" w:rsidR="00D24F28" w:rsidRPr="001C2812" w:rsidRDefault="00D24F28" w:rsidP="00330A0A">
      <w:pPr>
        <w:pBdr>
          <w:bottom w:val="single" w:sz="12" w:space="1" w:color="auto"/>
        </w:pBdr>
        <w:spacing w:line="240" w:lineRule="auto"/>
        <w:rPr>
          <w:rFonts w:ascii="Times New Roman" w:hAnsi="Times New Roman" w:cs="Times New Roman"/>
          <w:color w:val="000000" w:themeColor="text1"/>
          <w:sz w:val="24"/>
          <w:szCs w:val="24"/>
          <w:lang w:val="en"/>
        </w:rPr>
      </w:pPr>
      <w:r w:rsidRPr="001C2812">
        <w:rPr>
          <w:rFonts w:ascii="Times New Roman" w:hAnsi="Times New Roman" w:cs="Times New Roman"/>
          <w:color w:val="000000" w:themeColor="text1"/>
          <w:sz w:val="24"/>
          <w:szCs w:val="24"/>
          <w:lang w:val="en"/>
        </w:rPr>
        <w:t xml:space="preserve">Correct answers are shown in </w:t>
      </w:r>
      <w:r w:rsidRPr="001C2812">
        <w:rPr>
          <w:rFonts w:ascii="Times New Roman" w:hAnsi="Times New Roman" w:cs="Times New Roman"/>
          <w:b/>
          <w:color w:val="000000" w:themeColor="text1"/>
          <w:sz w:val="24"/>
          <w:szCs w:val="24"/>
          <w:lang w:val="en"/>
        </w:rPr>
        <w:t>bold</w:t>
      </w:r>
      <w:r w:rsidRPr="001C2812">
        <w:rPr>
          <w:rFonts w:ascii="Times New Roman" w:hAnsi="Times New Roman" w:cs="Times New Roman"/>
          <w:color w:val="000000" w:themeColor="text1"/>
          <w:sz w:val="24"/>
          <w:szCs w:val="24"/>
          <w:lang w:val="en"/>
        </w:rPr>
        <w:t>.</w:t>
      </w:r>
    </w:p>
    <w:p w14:paraId="21378D9A" w14:textId="77777777" w:rsidR="005413CC" w:rsidRPr="001C2812" w:rsidRDefault="005413CC" w:rsidP="00330A0A">
      <w:pPr>
        <w:spacing w:after="0" w:line="360" w:lineRule="auto"/>
        <w:rPr>
          <w:rFonts w:ascii="Times New Roman" w:hAnsi="Times New Roman" w:cs="Times New Roman"/>
          <w:color w:val="000000" w:themeColor="text1"/>
          <w:sz w:val="24"/>
          <w:szCs w:val="24"/>
        </w:rPr>
      </w:pPr>
    </w:p>
    <w:p w14:paraId="6B401CE4"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References supporting survey questions</w:t>
      </w:r>
    </w:p>
    <w:p w14:paraId="15A14FC4"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1</w:t>
      </w:r>
    </w:p>
    <w:p w14:paraId="687DCC45"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Duvaldestin</w:t>
      </w:r>
      <w:proofErr w:type="spellEnd"/>
      <w:r w:rsidRPr="001C2812">
        <w:rPr>
          <w:rFonts w:ascii="Times New Roman" w:hAnsi="Times New Roman" w:cs="Times New Roman"/>
          <w:color w:val="000000" w:themeColor="text1"/>
          <w:sz w:val="24"/>
          <w:szCs w:val="24"/>
        </w:rPr>
        <w:t xml:space="preserve"> P, </w:t>
      </w:r>
      <w:proofErr w:type="spellStart"/>
      <w:r w:rsidRPr="001C2812">
        <w:rPr>
          <w:rFonts w:ascii="Times New Roman" w:hAnsi="Times New Roman" w:cs="Times New Roman"/>
          <w:color w:val="000000" w:themeColor="text1"/>
          <w:sz w:val="24"/>
          <w:szCs w:val="24"/>
        </w:rPr>
        <w:t>Kuizenga</w:t>
      </w:r>
      <w:proofErr w:type="spellEnd"/>
      <w:r w:rsidRPr="001C2812">
        <w:rPr>
          <w:rFonts w:ascii="Times New Roman" w:hAnsi="Times New Roman" w:cs="Times New Roman"/>
          <w:color w:val="000000" w:themeColor="text1"/>
          <w:sz w:val="24"/>
          <w:szCs w:val="24"/>
        </w:rPr>
        <w:t xml:space="preserve"> K, </w:t>
      </w:r>
      <w:proofErr w:type="spellStart"/>
      <w:r w:rsidRPr="001C2812">
        <w:rPr>
          <w:rFonts w:ascii="Times New Roman" w:hAnsi="Times New Roman" w:cs="Times New Roman"/>
          <w:color w:val="000000" w:themeColor="text1"/>
          <w:sz w:val="24"/>
          <w:szCs w:val="24"/>
        </w:rPr>
        <w:t>Saldien</w:t>
      </w:r>
      <w:proofErr w:type="spellEnd"/>
      <w:r w:rsidRPr="001C2812">
        <w:rPr>
          <w:rFonts w:ascii="Times New Roman" w:hAnsi="Times New Roman" w:cs="Times New Roman"/>
          <w:color w:val="000000" w:themeColor="text1"/>
          <w:sz w:val="24"/>
          <w:szCs w:val="24"/>
        </w:rPr>
        <w:t xml:space="preserve"> V, et al. A Randomized, Dose-Response Study of sugammadex given for the reversal of deep rocuronium- or vecuronium-induced neuromuscular blockade under sevoflurane anesthesia. </w:t>
      </w:r>
      <w:proofErr w:type="spellStart"/>
      <w:r w:rsidRPr="001C2812">
        <w:rPr>
          <w:rFonts w:ascii="Times New Roman" w:hAnsi="Times New Roman" w:cs="Times New Roman"/>
          <w:color w:val="000000" w:themeColor="text1"/>
          <w:sz w:val="24"/>
          <w:szCs w:val="24"/>
        </w:rPr>
        <w:t>Anesth</w:t>
      </w:r>
      <w:proofErr w:type="spellEnd"/>
      <w:r w:rsidRPr="001C2812">
        <w:rPr>
          <w:rFonts w:ascii="Times New Roman" w:hAnsi="Times New Roman" w:cs="Times New Roman"/>
          <w:color w:val="000000" w:themeColor="text1"/>
          <w:sz w:val="24"/>
          <w:szCs w:val="24"/>
        </w:rPr>
        <w:t xml:space="preserve"> </w:t>
      </w:r>
      <w:proofErr w:type="spellStart"/>
      <w:r w:rsidRPr="001C2812">
        <w:rPr>
          <w:rFonts w:ascii="Times New Roman" w:hAnsi="Times New Roman" w:cs="Times New Roman"/>
          <w:color w:val="000000" w:themeColor="text1"/>
          <w:sz w:val="24"/>
          <w:szCs w:val="24"/>
        </w:rPr>
        <w:t>Analg</w:t>
      </w:r>
      <w:proofErr w:type="spellEnd"/>
      <w:r w:rsidRPr="001C2812">
        <w:rPr>
          <w:rFonts w:ascii="Times New Roman" w:hAnsi="Times New Roman" w:cs="Times New Roman"/>
          <w:color w:val="000000" w:themeColor="text1"/>
          <w:sz w:val="24"/>
          <w:szCs w:val="24"/>
        </w:rPr>
        <w:t xml:space="preserve"> 2010</w:t>
      </w:r>
      <w:proofErr w:type="gramStart"/>
      <w:r w:rsidRPr="001C2812">
        <w:rPr>
          <w:rFonts w:ascii="Times New Roman" w:hAnsi="Times New Roman" w:cs="Times New Roman"/>
          <w:color w:val="000000" w:themeColor="text1"/>
          <w:sz w:val="24"/>
          <w:szCs w:val="24"/>
        </w:rPr>
        <w:t>;110</w:t>
      </w:r>
      <w:proofErr w:type="gramEnd"/>
      <w:r w:rsidRPr="001C2812">
        <w:rPr>
          <w:rFonts w:ascii="Times New Roman" w:hAnsi="Times New Roman" w:cs="Times New Roman"/>
          <w:color w:val="000000" w:themeColor="text1"/>
          <w:sz w:val="24"/>
          <w:szCs w:val="24"/>
        </w:rPr>
        <w:t xml:space="preserve">(1):74-82. </w:t>
      </w:r>
      <w:proofErr w:type="spellStart"/>
      <w:proofErr w:type="gramStart"/>
      <w:r w:rsidRPr="001C2812">
        <w:rPr>
          <w:rFonts w:ascii="Times New Roman" w:hAnsi="Times New Roman" w:cs="Times New Roman"/>
          <w:color w:val="000000" w:themeColor="text1"/>
          <w:sz w:val="24"/>
          <w:szCs w:val="24"/>
        </w:rPr>
        <w:t>doi</w:t>
      </w:r>
      <w:proofErr w:type="spellEnd"/>
      <w:proofErr w:type="gramEnd"/>
      <w:r w:rsidRPr="001C2812">
        <w:rPr>
          <w:rFonts w:ascii="Times New Roman" w:hAnsi="Times New Roman" w:cs="Times New Roman"/>
          <w:color w:val="000000" w:themeColor="text1"/>
          <w:sz w:val="24"/>
          <w:szCs w:val="24"/>
        </w:rPr>
        <w:t>: 10.1213/ANE.0b013e3181c3be3c</w:t>
      </w:r>
    </w:p>
    <w:p w14:paraId="3D126A81" w14:textId="77777777" w:rsidR="005413CC" w:rsidRPr="001C2812" w:rsidRDefault="005413CC" w:rsidP="005413CC">
      <w:pPr>
        <w:rPr>
          <w:rFonts w:ascii="Times New Roman" w:hAnsi="Times New Roman" w:cs="Times New Roman"/>
          <w:color w:val="000000" w:themeColor="text1"/>
          <w:sz w:val="24"/>
          <w:szCs w:val="24"/>
        </w:rPr>
      </w:pPr>
    </w:p>
    <w:p w14:paraId="068C9EE0"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2</w:t>
      </w:r>
    </w:p>
    <w:p w14:paraId="5BB799D7"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Viby</w:t>
      </w:r>
      <w:proofErr w:type="spellEnd"/>
      <w:r w:rsidRPr="001C2812">
        <w:rPr>
          <w:rFonts w:ascii="Times New Roman" w:hAnsi="Times New Roman" w:cs="Times New Roman"/>
          <w:color w:val="000000" w:themeColor="text1"/>
          <w:sz w:val="24"/>
          <w:szCs w:val="24"/>
        </w:rPr>
        <w:t xml:space="preserve">-Mogensen J, Jensen NH, </w:t>
      </w:r>
      <w:proofErr w:type="spellStart"/>
      <w:r w:rsidRPr="001C2812">
        <w:rPr>
          <w:rFonts w:ascii="Times New Roman" w:hAnsi="Times New Roman" w:cs="Times New Roman"/>
          <w:color w:val="000000" w:themeColor="text1"/>
          <w:sz w:val="24"/>
          <w:szCs w:val="24"/>
        </w:rPr>
        <w:t>Engbaek</w:t>
      </w:r>
      <w:proofErr w:type="spellEnd"/>
      <w:r w:rsidRPr="001C2812">
        <w:rPr>
          <w:rFonts w:ascii="Times New Roman" w:hAnsi="Times New Roman" w:cs="Times New Roman"/>
          <w:color w:val="000000" w:themeColor="text1"/>
          <w:sz w:val="24"/>
          <w:szCs w:val="24"/>
        </w:rPr>
        <w:t xml:space="preserve"> J, et al. Tactile and visual evaluation of the response to train-of-four nerve stimulation. Anesthesiology 1985</w:t>
      </w:r>
      <w:proofErr w:type="gramStart"/>
      <w:r w:rsidRPr="001C2812">
        <w:rPr>
          <w:rFonts w:ascii="Times New Roman" w:hAnsi="Times New Roman" w:cs="Times New Roman"/>
          <w:color w:val="000000" w:themeColor="text1"/>
          <w:sz w:val="24"/>
          <w:szCs w:val="24"/>
        </w:rPr>
        <w:t>;63</w:t>
      </w:r>
      <w:proofErr w:type="gramEnd"/>
      <w:r w:rsidRPr="001C2812">
        <w:rPr>
          <w:rFonts w:ascii="Times New Roman" w:hAnsi="Times New Roman" w:cs="Times New Roman"/>
          <w:color w:val="000000" w:themeColor="text1"/>
          <w:sz w:val="24"/>
          <w:szCs w:val="24"/>
        </w:rPr>
        <w:t xml:space="preserve">(4):440-3. </w:t>
      </w:r>
    </w:p>
    <w:p w14:paraId="2D95BC3A" w14:textId="77777777" w:rsidR="005413CC" w:rsidRPr="001C2812" w:rsidRDefault="005413CC" w:rsidP="005413CC">
      <w:pPr>
        <w:rPr>
          <w:rFonts w:ascii="Times New Roman" w:hAnsi="Times New Roman" w:cs="Times New Roman"/>
          <w:color w:val="000000" w:themeColor="text1"/>
          <w:sz w:val="24"/>
          <w:szCs w:val="24"/>
        </w:rPr>
      </w:pPr>
    </w:p>
    <w:p w14:paraId="6462BEDB"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3</w:t>
      </w:r>
    </w:p>
    <w:p w14:paraId="3B40C3D5"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Debaene</w:t>
      </w:r>
      <w:proofErr w:type="spellEnd"/>
      <w:r w:rsidRPr="001C2812">
        <w:rPr>
          <w:rFonts w:ascii="Times New Roman" w:hAnsi="Times New Roman" w:cs="Times New Roman"/>
          <w:color w:val="000000" w:themeColor="text1"/>
          <w:sz w:val="24"/>
          <w:szCs w:val="24"/>
        </w:rPr>
        <w:t xml:space="preserve"> B, </w:t>
      </w:r>
      <w:proofErr w:type="spellStart"/>
      <w:r w:rsidRPr="001C2812">
        <w:rPr>
          <w:rFonts w:ascii="Times New Roman" w:hAnsi="Times New Roman" w:cs="Times New Roman"/>
          <w:color w:val="000000" w:themeColor="text1"/>
          <w:sz w:val="24"/>
          <w:szCs w:val="24"/>
        </w:rPr>
        <w:t>Plaud</w:t>
      </w:r>
      <w:proofErr w:type="spellEnd"/>
      <w:r w:rsidRPr="001C2812">
        <w:rPr>
          <w:rFonts w:ascii="Times New Roman" w:hAnsi="Times New Roman" w:cs="Times New Roman"/>
          <w:color w:val="000000" w:themeColor="text1"/>
          <w:sz w:val="24"/>
          <w:szCs w:val="24"/>
        </w:rPr>
        <w:t xml:space="preserve"> B, Dilly MP, et al. Residual paralysis in the PACU after a single intubating dose of nondepolarizing muscle relaxant with an intermediate duration of action. Anesthesiology 2003</w:t>
      </w:r>
      <w:proofErr w:type="gramStart"/>
      <w:r w:rsidRPr="001C2812">
        <w:rPr>
          <w:rFonts w:ascii="Times New Roman" w:hAnsi="Times New Roman" w:cs="Times New Roman"/>
          <w:color w:val="000000" w:themeColor="text1"/>
          <w:sz w:val="24"/>
          <w:szCs w:val="24"/>
        </w:rPr>
        <w:t>;98</w:t>
      </w:r>
      <w:proofErr w:type="gramEnd"/>
      <w:r w:rsidRPr="001C2812">
        <w:rPr>
          <w:rFonts w:ascii="Times New Roman" w:hAnsi="Times New Roman" w:cs="Times New Roman"/>
          <w:color w:val="000000" w:themeColor="text1"/>
          <w:sz w:val="24"/>
          <w:szCs w:val="24"/>
        </w:rPr>
        <w:t>(5):1042-48.</w:t>
      </w:r>
    </w:p>
    <w:p w14:paraId="3EA587EA" w14:textId="77777777" w:rsidR="005413CC" w:rsidRPr="001C2812" w:rsidRDefault="005413CC" w:rsidP="005413CC">
      <w:pPr>
        <w:rPr>
          <w:rFonts w:ascii="Times New Roman" w:hAnsi="Times New Roman" w:cs="Times New Roman"/>
          <w:color w:val="000000" w:themeColor="text1"/>
          <w:sz w:val="24"/>
          <w:szCs w:val="24"/>
        </w:rPr>
      </w:pPr>
    </w:p>
    <w:p w14:paraId="6F5BE50F"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4</w:t>
      </w:r>
    </w:p>
    <w:p w14:paraId="336F7479"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Dupuis JY, Martin R, </w:t>
      </w:r>
      <w:proofErr w:type="spellStart"/>
      <w:r w:rsidRPr="001C2812">
        <w:rPr>
          <w:rFonts w:ascii="Times New Roman" w:hAnsi="Times New Roman" w:cs="Times New Roman"/>
          <w:color w:val="000000" w:themeColor="text1"/>
          <w:sz w:val="24"/>
          <w:szCs w:val="24"/>
        </w:rPr>
        <w:t>Tetrault</w:t>
      </w:r>
      <w:proofErr w:type="spellEnd"/>
      <w:r w:rsidRPr="001C2812">
        <w:rPr>
          <w:rFonts w:ascii="Times New Roman" w:hAnsi="Times New Roman" w:cs="Times New Roman"/>
          <w:color w:val="000000" w:themeColor="text1"/>
          <w:sz w:val="24"/>
          <w:szCs w:val="24"/>
        </w:rPr>
        <w:t xml:space="preserve"> JP. Clinical, electrical and mechanical correlations during recovery from neuromuscular blockade with vecuronium. Can J </w:t>
      </w:r>
      <w:proofErr w:type="spellStart"/>
      <w:r w:rsidRPr="001C2812">
        <w:rPr>
          <w:rFonts w:ascii="Times New Roman" w:hAnsi="Times New Roman" w:cs="Times New Roman"/>
          <w:color w:val="000000" w:themeColor="text1"/>
          <w:sz w:val="24"/>
          <w:szCs w:val="24"/>
        </w:rPr>
        <w:t>Anaesth</w:t>
      </w:r>
      <w:proofErr w:type="spellEnd"/>
      <w:r w:rsidRPr="001C2812">
        <w:rPr>
          <w:rFonts w:ascii="Times New Roman" w:hAnsi="Times New Roman" w:cs="Times New Roman"/>
          <w:color w:val="000000" w:themeColor="text1"/>
          <w:sz w:val="24"/>
          <w:szCs w:val="24"/>
        </w:rPr>
        <w:t xml:space="preserve"> 1990</w:t>
      </w:r>
      <w:proofErr w:type="gramStart"/>
      <w:r w:rsidRPr="001C2812">
        <w:rPr>
          <w:rFonts w:ascii="Times New Roman" w:hAnsi="Times New Roman" w:cs="Times New Roman"/>
          <w:color w:val="000000" w:themeColor="text1"/>
          <w:sz w:val="24"/>
          <w:szCs w:val="24"/>
        </w:rPr>
        <w:t>;37</w:t>
      </w:r>
      <w:proofErr w:type="gramEnd"/>
      <w:r w:rsidRPr="001C2812">
        <w:rPr>
          <w:rFonts w:ascii="Times New Roman" w:hAnsi="Times New Roman" w:cs="Times New Roman"/>
          <w:color w:val="000000" w:themeColor="text1"/>
          <w:sz w:val="24"/>
          <w:szCs w:val="24"/>
        </w:rPr>
        <w:t>(2):192-6.</w:t>
      </w:r>
    </w:p>
    <w:p w14:paraId="55D421E5"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2. Sharpe MD, Lam AM, Nicholas JF, et al. Correlation between integrated evoked EMG and respiratory function following atracurium administration in </w:t>
      </w:r>
      <w:proofErr w:type="spellStart"/>
      <w:r w:rsidRPr="001C2812">
        <w:rPr>
          <w:rFonts w:ascii="Times New Roman" w:hAnsi="Times New Roman" w:cs="Times New Roman"/>
          <w:color w:val="000000" w:themeColor="text1"/>
          <w:sz w:val="24"/>
          <w:szCs w:val="24"/>
        </w:rPr>
        <w:t>unanaesthetized</w:t>
      </w:r>
      <w:proofErr w:type="spellEnd"/>
      <w:r w:rsidRPr="001C2812">
        <w:rPr>
          <w:rFonts w:ascii="Times New Roman" w:hAnsi="Times New Roman" w:cs="Times New Roman"/>
          <w:color w:val="000000" w:themeColor="text1"/>
          <w:sz w:val="24"/>
          <w:szCs w:val="24"/>
        </w:rPr>
        <w:t xml:space="preserve"> humans. </w:t>
      </w:r>
      <w:r w:rsidRPr="001C2812">
        <w:rPr>
          <w:rFonts w:ascii="Times New Roman" w:hAnsi="Times New Roman" w:cs="Times New Roman"/>
          <w:i/>
          <w:iCs/>
          <w:color w:val="000000" w:themeColor="text1"/>
          <w:sz w:val="24"/>
          <w:szCs w:val="24"/>
        </w:rPr>
        <w:t xml:space="preserve">Can J </w:t>
      </w:r>
      <w:proofErr w:type="spellStart"/>
      <w:r w:rsidRPr="001C2812">
        <w:rPr>
          <w:rFonts w:ascii="Times New Roman" w:hAnsi="Times New Roman" w:cs="Times New Roman"/>
          <w:i/>
          <w:iCs/>
          <w:color w:val="000000" w:themeColor="text1"/>
          <w:sz w:val="24"/>
          <w:szCs w:val="24"/>
        </w:rPr>
        <w:t>Anaesth</w:t>
      </w:r>
      <w:proofErr w:type="spellEnd"/>
      <w:r w:rsidRPr="001C2812">
        <w:rPr>
          <w:rFonts w:ascii="Times New Roman" w:hAnsi="Times New Roman" w:cs="Times New Roman"/>
          <w:color w:val="000000" w:themeColor="text1"/>
          <w:sz w:val="24"/>
          <w:szCs w:val="24"/>
        </w:rPr>
        <w:t xml:space="preserve"> 1990</w:t>
      </w:r>
      <w:proofErr w:type="gramStart"/>
      <w:r w:rsidRPr="001C2812">
        <w:rPr>
          <w:rFonts w:ascii="Times New Roman" w:hAnsi="Times New Roman" w:cs="Times New Roman"/>
          <w:color w:val="000000" w:themeColor="text1"/>
          <w:sz w:val="24"/>
          <w:szCs w:val="24"/>
        </w:rPr>
        <w:t>;37</w:t>
      </w:r>
      <w:proofErr w:type="gramEnd"/>
      <w:r w:rsidRPr="001C2812">
        <w:rPr>
          <w:rFonts w:ascii="Times New Roman" w:hAnsi="Times New Roman" w:cs="Times New Roman"/>
          <w:color w:val="000000" w:themeColor="text1"/>
          <w:sz w:val="24"/>
          <w:szCs w:val="24"/>
        </w:rPr>
        <w:t>(3):3</w:t>
      </w:r>
      <w:r w:rsidR="009C1369" w:rsidRPr="001C2812">
        <w:rPr>
          <w:rFonts w:ascii="Times New Roman" w:hAnsi="Times New Roman" w:cs="Times New Roman"/>
          <w:color w:val="000000" w:themeColor="text1"/>
          <w:sz w:val="24"/>
          <w:szCs w:val="24"/>
        </w:rPr>
        <w:t xml:space="preserve">07-12. </w:t>
      </w:r>
      <w:proofErr w:type="spellStart"/>
      <w:proofErr w:type="gramStart"/>
      <w:r w:rsidR="009C1369" w:rsidRPr="001C2812">
        <w:rPr>
          <w:rFonts w:ascii="Times New Roman" w:hAnsi="Times New Roman" w:cs="Times New Roman"/>
          <w:color w:val="000000" w:themeColor="text1"/>
          <w:sz w:val="24"/>
          <w:szCs w:val="24"/>
        </w:rPr>
        <w:t>doi</w:t>
      </w:r>
      <w:proofErr w:type="spellEnd"/>
      <w:proofErr w:type="gramEnd"/>
      <w:r w:rsidR="009C1369" w:rsidRPr="001C2812">
        <w:rPr>
          <w:rFonts w:ascii="Times New Roman" w:hAnsi="Times New Roman" w:cs="Times New Roman"/>
          <w:color w:val="000000" w:themeColor="text1"/>
          <w:sz w:val="24"/>
          <w:szCs w:val="24"/>
        </w:rPr>
        <w:t xml:space="preserve">: 10.1007/bf03005580 </w:t>
      </w:r>
    </w:p>
    <w:p w14:paraId="46252329"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3. Beemer GH, </w:t>
      </w:r>
      <w:proofErr w:type="spellStart"/>
      <w:r w:rsidRPr="001C2812">
        <w:rPr>
          <w:rFonts w:ascii="Times New Roman" w:hAnsi="Times New Roman" w:cs="Times New Roman"/>
          <w:color w:val="000000" w:themeColor="text1"/>
          <w:sz w:val="24"/>
          <w:szCs w:val="24"/>
        </w:rPr>
        <w:t>Rozental</w:t>
      </w:r>
      <w:proofErr w:type="spellEnd"/>
      <w:r w:rsidRPr="001C2812">
        <w:rPr>
          <w:rFonts w:ascii="Times New Roman" w:hAnsi="Times New Roman" w:cs="Times New Roman"/>
          <w:color w:val="000000" w:themeColor="text1"/>
          <w:sz w:val="24"/>
          <w:szCs w:val="24"/>
        </w:rPr>
        <w:t xml:space="preserve"> P. Postoperative neuromuscular function. </w:t>
      </w:r>
      <w:proofErr w:type="spellStart"/>
      <w:r w:rsidRPr="001C2812">
        <w:rPr>
          <w:rFonts w:ascii="Times New Roman" w:hAnsi="Times New Roman" w:cs="Times New Roman"/>
          <w:color w:val="000000" w:themeColor="text1"/>
          <w:sz w:val="24"/>
          <w:szCs w:val="24"/>
        </w:rPr>
        <w:t>Anaesth</w:t>
      </w:r>
      <w:proofErr w:type="spellEnd"/>
      <w:r w:rsidRPr="001C2812">
        <w:rPr>
          <w:rFonts w:ascii="Times New Roman" w:hAnsi="Times New Roman" w:cs="Times New Roman"/>
          <w:color w:val="000000" w:themeColor="text1"/>
          <w:sz w:val="24"/>
          <w:szCs w:val="24"/>
        </w:rPr>
        <w:t xml:space="preserve"> Intensive Care 1986</w:t>
      </w:r>
      <w:proofErr w:type="gramStart"/>
      <w:r w:rsidRPr="001C2812">
        <w:rPr>
          <w:rFonts w:ascii="Times New Roman" w:hAnsi="Times New Roman" w:cs="Times New Roman"/>
          <w:color w:val="000000" w:themeColor="text1"/>
          <w:sz w:val="24"/>
          <w:szCs w:val="24"/>
        </w:rPr>
        <w:t>;14</w:t>
      </w:r>
      <w:proofErr w:type="gramEnd"/>
      <w:r w:rsidRPr="001C2812">
        <w:rPr>
          <w:rFonts w:ascii="Times New Roman" w:hAnsi="Times New Roman" w:cs="Times New Roman"/>
          <w:color w:val="000000" w:themeColor="text1"/>
          <w:sz w:val="24"/>
          <w:szCs w:val="24"/>
        </w:rPr>
        <w:t>(1):41-5.</w:t>
      </w:r>
    </w:p>
    <w:p w14:paraId="19C2B4FD" w14:textId="77777777" w:rsidR="005413CC" w:rsidRPr="001C2812" w:rsidRDefault="005413CC" w:rsidP="005413CC">
      <w:pPr>
        <w:rPr>
          <w:rFonts w:ascii="Times New Roman" w:hAnsi="Times New Roman" w:cs="Times New Roman"/>
          <w:color w:val="000000" w:themeColor="text1"/>
          <w:sz w:val="24"/>
          <w:szCs w:val="24"/>
        </w:rPr>
      </w:pPr>
    </w:p>
    <w:p w14:paraId="5DA60043"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5</w:t>
      </w:r>
    </w:p>
    <w:p w14:paraId="4464E694"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Kopman AF, Epstein RH, </w:t>
      </w:r>
      <w:proofErr w:type="spellStart"/>
      <w:r w:rsidRPr="001C2812">
        <w:rPr>
          <w:rFonts w:ascii="Times New Roman" w:hAnsi="Times New Roman" w:cs="Times New Roman"/>
          <w:color w:val="000000" w:themeColor="text1"/>
          <w:sz w:val="24"/>
          <w:szCs w:val="24"/>
        </w:rPr>
        <w:t>Flashburg</w:t>
      </w:r>
      <w:proofErr w:type="spellEnd"/>
      <w:r w:rsidRPr="001C2812">
        <w:rPr>
          <w:rFonts w:ascii="Times New Roman" w:hAnsi="Times New Roman" w:cs="Times New Roman"/>
          <w:color w:val="000000" w:themeColor="text1"/>
          <w:sz w:val="24"/>
          <w:szCs w:val="24"/>
        </w:rPr>
        <w:t xml:space="preserve"> MH. Use of 100-Hertz tetanus as an index of recovery from pancuronium-induced non-depolarizing neuromuscular blockade. </w:t>
      </w:r>
      <w:proofErr w:type="spellStart"/>
      <w:r w:rsidRPr="001C2812">
        <w:rPr>
          <w:rFonts w:ascii="Times New Roman" w:hAnsi="Times New Roman" w:cs="Times New Roman"/>
          <w:color w:val="000000" w:themeColor="text1"/>
          <w:sz w:val="24"/>
          <w:szCs w:val="24"/>
        </w:rPr>
        <w:t>Anesth</w:t>
      </w:r>
      <w:proofErr w:type="spellEnd"/>
      <w:r w:rsidRPr="001C2812">
        <w:rPr>
          <w:rFonts w:ascii="Times New Roman" w:hAnsi="Times New Roman" w:cs="Times New Roman"/>
          <w:color w:val="000000" w:themeColor="text1"/>
          <w:sz w:val="24"/>
          <w:szCs w:val="24"/>
        </w:rPr>
        <w:t xml:space="preserve"> </w:t>
      </w:r>
      <w:proofErr w:type="spellStart"/>
      <w:r w:rsidRPr="001C2812">
        <w:rPr>
          <w:rFonts w:ascii="Times New Roman" w:hAnsi="Times New Roman" w:cs="Times New Roman"/>
          <w:color w:val="000000" w:themeColor="text1"/>
          <w:sz w:val="24"/>
          <w:szCs w:val="24"/>
        </w:rPr>
        <w:t>Analg</w:t>
      </w:r>
      <w:proofErr w:type="spellEnd"/>
      <w:r w:rsidRPr="001C2812">
        <w:rPr>
          <w:rFonts w:ascii="Times New Roman" w:hAnsi="Times New Roman" w:cs="Times New Roman"/>
          <w:color w:val="000000" w:themeColor="text1"/>
          <w:sz w:val="24"/>
          <w:szCs w:val="24"/>
        </w:rPr>
        <w:t xml:space="preserve"> 1982</w:t>
      </w:r>
      <w:proofErr w:type="gramStart"/>
      <w:r w:rsidRPr="001C2812">
        <w:rPr>
          <w:rFonts w:ascii="Times New Roman" w:hAnsi="Times New Roman" w:cs="Times New Roman"/>
          <w:color w:val="000000" w:themeColor="text1"/>
          <w:sz w:val="24"/>
          <w:szCs w:val="24"/>
        </w:rPr>
        <w:t>;61</w:t>
      </w:r>
      <w:proofErr w:type="gramEnd"/>
      <w:r w:rsidRPr="001C2812">
        <w:rPr>
          <w:rFonts w:ascii="Times New Roman" w:hAnsi="Times New Roman" w:cs="Times New Roman"/>
          <w:color w:val="000000" w:themeColor="text1"/>
          <w:sz w:val="24"/>
          <w:szCs w:val="24"/>
        </w:rPr>
        <w:t xml:space="preserve">(5):439-41. </w:t>
      </w:r>
    </w:p>
    <w:p w14:paraId="6DEE863E"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2. Ali HH, </w:t>
      </w:r>
      <w:proofErr w:type="spellStart"/>
      <w:r w:rsidRPr="001C2812">
        <w:rPr>
          <w:rFonts w:ascii="Times New Roman" w:hAnsi="Times New Roman" w:cs="Times New Roman"/>
          <w:color w:val="000000" w:themeColor="text1"/>
          <w:sz w:val="24"/>
          <w:szCs w:val="24"/>
        </w:rPr>
        <w:t>Savarese</w:t>
      </w:r>
      <w:proofErr w:type="spellEnd"/>
      <w:r w:rsidRPr="001C2812">
        <w:rPr>
          <w:rFonts w:ascii="Times New Roman" w:hAnsi="Times New Roman" w:cs="Times New Roman"/>
          <w:color w:val="000000" w:themeColor="text1"/>
          <w:sz w:val="24"/>
          <w:szCs w:val="24"/>
        </w:rPr>
        <w:t xml:space="preserve"> JJ, Lebowitz PW, et al. Twitch, tetanus and train-of-four as indices of recovery from nondepolarizing neuromuscular blockade. Anesthesiology 1981</w:t>
      </w:r>
      <w:proofErr w:type="gramStart"/>
      <w:r w:rsidRPr="001C2812">
        <w:rPr>
          <w:rFonts w:ascii="Times New Roman" w:hAnsi="Times New Roman" w:cs="Times New Roman"/>
          <w:color w:val="000000" w:themeColor="text1"/>
          <w:sz w:val="24"/>
          <w:szCs w:val="24"/>
        </w:rPr>
        <w:t>;54</w:t>
      </w:r>
      <w:proofErr w:type="gramEnd"/>
      <w:r w:rsidRPr="001C2812">
        <w:rPr>
          <w:rFonts w:ascii="Times New Roman" w:hAnsi="Times New Roman" w:cs="Times New Roman"/>
          <w:color w:val="000000" w:themeColor="text1"/>
          <w:sz w:val="24"/>
          <w:szCs w:val="24"/>
        </w:rPr>
        <w:t xml:space="preserve">(4):294-7. </w:t>
      </w:r>
    </w:p>
    <w:p w14:paraId="72A0E77D" w14:textId="77777777" w:rsidR="005413CC" w:rsidRPr="001C2812" w:rsidRDefault="005413CC" w:rsidP="005413CC">
      <w:pPr>
        <w:rPr>
          <w:rFonts w:ascii="Times New Roman" w:hAnsi="Times New Roman" w:cs="Times New Roman"/>
          <w:b/>
          <w:color w:val="000000" w:themeColor="text1"/>
          <w:sz w:val="24"/>
          <w:szCs w:val="24"/>
        </w:rPr>
      </w:pPr>
    </w:p>
    <w:p w14:paraId="21DDA710"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6</w:t>
      </w:r>
    </w:p>
    <w:p w14:paraId="4F5EE601"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Thilen</w:t>
      </w:r>
      <w:proofErr w:type="spellEnd"/>
      <w:r w:rsidRPr="001C2812">
        <w:rPr>
          <w:rFonts w:ascii="Times New Roman" w:hAnsi="Times New Roman" w:cs="Times New Roman"/>
          <w:color w:val="000000" w:themeColor="text1"/>
          <w:sz w:val="24"/>
          <w:szCs w:val="24"/>
        </w:rPr>
        <w:t xml:space="preserve"> SR, Hansen BE, </w:t>
      </w:r>
      <w:proofErr w:type="spellStart"/>
      <w:r w:rsidRPr="001C2812">
        <w:rPr>
          <w:rFonts w:ascii="Times New Roman" w:hAnsi="Times New Roman" w:cs="Times New Roman"/>
          <w:color w:val="000000" w:themeColor="text1"/>
          <w:sz w:val="24"/>
          <w:szCs w:val="24"/>
        </w:rPr>
        <w:t>Ramaiah</w:t>
      </w:r>
      <w:proofErr w:type="spellEnd"/>
      <w:r w:rsidRPr="001C2812">
        <w:rPr>
          <w:rFonts w:ascii="Times New Roman" w:hAnsi="Times New Roman" w:cs="Times New Roman"/>
          <w:color w:val="000000" w:themeColor="text1"/>
          <w:sz w:val="24"/>
          <w:szCs w:val="24"/>
        </w:rPr>
        <w:t xml:space="preserve"> R, et al. Intraoperative neuromuscular monitoring site and residual paralysis. Anesthesiology 2012</w:t>
      </w:r>
      <w:proofErr w:type="gramStart"/>
      <w:r w:rsidRPr="001C2812">
        <w:rPr>
          <w:rFonts w:ascii="Times New Roman" w:hAnsi="Times New Roman" w:cs="Times New Roman"/>
          <w:color w:val="000000" w:themeColor="text1"/>
          <w:sz w:val="24"/>
          <w:szCs w:val="24"/>
        </w:rPr>
        <w:t>;117</w:t>
      </w:r>
      <w:proofErr w:type="gramEnd"/>
      <w:r w:rsidRPr="001C2812">
        <w:rPr>
          <w:rFonts w:ascii="Times New Roman" w:hAnsi="Times New Roman" w:cs="Times New Roman"/>
          <w:color w:val="000000" w:themeColor="text1"/>
          <w:sz w:val="24"/>
          <w:szCs w:val="24"/>
        </w:rPr>
        <w:t xml:space="preserve">(5):964-72. </w:t>
      </w:r>
      <w:proofErr w:type="spellStart"/>
      <w:proofErr w:type="gramStart"/>
      <w:r w:rsidRPr="001C2812">
        <w:rPr>
          <w:rFonts w:ascii="Times New Roman" w:hAnsi="Times New Roman" w:cs="Times New Roman"/>
          <w:color w:val="000000" w:themeColor="text1"/>
          <w:sz w:val="24"/>
          <w:szCs w:val="24"/>
        </w:rPr>
        <w:t>doi</w:t>
      </w:r>
      <w:proofErr w:type="spellEnd"/>
      <w:proofErr w:type="gramEnd"/>
      <w:r w:rsidRPr="001C2812">
        <w:rPr>
          <w:rFonts w:ascii="Times New Roman" w:hAnsi="Times New Roman" w:cs="Times New Roman"/>
          <w:color w:val="000000" w:themeColor="text1"/>
          <w:sz w:val="24"/>
          <w:szCs w:val="24"/>
        </w:rPr>
        <w:t>: 10.1097/ALN.0b013e31826f8fdd</w:t>
      </w:r>
    </w:p>
    <w:p w14:paraId="06AAA25D"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 Donati F. Neuromuscular monitoring: more than meets the eye. Anesthesiology 2012</w:t>
      </w:r>
      <w:proofErr w:type="gramStart"/>
      <w:r w:rsidRPr="001C2812">
        <w:rPr>
          <w:rFonts w:ascii="Times New Roman" w:hAnsi="Times New Roman" w:cs="Times New Roman"/>
          <w:color w:val="000000" w:themeColor="text1"/>
          <w:sz w:val="24"/>
          <w:szCs w:val="24"/>
        </w:rPr>
        <w:t>;117</w:t>
      </w:r>
      <w:proofErr w:type="gramEnd"/>
      <w:r w:rsidRPr="001C2812">
        <w:rPr>
          <w:rFonts w:ascii="Times New Roman" w:hAnsi="Times New Roman" w:cs="Times New Roman"/>
          <w:color w:val="000000" w:themeColor="text1"/>
          <w:sz w:val="24"/>
          <w:szCs w:val="24"/>
        </w:rPr>
        <w:t xml:space="preserve">(5):934-6. </w:t>
      </w:r>
      <w:proofErr w:type="spellStart"/>
      <w:proofErr w:type="gramStart"/>
      <w:r w:rsidRPr="001C2812">
        <w:rPr>
          <w:rFonts w:ascii="Times New Roman" w:hAnsi="Times New Roman" w:cs="Times New Roman"/>
          <w:color w:val="000000" w:themeColor="text1"/>
          <w:sz w:val="24"/>
          <w:szCs w:val="24"/>
        </w:rPr>
        <w:t>doi</w:t>
      </w:r>
      <w:proofErr w:type="spellEnd"/>
      <w:proofErr w:type="gramEnd"/>
      <w:r w:rsidRPr="001C2812">
        <w:rPr>
          <w:rFonts w:ascii="Times New Roman" w:hAnsi="Times New Roman" w:cs="Times New Roman"/>
          <w:color w:val="000000" w:themeColor="text1"/>
          <w:sz w:val="24"/>
          <w:szCs w:val="24"/>
        </w:rPr>
        <w:t xml:space="preserve">: 10.1097/ALN.0b013e31826f9143 </w:t>
      </w:r>
    </w:p>
    <w:p w14:paraId="5B236FC6"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3. </w:t>
      </w:r>
      <w:proofErr w:type="spellStart"/>
      <w:r w:rsidRPr="001C2812">
        <w:rPr>
          <w:rFonts w:ascii="Times New Roman" w:hAnsi="Times New Roman" w:cs="Times New Roman"/>
          <w:color w:val="000000" w:themeColor="text1"/>
          <w:sz w:val="24"/>
          <w:szCs w:val="24"/>
        </w:rPr>
        <w:t>Caffrey</w:t>
      </w:r>
      <w:proofErr w:type="spellEnd"/>
      <w:r w:rsidRPr="001C2812">
        <w:rPr>
          <w:rFonts w:ascii="Times New Roman" w:hAnsi="Times New Roman" w:cs="Times New Roman"/>
          <w:color w:val="000000" w:themeColor="text1"/>
          <w:sz w:val="24"/>
          <w:szCs w:val="24"/>
        </w:rPr>
        <w:t xml:space="preserve"> RR, Warren ML, Becker KE, Jr. Neuromuscular blockade monitoring comparing the orbicularis oculi and adductor pollicis muscles. Anesthesiology 1986</w:t>
      </w:r>
      <w:proofErr w:type="gramStart"/>
      <w:r w:rsidRPr="001C2812">
        <w:rPr>
          <w:rFonts w:ascii="Times New Roman" w:hAnsi="Times New Roman" w:cs="Times New Roman"/>
          <w:color w:val="000000" w:themeColor="text1"/>
          <w:sz w:val="24"/>
          <w:szCs w:val="24"/>
        </w:rPr>
        <w:t>;65</w:t>
      </w:r>
      <w:proofErr w:type="gramEnd"/>
      <w:r w:rsidRPr="001C2812">
        <w:rPr>
          <w:rFonts w:ascii="Times New Roman" w:hAnsi="Times New Roman" w:cs="Times New Roman"/>
          <w:color w:val="000000" w:themeColor="text1"/>
          <w:sz w:val="24"/>
          <w:szCs w:val="24"/>
        </w:rPr>
        <w:t>(1):95-7.</w:t>
      </w:r>
    </w:p>
    <w:p w14:paraId="7983DC4A" w14:textId="77777777" w:rsidR="005413CC" w:rsidRPr="001C2812" w:rsidRDefault="005413CC" w:rsidP="005413CC">
      <w:pPr>
        <w:rPr>
          <w:rFonts w:ascii="Times New Roman" w:hAnsi="Times New Roman" w:cs="Times New Roman"/>
          <w:color w:val="000000" w:themeColor="text1"/>
          <w:sz w:val="24"/>
          <w:szCs w:val="24"/>
        </w:rPr>
      </w:pPr>
    </w:p>
    <w:p w14:paraId="52A6E929"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7</w:t>
      </w:r>
    </w:p>
    <w:p w14:paraId="684BA17C"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Kirkegaard</w:t>
      </w:r>
      <w:proofErr w:type="spellEnd"/>
      <w:r w:rsidRPr="001C2812">
        <w:rPr>
          <w:rFonts w:ascii="Times New Roman" w:hAnsi="Times New Roman" w:cs="Times New Roman"/>
          <w:color w:val="000000" w:themeColor="text1"/>
          <w:sz w:val="24"/>
          <w:szCs w:val="24"/>
        </w:rPr>
        <w:t xml:space="preserve"> H, </w:t>
      </w:r>
      <w:proofErr w:type="spellStart"/>
      <w:r w:rsidRPr="001C2812">
        <w:rPr>
          <w:rFonts w:ascii="Times New Roman" w:hAnsi="Times New Roman" w:cs="Times New Roman"/>
          <w:color w:val="000000" w:themeColor="text1"/>
          <w:sz w:val="24"/>
          <w:szCs w:val="24"/>
        </w:rPr>
        <w:t>Heier</w:t>
      </w:r>
      <w:proofErr w:type="spellEnd"/>
      <w:r w:rsidRPr="001C2812">
        <w:rPr>
          <w:rFonts w:ascii="Times New Roman" w:hAnsi="Times New Roman" w:cs="Times New Roman"/>
          <w:color w:val="000000" w:themeColor="text1"/>
          <w:sz w:val="24"/>
          <w:szCs w:val="24"/>
        </w:rPr>
        <w:t xml:space="preserve"> T, Caldwell JE. Efficacy of tactile-guided reversal from cisatracurium-induced neuromuscular block. Anesthesiology 2002</w:t>
      </w:r>
      <w:proofErr w:type="gramStart"/>
      <w:r w:rsidRPr="001C2812">
        <w:rPr>
          <w:rFonts w:ascii="Times New Roman" w:hAnsi="Times New Roman" w:cs="Times New Roman"/>
          <w:color w:val="000000" w:themeColor="text1"/>
          <w:sz w:val="24"/>
          <w:szCs w:val="24"/>
        </w:rPr>
        <w:t>;96</w:t>
      </w:r>
      <w:proofErr w:type="gramEnd"/>
      <w:r w:rsidRPr="001C2812">
        <w:rPr>
          <w:rFonts w:ascii="Times New Roman" w:hAnsi="Times New Roman" w:cs="Times New Roman"/>
          <w:color w:val="000000" w:themeColor="text1"/>
          <w:sz w:val="24"/>
          <w:szCs w:val="24"/>
        </w:rPr>
        <w:t>(1):45-50.</w:t>
      </w:r>
    </w:p>
    <w:p w14:paraId="387EF8D9" w14:textId="77777777" w:rsidR="005413CC" w:rsidRPr="001C2812" w:rsidRDefault="005413CC" w:rsidP="005413CC">
      <w:pPr>
        <w:rPr>
          <w:rFonts w:ascii="Times New Roman" w:hAnsi="Times New Roman" w:cs="Times New Roman"/>
          <w:color w:val="000000" w:themeColor="text1"/>
          <w:sz w:val="24"/>
          <w:szCs w:val="24"/>
        </w:rPr>
      </w:pPr>
    </w:p>
    <w:p w14:paraId="7A1D7EC3"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8</w:t>
      </w:r>
    </w:p>
    <w:p w14:paraId="5894E830"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1. Kopman AF. Tactile evaluation of train-of-four count as an indicator of reliability of antagonism of vecuronium- or atracurium-induced neuromuscular blockade. Anesthesiology 1991</w:t>
      </w:r>
      <w:proofErr w:type="gramStart"/>
      <w:r w:rsidRPr="001C2812">
        <w:rPr>
          <w:rFonts w:ascii="Times New Roman" w:hAnsi="Times New Roman" w:cs="Times New Roman"/>
          <w:color w:val="000000" w:themeColor="text1"/>
          <w:sz w:val="24"/>
          <w:szCs w:val="24"/>
        </w:rPr>
        <w:t>;75</w:t>
      </w:r>
      <w:proofErr w:type="gramEnd"/>
      <w:r w:rsidRPr="001C2812">
        <w:rPr>
          <w:rFonts w:ascii="Times New Roman" w:hAnsi="Times New Roman" w:cs="Times New Roman"/>
          <w:color w:val="000000" w:themeColor="text1"/>
          <w:sz w:val="24"/>
          <w:szCs w:val="24"/>
        </w:rPr>
        <w:t>(4):588-93.</w:t>
      </w:r>
    </w:p>
    <w:p w14:paraId="639C6243"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2. Kopman AF, </w:t>
      </w:r>
      <w:proofErr w:type="spellStart"/>
      <w:r w:rsidRPr="001C2812">
        <w:rPr>
          <w:rFonts w:ascii="Times New Roman" w:hAnsi="Times New Roman" w:cs="Times New Roman"/>
          <w:color w:val="000000" w:themeColor="text1"/>
          <w:sz w:val="24"/>
          <w:szCs w:val="24"/>
        </w:rPr>
        <w:t>Mallhi</w:t>
      </w:r>
      <w:proofErr w:type="spellEnd"/>
      <w:r w:rsidRPr="001C2812">
        <w:rPr>
          <w:rFonts w:ascii="Times New Roman" w:hAnsi="Times New Roman" w:cs="Times New Roman"/>
          <w:color w:val="000000" w:themeColor="text1"/>
          <w:sz w:val="24"/>
          <w:szCs w:val="24"/>
        </w:rPr>
        <w:t xml:space="preserve"> MU, Justo MD, et al. Antagonism of mivacurium-induced neuromuscular blockade in humans. Edrophonium dose requirements at threshold train-of-four count of 4. </w:t>
      </w:r>
      <w:r w:rsidRPr="001C2812">
        <w:rPr>
          <w:rFonts w:ascii="Times New Roman" w:hAnsi="Times New Roman" w:cs="Times New Roman"/>
          <w:i/>
          <w:iCs/>
          <w:color w:val="000000" w:themeColor="text1"/>
          <w:sz w:val="24"/>
          <w:szCs w:val="24"/>
        </w:rPr>
        <w:t>Anesthesiology</w:t>
      </w:r>
      <w:r w:rsidRPr="001C2812">
        <w:rPr>
          <w:rFonts w:ascii="Times New Roman" w:hAnsi="Times New Roman" w:cs="Times New Roman"/>
          <w:color w:val="000000" w:themeColor="text1"/>
          <w:sz w:val="24"/>
          <w:szCs w:val="24"/>
        </w:rPr>
        <w:t xml:space="preserve"> 1994</w:t>
      </w:r>
      <w:proofErr w:type="gramStart"/>
      <w:r w:rsidRPr="001C2812">
        <w:rPr>
          <w:rFonts w:ascii="Times New Roman" w:hAnsi="Times New Roman" w:cs="Times New Roman"/>
          <w:color w:val="000000" w:themeColor="text1"/>
          <w:sz w:val="24"/>
          <w:szCs w:val="24"/>
        </w:rPr>
        <w:t>;81</w:t>
      </w:r>
      <w:proofErr w:type="gramEnd"/>
      <w:r w:rsidRPr="001C2812">
        <w:rPr>
          <w:rFonts w:ascii="Times New Roman" w:hAnsi="Times New Roman" w:cs="Times New Roman"/>
          <w:color w:val="000000" w:themeColor="text1"/>
          <w:sz w:val="24"/>
          <w:szCs w:val="24"/>
        </w:rPr>
        <w:t xml:space="preserve">(6):1394-400. </w:t>
      </w:r>
    </w:p>
    <w:p w14:paraId="0172829B" w14:textId="77777777" w:rsidR="005413CC" w:rsidRPr="001C2812" w:rsidRDefault="005413CC" w:rsidP="005413CC">
      <w:pPr>
        <w:rPr>
          <w:rFonts w:ascii="Times New Roman" w:hAnsi="Times New Roman" w:cs="Times New Roman"/>
          <w:color w:val="000000" w:themeColor="text1"/>
          <w:sz w:val="24"/>
          <w:szCs w:val="24"/>
        </w:rPr>
      </w:pPr>
    </w:p>
    <w:p w14:paraId="210914C1" w14:textId="77777777" w:rsidR="005413CC" w:rsidRPr="001C2812" w:rsidRDefault="005413CC" w:rsidP="005413CC">
      <w:pPr>
        <w:rPr>
          <w:rFonts w:ascii="Times New Roman" w:hAnsi="Times New Roman" w:cs="Times New Roman"/>
          <w:b/>
          <w:color w:val="000000" w:themeColor="text1"/>
          <w:sz w:val="24"/>
          <w:szCs w:val="24"/>
        </w:rPr>
      </w:pPr>
      <w:r w:rsidRPr="001C2812">
        <w:rPr>
          <w:rFonts w:ascii="Times New Roman" w:hAnsi="Times New Roman" w:cs="Times New Roman"/>
          <w:b/>
          <w:color w:val="000000" w:themeColor="text1"/>
          <w:sz w:val="24"/>
          <w:szCs w:val="24"/>
        </w:rPr>
        <w:t>Question 9</w:t>
      </w:r>
    </w:p>
    <w:p w14:paraId="746DFC8A" w14:textId="77777777" w:rsidR="005413CC" w:rsidRPr="001C2812" w:rsidRDefault="005413CC" w:rsidP="005413CC">
      <w:pP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 xml:space="preserve">1. </w:t>
      </w:r>
      <w:proofErr w:type="spellStart"/>
      <w:r w:rsidRPr="001C2812">
        <w:rPr>
          <w:rFonts w:ascii="Times New Roman" w:hAnsi="Times New Roman" w:cs="Times New Roman"/>
          <w:color w:val="000000" w:themeColor="text1"/>
          <w:sz w:val="24"/>
          <w:szCs w:val="24"/>
        </w:rPr>
        <w:t>Waud</w:t>
      </w:r>
      <w:proofErr w:type="spellEnd"/>
      <w:r w:rsidRPr="001C2812">
        <w:rPr>
          <w:rFonts w:ascii="Times New Roman" w:hAnsi="Times New Roman" w:cs="Times New Roman"/>
          <w:color w:val="000000" w:themeColor="text1"/>
          <w:sz w:val="24"/>
          <w:szCs w:val="24"/>
        </w:rPr>
        <w:t xml:space="preserve"> BE, </w:t>
      </w:r>
      <w:proofErr w:type="spellStart"/>
      <w:r w:rsidRPr="001C2812">
        <w:rPr>
          <w:rFonts w:ascii="Times New Roman" w:hAnsi="Times New Roman" w:cs="Times New Roman"/>
          <w:color w:val="000000" w:themeColor="text1"/>
          <w:sz w:val="24"/>
          <w:szCs w:val="24"/>
        </w:rPr>
        <w:t>Waud</w:t>
      </w:r>
      <w:proofErr w:type="spellEnd"/>
      <w:r w:rsidRPr="001C2812">
        <w:rPr>
          <w:rFonts w:ascii="Times New Roman" w:hAnsi="Times New Roman" w:cs="Times New Roman"/>
          <w:color w:val="000000" w:themeColor="text1"/>
          <w:sz w:val="24"/>
          <w:szCs w:val="24"/>
        </w:rPr>
        <w:t xml:space="preserve"> DR. The relation between the response to "train-of-four" stimulation and receptor occlusion during competitive neuromuscular block. Anesthesiology 1972</w:t>
      </w:r>
      <w:proofErr w:type="gramStart"/>
      <w:r w:rsidRPr="001C2812">
        <w:rPr>
          <w:rFonts w:ascii="Times New Roman" w:hAnsi="Times New Roman" w:cs="Times New Roman"/>
          <w:color w:val="000000" w:themeColor="text1"/>
          <w:sz w:val="24"/>
          <w:szCs w:val="24"/>
        </w:rPr>
        <w:t>;37</w:t>
      </w:r>
      <w:proofErr w:type="gramEnd"/>
      <w:r w:rsidRPr="001C2812">
        <w:rPr>
          <w:rFonts w:ascii="Times New Roman" w:hAnsi="Times New Roman" w:cs="Times New Roman"/>
          <w:color w:val="000000" w:themeColor="text1"/>
          <w:sz w:val="24"/>
          <w:szCs w:val="24"/>
        </w:rPr>
        <w:t xml:space="preserve">(4):413-6. </w:t>
      </w:r>
    </w:p>
    <w:p w14:paraId="3A7E29F7" w14:textId="77777777" w:rsidR="00B92E5C" w:rsidRPr="001C2812" w:rsidRDefault="00B92E5C" w:rsidP="00330A0A">
      <w:pPr>
        <w:spacing w:after="0" w:line="36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br w:type="page"/>
      </w:r>
    </w:p>
    <w:p w14:paraId="151CB349" w14:textId="77777777" w:rsidR="00B92E5C" w:rsidRPr="001C2812" w:rsidRDefault="00DF69C1" w:rsidP="00F304C5">
      <w:pPr>
        <w:spacing w:line="480" w:lineRule="auto"/>
        <w:rPr>
          <w:rFonts w:ascii="Times New Roman" w:hAnsi="Times New Roman" w:cs="Times New Roman"/>
          <w:i/>
          <w:color w:val="000000" w:themeColor="text1"/>
          <w:sz w:val="24"/>
          <w:szCs w:val="24"/>
        </w:rPr>
      </w:pPr>
      <w:r w:rsidRPr="001C2812">
        <w:rPr>
          <w:rFonts w:ascii="Times New Roman" w:hAnsi="Times New Roman" w:cs="Times New Roman"/>
          <w:b/>
          <w:color w:val="000000" w:themeColor="text1"/>
          <w:sz w:val="24"/>
          <w:szCs w:val="24"/>
        </w:rPr>
        <w:lastRenderedPageBreak/>
        <w:t>Supplementa</w:t>
      </w:r>
      <w:r w:rsidR="000E5958" w:rsidRPr="001C2812">
        <w:rPr>
          <w:rFonts w:ascii="Times New Roman" w:hAnsi="Times New Roman" w:cs="Times New Roman"/>
          <w:b/>
          <w:color w:val="000000" w:themeColor="text1"/>
          <w:sz w:val="24"/>
          <w:szCs w:val="24"/>
        </w:rPr>
        <w:t>l</w:t>
      </w:r>
      <w:r w:rsidRPr="001C2812">
        <w:rPr>
          <w:rFonts w:ascii="Times New Roman" w:hAnsi="Times New Roman" w:cs="Times New Roman"/>
          <w:b/>
          <w:color w:val="000000" w:themeColor="text1"/>
          <w:sz w:val="24"/>
          <w:szCs w:val="24"/>
        </w:rPr>
        <w:t xml:space="preserve"> </w:t>
      </w:r>
      <w:r w:rsidR="00B92E5C" w:rsidRPr="001C2812">
        <w:rPr>
          <w:rFonts w:ascii="Times New Roman" w:hAnsi="Times New Roman" w:cs="Times New Roman"/>
          <w:b/>
          <w:color w:val="000000" w:themeColor="text1"/>
          <w:sz w:val="24"/>
          <w:szCs w:val="24"/>
        </w:rPr>
        <w:t xml:space="preserve">Table 1. </w:t>
      </w:r>
      <w:r w:rsidR="00B92E5C" w:rsidRPr="001C2812">
        <w:rPr>
          <w:rFonts w:ascii="Times New Roman" w:hAnsi="Times New Roman" w:cs="Times New Roman"/>
          <w:color w:val="000000" w:themeColor="text1"/>
          <w:sz w:val="24"/>
          <w:szCs w:val="24"/>
        </w:rPr>
        <w:t>Location of the Respondents</w:t>
      </w:r>
    </w:p>
    <w:p w14:paraId="0916C719" w14:textId="77777777" w:rsidR="00B92E5C" w:rsidRPr="001C2812" w:rsidRDefault="00B92E5C" w:rsidP="00B92E5C">
      <w:pPr>
        <w:pBdr>
          <w:top w:val="single" w:sz="12" w:space="1" w:color="auto"/>
          <w:bottom w:val="single" w:sz="12" w:space="1" w:color="auto"/>
        </w:pBd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Country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Number of Respondents</w:t>
      </w:r>
    </w:p>
    <w:p w14:paraId="49E0B9D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Albania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4D452F16"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Algeria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722C469E"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Argentina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w:t>
      </w:r>
    </w:p>
    <w:p w14:paraId="279DFD42"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Australia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94</w:t>
      </w:r>
    </w:p>
    <w:p w14:paraId="7309892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Austria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30</w:t>
      </w:r>
    </w:p>
    <w:p w14:paraId="4FDF24C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Belarus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3E94076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Belgium</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46</w:t>
      </w:r>
    </w:p>
    <w:p w14:paraId="4FED7521"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Belize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63B343F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Brazil</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124</w:t>
      </w:r>
    </w:p>
    <w:p w14:paraId="6F4401F2"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Bulgaria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1F0B943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Canada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11</w:t>
      </w:r>
    </w:p>
    <w:p w14:paraId="1A4263E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Chile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9</w:t>
      </w:r>
    </w:p>
    <w:p w14:paraId="7FFEEE1A"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China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10</w:t>
      </w:r>
    </w:p>
    <w:p w14:paraId="72015833"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Colombia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11</w:t>
      </w:r>
    </w:p>
    <w:p w14:paraId="38A1870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Croatia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8</w:t>
      </w:r>
    </w:p>
    <w:p w14:paraId="27C4E93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Cyprus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48329647"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Czech Republic</w:t>
      </w:r>
      <w:r w:rsidRPr="001C2812">
        <w:rPr>
          <w:rFonts w:ascii="Times New Roman" w:hAnsi="Times New Roman" w:cs="Times New Roman"/>
          <w:color w:val="000000" w:themeColor="text1"/>
          <w:sz w:val="24"/>
          <w:szCs w:val="24"/>
        </w:rPr>
        <w:tab/>
        <w:t>11</w:t>
      </w:r>
    </w:p>
    <w:p w14:paraId="57BBF257"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Denmark</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15</w:t>
      </w:r>
    </w:p>
    <w:p w14:paraId="604CD78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Ecuador</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7EF66EA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Egypt</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w:t>
      </w:r>
    </w:p>
    <w:p w14:paraId="4EFEDC9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Estonia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w:t>
      </w:r>
    </w:p>
    <w:p w14:paraId="22629A3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Finland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13</w:t>
      </w:r>
    </w:p>
    <w:p w14:paraId="3BC2799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France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62</w:t>
      </w:r>
    </w:p>
    <w:p w14:paraId="2EBF27EA"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Germany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126</w:t>
      </w:r>
    </w:p>
    <w:p w14:paraId="766B0D3A"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Greece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25</w:t>
      </w:r>
    </w:p>
    <w:p w14:paraId="03E76661"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Hungary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125</w:t>
      </w:r>
    </w:p>
    <w:p w14:paraId="5F4F57E6"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Iceland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w:t>
      </w:r>
    </w:p>
    <w:p w14:paraId="01EC096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lastRenderedPageBreak/>
        <w:t>India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23</w:t>
      </w:r>
    </w:p>
    <w:p w14:paraId="57311E5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Indonesia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1264CCDE"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Iraq</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4014170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Ireland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12</w:t>
      </w:r>
    </w:p>
    <w:p w14:paraId="5DC4FC4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Israel</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11</w:t>
      </w:r>
    </w:p>
    <w:p w14:paraId="690E1BB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Italy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65</w:t>
      </w:r>
    </w:p>
    <w:p w14:paraId="5D4AD822"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Japan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7</w:t>
      </w:r>
    </w:p>
    <w:p w14:paraId="1B526C37"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Jordan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440E47F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Kazakhstan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72EC456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Kuwait</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w:t>
      </w:r>
    </w:p>
    <w:p w14:paraId="6D2F0C08"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Latvia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40ED6EBD"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Lithuania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6FBE2EC9"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Luxembourg</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w:t>
      </w:r>
    </w:p>
    <w:p w14:paraId="6E15C4F6"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Malaysia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5431F997"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Malta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1C41092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Mauritius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0609A55E"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Mexico</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w:t>
      </w:r>
    </w:p>
    <w:p w14:paraId="3B19CC7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Montenegro</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67C57F0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Namibia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1EA6A67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Nepal</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7A4D70F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Netherlands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55</w:t>
      </w:r>
    </w:p>
    <w:p w14:paraId="07F44526"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New Zealand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47</w:t>
      </w:r>
    </w:p>
    <w:p w14:paraId="410D6EF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Nigeria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3B65C681"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Norway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16</w:t>
      </w:r>
    </w:p>
    <w:p w14:paraId="4A7D0A1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Oman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39FA1723"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Pakistan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4A566551"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Panama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w:t>
      </w:r>
    </w:p>
    <w:p w14:paraId="6F79B8D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Philippines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2BB4862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Poland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22</w:t>
      </w:r>
    </w:p>
    <w:p w14:paraId="478AE6E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Portugal</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46</w:t>
      </w:r>
    </w:p>
    <w:p w14:paraId="36C9CF6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lastRenderedPageBreak/>
        <w:t>Qatar</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7725F921"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Republic of Korea</w:t>
      </w:r>
      <w:r w:rsidRPr="001C2812">
        <w:rPr>
          <w:rFonts w:ascii="Times New Roman" w:hAnsi="Times New Roman" w:cs="Times New Roman"/>
          <w:color w:val="000000" w:themeColor="text1"/>
          <w:sz w:val="24"/>
          <w:szCs w:val="24"/>
        </w:rPr>
        <w:tab/>
        <w:t>5</w:t>
      </w:r>
    </w:p>
    <w:p w14:paraId="06D363F9"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Republic of Macedonia</w:t>
      </w:r>
      <w:r w:rsidRPr="001C2812">
        <w:rPr>
          <w:rFonts w:ascii="Times New Roman" w:hAnsi="Times New Roman" w:cs="Times New Roman"/>
          <w:color w:val="000000" w:themeColor="text1"/>
          <w:sz w:val="24"/>
          <w:szCs w:val="24"/>
        </w:rPr>
        <w:tab/>
        <w:t>2</w:t>
      </w:r>
    </w:p>
    <w:p w14:paraId="76AEFA08"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Republic of Moldova</w:t>
      </w:r>
      <w:r w:rsidRPr="001C2812">
        <w:rPr>
          <w:rFonts w:ascii="Times New Roman" w:hAnsi="Times New Roman" w:cs="Times New Roman"/>
          <w:color w:val="000000" w:themeColor="text1"/>
          <w:sz w:val="24"/>
          <w:szCs w:val="24"/>
        </w:rPr>
        <w:tab/>
        <w:t>2</w:t>
      </w:r>
    </w:p>
    <w:p w14:paraId="31BAF60D"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Romania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12</w:t>
      </w:r>
    </w:p>
    <w:p w14:paraId="6C7E0EF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Russian Federation</w:t>
      </w:r>
      <w:r w:rsidRPr="001C2812">
        <w:rPr>
          <w:rFonts w:ascii="Times New Roman" w:hAnsi="Times New Roman" w:cs="Times New Roman"/>
          <w:color w:val="000000" w:themeColor="text1"/>
          <w:sz w:val="24"/>
          <w:szCs w:val="24"/>
        </w:rPr>
        <w:tab/>
        <w:t>11</w:t>
      </w:r>
    </w:p>
    <w:p w14:paraId="3B11D794"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Saudi Arabia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16</w:t>
      </w:r>
    </w:p>
    <w:p w14:paraId="36881053"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Serbia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10</w:t>
      </w:r>
    </w:p>
    <w:p w14:paraId="1CE7058A"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Singapore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3</w:t>
      </w:r>
    </w:p>
    <w:p w14:paraId="65CC3A40"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Slovakia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66E38F27"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Slovenia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6</w:t>
      </w:r>
    </w:p>
    <w:p w14:paraId="42F7A63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South Africa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7</w:t>
      </w:r>
    </w:p>
    <w:p w14:paraId="31B00D5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Spain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83</w:t>
      </w:r>
    </w:p>
    <w:p w14:paraId="49FC33B2"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Sweden</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27</w:t>
      </w:r>
    </w:p>
    <w:p w14:paraId="6B5807E2"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Switzerland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94</w:t>
      </w:r>
    </w:p>
    <w:p w14:paraId="2B33493C"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Thailand</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698D5E6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Trinidad &amp; Tobago</w:t>
      </w:r>
      <w:r w:rsidRPr="001C2812">
        <w:rPr>
          <w:rFonts w:ascii="Times New Roman" w:hAnsi="Times New Roman" w:cs="Times New Roman"/>
          <w:color w:val="000000" w:themeColor="text1"/>
          <w:sz w:val="24"/>
          <w:szCs w:val="24"/>
        </w:rPr>
        <w:tab/>
        <w:t>1</w:t>
      </w:r>
    </w:p>
    <w:p w14:paraId="6F6CA7C8"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Tunisia</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w:t>
      </w:r>
    </w:p>
    <w:p w14:paraId="366D8D3B"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Turkey</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25</w:t>
      </w:r>
    </w:p>
    <w:p w14:paraId="23CFE7BA"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Ukraine</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4</w:t>
      </w:r>
    </w:p>
    <w:p w14:paraId="79F9957F"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United Arab Emirates</w:t>
      </w:r>
      <w:r w:rsidRPr="001C2812">
        <w:rPr>
          <w:rFonts w:ascii="Times New Roman" w:hAnsi="Times New Roman" w:cs="Times New Roman"/>
          <w:color w:val="000000" w:themeColor="text1"/>
          <w:sz w:val="24"/>
          <w:szCs w:val="24"/>
        </w:rPr>
        <w:tab/>
        <w:t>5</w:t>
      </w:r>
    </w:p>
    <w:p w14:paraId="76E91B8D"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United Kingdom</w:t>
      </w:r>
      <w:r w:rsidRPr="001C2812">
        <w:rPr>
          <w:rFonts w:ascii="Times New Roman" w:hAnsi="Times New Roman" w:cs="Times New Roman"/>
          <w:color w:val="000000" w:themeColor="text1"/>
          <w:sz w:val="24"/>
          <w:szCs w:val="24"/>
        </w:rPr>
        <w:tab/>
        <w:t>106</w:t>
      </w:r>
    </w:p>
    <w:p w14:paraId="67D2D825" w14:textId="77777777" w:rsidR="00B92E5C" w:rsidRPr="001C2812" w:rsidRDefault="00B92E5C" w:rsidP="00B92E5C">
      <w:pPr>
        <w:spacing w:line="24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United States</w:t>
      </w:r>
      <w:r w:rsidRPr="001C2812">
        <w:rPr>
          <w:rFonts w:ascii="Times New Roman" w:hAnsi="Times New Roman" w:cs="Times New Roman"/>
          <w:color w:val="000000" w:themeColor="text1"/>
          <w:sz w:val="24"/>
          <w:szCs w:val="24"/>
        </w:rPr>
        <w:tab/>
      </w:r>
      <w:r w:rsidRPr="001C2812">
        <w:rPr>
          <w:rFonts w:ascii="Times New Roman" w:hAnsi="Times New Roman" w:cs="Times New Roman"/>
          <w:color w:val="000000" w:themeColor="text1"/>
          <w:sz w:val="24"/>
          <w:szCs w:val="24"/>
        </w:rPr>
        <w:tab/>
        <w:t>114</w:t>
      </w:r>
    </w:p>
    <w:p w14:paraId="1EBB0140" w14:textId="77777777" w:rsidR="000C7C12" w:rsidRPr="001C2812" w:rsidRDefault="000C7C12">
      <w:pPr>
        <w:rPr>
          <w:rFonts w:ascii="Times New Roman" w:eastAsia="Times New Roman" w:hAnsi="Times New Roman" w:cs="Times New Roman"/>
          <w:color w:val="000000" w:themeColor="text1"/>
          <w:sz w:val="24"/>
          <w:szCs w:val="24"/>
        </w:rPr>
      </w:pPr>
      <w:r w:rsidRPr="001C2812">
        <w:rPr>
          <w:rFonts w:ascii="Times New Roman" w:hAnsi="Times New Roman"/>
          <w:color w:val="000000" w:themeColor="text1"/>
          <w:sz w:val="24"/>
          <w:szCs w:val="24"/>
        </w:rPr>
        <w:br w:type="page"/>
      </w:r>
    </w:p>
    <w:p w14:paraId="072BA6C1" w14:textId="72D7E805" w:rsidR="000C7C12" w:rsidRPr="001C2812" w:rsidRDefault="000C7C12"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b/>
          <w:color w:val="000000" w:themeColor="text1"/>
          <w:sz w:val="24"/>
          <w:szCs w:val="24"/>
        </w:rPr>
        <w:lastRenderedPageBreak/>
        <w:t>Supplemental Table 2.</w:t>
      </w:r>
      <w:r w:rsidRPr="001C2812">
        <w:rPr>
          <w:rFonts w:ascii="Times New Roman" w:hAnsi="Times New Roman"/>
          <w:color w:val="000000" w:themeColor="text1"/>
          <w:sz w:val="24"/>
          <w:szCs w:val="24"/>
        </w:rPr>
        <w:t xml:space="preserve"> </w:t>
      </w:r>
      <w:r w:rsidR="00861D31" w:rsidRPr="001C2812">
        <w:rPr>
          <w:rFonts w:ascii="Times New Roman" w:hAnsi="Times New Roman"/>
          <w:color w:val="000000" w:themeColor="text1"/>
          <w:sz w:val="24"/>
          <w:szCs w:val="24"/>
        </w:rPr>
        <w:t>Number and proportion (%) of respondents at each level of anesthetic experience.</w:t>
      </w:r>
    </w:p>
    <w:tbl>
      <w:tblPr>
        <w:tblStyle w:val="TableGrid"/>
        <w:tblW w:w="0" w:type="auto"/>
        <w:tblLook w:val="04A0" w:firstRow="1" w:lastRow="0" w:firstColumn="1" w:lastColumn="0" w:noHBand="0" w:noVBand="1"/>
      </w:tblPr>
      <w:tblGrid>
        <w:gridCol w:w="2538"/>
        <w:gridCol w:w="1800"/>
        <w:gridCol w:w="1440"/>
      </w:tblGrid>
      <w:tr w:rsidR="001C2812" w:rsidRPr="001C2812" w14:paraId="0495B099" w14:textId="77777777" w:rsidTr="00C045B9">
        <w:tc>
          <w:tcPr>
            <w:tcW w:w="2538" w:type="dxa"/>
            <w:tcBorders>
              <w:top w:val="single" w:sz="18" w:space="0" w:color="385623" w:themeColor="accent6" w:themeShade="80"/>
              <w:left w:val="nil"/>
              <w:bottom w:val="single" w:sz="12" w:space="0" w:color="auto"/>
            </w:tcBorders>
          </w:tcPr>
          <w:p w14:paraId="5E3BFE23" w14:textId="4E558CD7" w:rsidR="00BD424C" w:rsidRPr="001C2812" w:rsidRDefault="00BD424C" w:rsidP="00BD424C">
            <w:pPr>
              <w:pStyle w:val="BodyText"/>
              <w:spacing w:line="480" w:lineRule="auto"/>
              <w:ind w:firstLine="0"/>
              <w:rPr>
                <w:rFonts w:ascii="Times New Roman" w:hAnsi="Times New Roman"/>
                <w:b/>
                <w:color w:val="000000" w:themeColor="text1"/>
                <w:sz w:val="24"/>
                <w:szCs w:val="24"/>
              </w:rPr>
            </w:pPr>
            <w:r w:rsidRPr="001C2812">
              <w:rPr>
                <w:rFonts w:ascii="Times New Roman" w:hAnsi="Times New Roman"/>
                <w:b/>
                <w:color w:val="000000" w:themeColor="text1"/>
                <w:sz w:val="24"/>
                <w:szCs w:val="24"/>
              </w:rPr>
              <w:t>Experience (years)</w:t>
            </w:r>
          </w:p>
        </w:tc>
        <w:tc>
          <w:tcPr>
            <w:tcW w:w="1800" w:type="dxa"/>
            <w:tcBorders>
              <w:top w:val="single" w:sz="18" w:space="0" w:color="385623" w:themeColor="accent6" w:themeShade="80"/>
              <w:bottom w:val="single" w:sz="12" w:space="0" w:color="auto"/>
            </w:tcBorders>
          </w:tcPr>
          <w:p w14:paraId="3E917196" w14:textId="2D408658" w:rsidR="00BD424C" w:rsidRPr="001C2812" w:rsidRDefault="00BD424C" w:rsidP="00BD424C">
            <w:pPr>
              <w:pStyle w:val="BodyText"/>
              <w:spacing w:line="480" w:lineRule="auto"/>
              <w:ind w:firstLine="0"/>
              <w:rPr>
                <w:rFonts w:ascii="Times New Roman" w:hAnsi="Times New Roman"/>
                <w:b/>
                <w:color w:val="000000" w:themeColor="text1"/>
                <w:sz w:val="24"/>
                <w:szCs w:val="24"/>
              </w:rPr>
            </w:pPr>
            <w:r w:rsidRPr="001C2812">
              <w:rPr>
                <w:rFonts w:ascii="Times New Roman" w:hAnsi="Times New Roman"/>
                <w:b/>
                <w:color w:val="000000" w:themeColor="text1"/>
                <w:sz w:val="24"/>
                <w:szCs w:val="24"/>
              </w:rPr>
              <w:t xml:space="preserve">Number </w:t>
            </w:r>
          </w:p>
        </w:tc>
        <w:tc>
          <w:tcPr>
            <w:tcW w:w="1440" w:type="dxa"/>
            <w:tcBorders>
              <w:top w:val="single" w:sz="18" w:space="0" w:color="385623" w:themeColor="accent6" w:themeShade="80"/>
              <w:bottom w:val="single" w:sz="12" w:space="0" w:color="auto"/>
              <w:right w:val="nil"/>
            </w:tcBorders>
          </w:tcPr>
          <w:p w14:paraId="6CBF5E68" w14:textId="1F6EA946" w:rsidR="00BD424C" w:rsidRPr="001C2812" w:rsidRDefault="00BD424C" w:rsidP="00BD424C">
            <w:pPr>
              <w:pStyle w:val="BodyText"/>
              <w:spacing w:line="480" w:lineRule="auto"/>
              <w:ind w:firstLine="0"/>
              <w:rPr>
                <w:rFonts w:ascii="Times New Roman" w:hAnsi="Times New Roman"/>
                <w:b/>
                <w:color w:val="000000" w:themeColor="text1"/>
                <w:sz w:val="24"/>
                <w:szCs w:val="24"/>
              </w:rPr>
            </w:pPr>
            <w:r w:rsidRPr="001C2812">
              <w:rPr>
                <w:rFonts w:ascii="Times New Roman" w:hAnsi="Times New Roman"/>
                <w:b/>
                <w:color w:val="000000" w:themeColor="text1"/>
                <w:sz w:val="24"/>
                <w:szCs w:val="24"/>
              </w:rPr>
              <w:t>(%)</w:t>
            </w:r>
          </w:p>
        </w:tc>
        <w:bookmarkStart w:id="0" w:name="_GoBack"/>
        <w:bookmarkEnd w:id="0"/>
      </w:tr>
      <w:tr w:rsidR="001C2812" w:rsidRPr="001C2812" w14:paraId="4E875B4A" w14:textId="77777777" w:rsidTr="005A2745">
        <w:tc>
          <w:tcPr>
            <w:tcW w:w="2538" w:type="dxa"/>
            <w:tcBorders>
              <w:top w:val="single" w:sz="12" w:space="0" w:color="auto"/>
              <w:left w:val="nil"/>
              <w:bottom w:val="nil"/>
            </w:tcBorders>
          </w:tcPr>
          <w:p w14:paraId="7DA497F3" w14:textId="7360AAF5"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0-5</w:t>
            </w:r>
          </w:p>
        </w:tc>
        <w:tc>
          <w:tcPr>
            <w:tcW w:w="1800" w:type="dxa"/>
            <w:tcBorders>
              <w:top w:val="single" w:sz="12" w:space="0" w:color="auto"/>
              <w:bottom w:val="nil"/>
            </w:tcBorders>
          </w:tcPr>
          <w:p w14:paraId="2E663239" w14:textId="67BA23BC"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523</w:t>
            </w:r>
          </w:p>
        </w:tc>
        <w:tc>
          <w:tcPr>
            <w:tcW w:w="1440" w:type="dxa"/>
            <w:tcBorders>
              <w:top w:val="single" w:sz="12" w:space="0" w:color="auto"/>
              <w:bottom w:val="nil"/>
              <w:right w:val="nil"/>
            </w:tcBorders>
          </w:tcPr>
          <w:p w14:paraId="21A192BF" w14:textId="6BF25C18"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32.1</w:t>
            </w:r>
          </w:p>
        </w:tc>
      </w:tr>
      <w:tr w:rsidR="001C2812" w:rsidRPr="001C2812" w14:paraId="6A225F73" w14:textId="77777777" w:rsidTr="007C18D7">
        <w:tc>
          <w:tcPr>
            <w:tcW w:w="2538" w:type="dxa"/>
            <w:tcBorders>
              <w:top w:val="nil"/>
              <w:left w:val="nil"/>
              <w:bottom w:val="nil"/>
              <w:right w:val="single" w:sz="4" w:space="0" w:color="auto"/>
            </w:tcBorders>
          </w:tcPr>
          <w:p w14:paraId="39C5FEAC" w14:textId="5E8B729C"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6-10</w:t>
            </w:r>
          </w:p>
        </w:tc>
        <w:tc>
          <w:tcPr>
            <w:tcW w:w="1800" w:type="dxa"/>
            <w:tcBorders>
              <w:top w:val="nil"/>
              <w:left w:val="single" w:sz="4" w:space="0" w:color="auto"/>
              <w:bottom w:val="nil"/>
              <w:right w:val="single" w:sz="4" w:space="0" w:color="auto"/>
            </w:tcBorders>
          </w:tcPr>
          <w:p w14:paraId="7BC7EFB0" w14:textId="6AF9C8AC"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262</w:t>
            </w:r>
          </w:p>
        </w:tc>
        <w:tc>
          <w:tcPr>
            <w:tcW w:w="1440" w:type="dxa"/>
            <w:tcBorders>
              <w:top w:val="nil"/>
              <w:left w:val="single" w:sz="4" w:space="0" w:color="auto"/>
              <w:bottom w:val="nil"/>
              <w:right w:val="nil"/>
            </w:tcBorders>
          </w:tcPr>
          <w:p w14:paraId="40431FA9" w14:textId="4BC40200"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16.1</w:t>
            </w:r>
          </w:p>
        </w:tc>
      </w:tr>
      <w:tr w:rsidR="001C2812" w:rsidRPr="001C2812" w14:paraId="1A5DA108" w14:textId="77777777" w:rsidTr="007C18D7">
        <w:tc>
          <w:tcPr>
            <w:tcW w:w="2538" w:type="dxa"/>
            <w:tcBorders>
              <w:top w:val="nil"/>
              <w:left w:val="nil"/>
              <w:bottom w:val="nil"/>
              <w:right w:val="single" w:sz="4" w:space="0" w:color="auto"/>
            </w:tcBorders>
          </w:tcPr>
          <w:p w14:paraId="43B49C70" w14:textId="26B8C362"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11-15</w:t>
            </w:r>
          </w:p>
        </w:tc>
        <w:tc>
          <w:tcPr>
            <w:tcW w:w="1800" w:type="dxa"/>
            <w:tcBorders>
              <w:top w:val="nil"/>
              <w:left w:val="single" w:sz="4" w:space="0" w:color="auto"/>
              <w:bottom w:val="nil"/>
              <w:right w:val="single" w:sz="4" w:space="0" w:color="auto"/>
            </w:tcBorders>
          </w:tcPr>
          <w:p w14:paraId="02E2507B" w14:textId="0B946579"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232</w:t>
            </w:r>
          </w:p>
        </w:tc>
        <w:tc>
          <w:tcPr>
            <w:tcW w:w="1440" w:type="dxa"/>
            <w:tcBorders>
              <w:top w:val="nil"/>
              <w:left w:val="single" w:sz="4" w:space="0" w:color="auto"/>
              <w:bottom w:val="nil"/>
              <w:right w:val="nil"/>
            </w:tcBorders>
          </w:tcPr>
          <w:p w14:paraId="3F361F5A" w14:textId="398D8873"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14.2</w:t>
            </w:r>
          </w:p>
        </w:tc>
      </w:tr>
      <w:tr w:rsidR="001C2812" w:rsidRPr="001C2812" w14:paraId="287D15C5" w14:textId="77777777" w:rsidTr="005A2745">
        <w:tc>
          <w:tcPr>
            <w:tcW w:w="2538" w:type="dxa"/>
            <w:tcBorders>
              <w:top w:val="nil"/>
              <w:left w:val="nil"/>
              <w:bottom w:val="nil"/>
              <w:right w:val="single" w:sz="4" w:space="0" w:color="auto"/>
            </w:tcBorders>
          </w:tcPr>
          <w:p w14:paraId="14F77884" w14:textId="192C51FB"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16-20</w:t>
            </w:r>
          </w:p>
        </w:tc>
        <w:tc>
          <w:tcPr>
            <w:tcW w:w="1800" w:type="dxa"/>
            <w:tcBorders>
              <w:top w:val="nil"/>
              <w:left w:val="single" w:sz="4" w:space="0" w:color="auto"/>
              <w:bottom w:val="nil"/>
              <w:right w:val="single" w:sz="4" w:space="0" w:color="auto"/>
            </w:tcBorders>
          </w:tcPr>
          <w:p w14:paraId="74D713CD" w14:textId="57059784"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177</w:t>
            </w:r>
          </w:p>
        </w:tc>
        <w:tc>
          <w:tcPr>
            <w:tcW w:w="1440" w:type="dxa"/>
            <w:tcBorders>
              <w:top w:val="nil"/>
              <w:left w:val="single" w:sz="4" w:space="0" w:color="auto"/>
              <w:bottom w:val="nil"/>
              <w:right w:val="nil"/>
            </w:tcBorders>
          </w:tcPr>
          <w:p w14:paraId="7A1F93FC" w14:textId="05B88470"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10.9</w:t>
            </w:r>
          </w:p>
        </w:tc>
      </w:tr>
      <w:tr w:rsidR="00012D17" w:rsidRPr="001C2812" w14:paraId="06183656" w14:textId="77777777" w:rsidTr="005A2745">
        <w:tc>
          <w:tcPr>
            <w:tcW w:w="2538" w:type="dxa"/>
            <w:tcBorders>
              <w:top w:val="nil"/>
              <w:left w:val="nil"/>
              <w:bottom w:val="single" w:sz="12" w:space="0" w:color="auto"/>
            </w:tcBorders>
          </w:tcPr>
          <w:p w14:paraId="61B8FDB5" w14:textId="5451D9AE"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&gt;20</w:t>
            </w:r>
          </w:p>
        </w:tc>
        <w:tc>
          <w:tcPr>
            <w:tcW w:w="1800" w:type="dxa"/>
            <w:tcBorders>
              <w:top w:val="nil"/>
              <w:bottom w:val="single" w:sz="12" w:space="0" w:color="auto"/>
            </w:tcBorders>
          </w:tcPr>
          <w:p w14:paraId="10E9EC1D" w14:textId="0C928483"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435</w:t>
            </w:r>
          </w:p>
        </w:tc>
        <w:tc>
          <w:tcPr>
            <w:tcW w:w="1440" w:type="dxa"/>
            <w:tcBorders>
              <w:top w:val="nil"/>
              <w:bottom w:val="single" w:sz="12" w:space="0" w:color="auto"/>
              <w:right w:val="nil"/>
            </w:tcBorders>
          </w:tcPr>
          <w:p w14:paraId="7913C277" w14:textId="12BD7C4E" w:rsidR="00BD424C" w:rsidRPr="001C2812" w:rsidRDefault="00BD424C" w:rsidP="00BD424C">
            <w:pPr>
              <w:pStyle w:val="BodyText"/>
              <w:spacing w:line="480" w:lineRule="auto"/>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t>26.7</w:t>
            </w:r>
          </w:p>
        </w:tc>
      </w:tr>
    </w:tbl>
    <w:p w14:paraId="5DEE53F3" w14:textId="77777777" w:rsidR="00BD424C" w:rsidRPr="001C2812" w:rsidRDefault="00BD424C" w:rsidP="00BD424C">
      <w:pPr>
        <w:pStyle w:val="BodyText"/>
        <w:ind w:firstLine="0"/>
        <w:rPr>
          <w:rFonts w:ascii="Times New Roman" w:hAnsi="Times New Roman"/>
          <w:color w:val="000000" w:themeColor="text1"/>
          <w:sz w:val="24"/>
          <w:szCs w:val="24"/>
        </w:rPr>
      </w:pPr>
    </w:p>
    <w:p w14:paraId="0DBF4005" w14:textId="77777777" w:rsidR="00575B5A" w:rsidRPr="001C2812" w:rsidRDefault="00575B5A" w:rsidP="00BD424C">
      <w:pPr>
        <w:pStyle w:val="BodyText"/>
        <w:ind w:firstLine="0"/>
        <w:rPr>
          <w:rFonts w:ascii="Times New Roman" w:hAnsi="Times New Roman"/>
          <w:color w:val="000000" w:themeColor="text1"/>
          <w:sz w:val="24"/>
          <w:szCs w:val="24"/>
        </w:rPr>
      </w:pPr>
      <w:r w:rsidRPr="001C2812">
        <w:rPr>
          <w:rFonts w:ascii="Times New Roman" w:hAnsi="Times New Roman"/>
          <w:color w:val="000000" w:themeColor="text1"/>
          <w:sz w:val="24"/>
          <w:szCs w:val="24"/>
        </w:rPr>
        <w:br w:type="page"/>
      </w:r>
    </w:p>
    <w:p w14:paraId="2A53C2FB" w14:textId="39BA1197" w:rsidR="00575B5A" w:rsidRPr="001C2812" w:rsidRDefault="00575B5A" w:rsidP="005A2745">
      <w:pPr>
        <w:spacing w:line="480" w:lineRule="auto"/>
        <w:rPr>
          <w:color w:val="000000" w:themeColor="text1"/>
        </w:rPr>
      </w:pPr>
      <w:r w:rsidRPr="001C2812">
        <w:rPr>
          <w:rFonts w:ascii="Times New Roman" w:hAnsi="Times New Roman"/>
          <w:b/>
          <w:color w:val="000000" w:themeColor="text1"/>
          <w:sz w:val="24"/>
          <w:szCs w:val="24"/>
        </w:rPr>
        <w:lastRenderedPageBreak/>
        <w:t xml:space="preserve">Supplemental Table </w:t>
      </w:r>
      <w:r w:rsidR="000C7C12" w:rsidRPr="001C2812">
        <w:rPr>
          <w:rFonts w:ascii="Times New Roman" w:hAnsi="Times New Roman"/>
          <w:b/>
          <w:color w:val="000000" w:themeColor="text1"/>
          <w:sz w:val="24"/>
          <w:szCs w:val="24"/>
        </w:rPr>
        <w:t>3</w:t>
      </w:r>
      <w:r w:rsidRPr="001C2812">
        <w:rPr>
          <w:rFonts w:ascii="Times New Roman" w:hAnsi="Times New Roman"/>
          <w:b/>
          <w:color w:val="000000" w:themeColor="text1"/>
          <w:sz w:val="24"/>
          <w:szCs w:val="24"/>
        </w:rPr>
        <w:t>.</w:t>
      </w:r>
      <w:r w:rsidRPr="001C2812">
        <w:rPr>
          <w:rFonts w:ascii="Times New Roman" w:hAnsi="Times New Roman"/>
          <w:color w:val="000000" w:themeColor="text1"/>
          <w:sz w:val="24"/>
          <w:szCs w:val="24"/>
        </w:rPr>
        <w:t xml:space="preserve"> Proportion correct for each question and overall proportion at each level </w:t>
      </w:r>
    </w:p>
    <w:tbl>
      <w:tblPr>
        <w:tblStyle w:val="TableGrid"/>
        <w:tblpPr w:leftFromText="180" w:rightFromText="180" w:vertAnchor="page" w:horzAnchor="margin" w:tblpY="2935"/>
        <w:tblW w:w="0" w:type="auto"/>
        <w:tblLook w:val="04A0" w:firstRow="1" w:lastRow="0" w:firstColumn="1" w:lastColumn="0" w:noHBand="0" w:noVBand="1"/>
      </w:tblPr>
      <w:tblGrid>
        <w:gridCol w:w="1335"/>
        <w:gridCol w:w="1335"/>
        <w:gridCol w:w="1336"/>
        <w:gridCol w:w="1336"/>
        <w:gridCol w:w="1336"/>
        <w:gridCol w:w="1336"/>
        <w:gridCol w:w="1336"/>
      </w:tblGrid>
      <w:tr w:rsidR="001C2812" w:rsidRPr="001C2812" w14:paraId="491E8F75" w14:textId="77777777" w:rsidTr="00F304C5">
        <w:tc>
          <w:tcPr>
            <w:tcW w:w="9350" w:type="dxa"/>
            <w:gridSpan w:val="7"/>
            <w:tcBorders>
              <w:top w:val="single" w:sz="18" w:space="0" w:color="385623" w:themeColor="accent6" w:themeShade="80"/>
              <w:left w:val="nil"/>
              <w:bottom w:val="single" w:sz="4" w:space="0" w:color="auto"/>
              <w:right w:val="nil"/>
            </w:tcBorders>
          </w:tcPr>
          <w:p w14:paraId="6A6BEAE0" w14:textId="77777777" w:rsidR="00575B5A" w:rsidRPr="001C2812" w:rsidRDefault="00575B5A" w:rsidP="00F304C5">
            <w:pPr>
              <w:tabs>
                <w:tab w:val="left" w:pos="1470"/>
              </w:tabs>
              <w:spacing w:line="480" w:lineRule="auto"/>
              <w:jc w:val="center"/>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Confidence Level</w:t>
            </w:r>
          </w:p>
        </w:tc>
      </w:tr>
      <w:tr w:rsidR="001C2812" w:rsidRPr="001C2812" w14:paraId="3549159F" w14:textId="77777777" w:rsidTr="00F304C5">
        <w:tc>
          <w:tcPr>
            <w:tcW w:w="1335" w:type="dxa"/>
            <w:tcBorders>
              <w:top w:val="single" w:sz="4" w:space="0" w:color="auto"/>
              <w:left w:val="nil"/>
              <w:bottom w:val="single" w:sz="12" w:space="0" w:color="385623" w:themeColor="accent6" w:themeShade="80"/>
              <w:right w:val="nil"/>
            </w:tcBorders>
          </w:tcPr>
          <w:p w14:paraId="34724D8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Questions</w:t>
            </w:r>
          </w:p>
        </w:tc>
        <w:tc>
          <w:tcPr>
            <w:tcW w:w="1335" w:type="dxa"/>
            <w:tcBorders>
              <w:top w:val="single" w:sz="4" w:space="0" w:color="auto"/>
              <w:left w:val="nil"/>
              <w:bottom w:val="single" w:sz="12" w:space="0" w:color="385623" w:themeColor="accent6" w:themeShade="80"/>
              <w:right w:val="nil"/>
            </w:tcBorders>
          </w:tcPr>
          <w:p w14:paraId="2015F01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50-59</w:t>
            </w:r>
          </w:p>
        </w:tc>
        <w:tc>
          <w:tcPr>
            <w:tcW w:w="1336" w:type="dxa"/>
            <w:tcBorders>
              <w:top w:val="single" w:sz="4" w:space="0" w:color="auto"/>
              <w:left w:val="nil"/>
              <w:bottom w:val="single" w:sz="12" w:space="0" w:color="385623" w:themeColor="accent6" w:themeShade="80"/>
              <w:right w:val="nil"/>
            </w:tcBorders>
          </w:tcPr>
          <w:p w14:paraId="04A8825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60-69</w:t>
            </w:r>
          </w:p>
        </w:tc>
        <w:tc>
          <w:tcPr>
            <w:tcW w:w="1336" w:type="dxa"/>
            <w:tcBorders>
              <w:top w:val="single" w:sz="4" w:space="0" w:color="auto"/>
              <w:left w:val="nil"/>
              <w:bottom w:val="single" w:sz="12" w:space="0" w:color="385623" w:themeColor="accent6" w:themeShade="80"/>
              <w:right w:val="nil"/>
            </w:tcBorders>
          </w:tcPr>
          <w:p w14:paraId="4F9D113B"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70-79</w:t>
            </w:r>
          </w:p>
        </w:tc>
        <w:tc>
          <w:tcPr>
            <w:tcW w:w="1336" w:type="dxa"/>
            <w:tcBorders>
              <w:top w:val="single" w:sz="4" w:space="0" w:color="auto"/>
              <w:left w:val="nil"/>
              <w:bottom w:val="single" w:sz="12" w:space="0" w:color="385623" w:themeColor="accent6" w:themeShade="80"/>
              <w:right w:val="nil"/>
            </w:tcBorders>
          </w:tcPr>
          <w:p w14:paraId="57AAE52A"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80-89</w:t>
            </w:r>
          </w:p>
        </w:tc>
        <w:tc>
          <w:tcPr>
            <w:tcW w:w="1336" w:type="dxa"/>
            <w:tcBorders>
              <w:top w:val="single" w:sz="4" w:space="0" w:color="auto"/>
              <w:left w:val="nil"/>
              <w:bottom w:val="single" w:sz="12" w:space="0" w:color="385623" w:themeColor="accent6" w:themeShade="80"/>
              <w:right w:val="nil"/>
            </w:tcBorders>
          </w:tcPr>
          <w:p w14:paraId="52266934"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90-99</w:t>
            </w:r>
          </w:p>
        </w:tc>
        <w:tc>
          <w:tcPr>
            <w:tcW w:w="1336" w:type="dxa"/>
            <w:tcBorders>
              <w:top w:val="single" w:sz="4" w:space="0" w:color="auto"/>
              <w:left w:val="nil"/>
              <w:bottom w:val="single" w:sz="12" w:space="0" w:color="385623" w:themeColor="accent6" w:themeShade="80"/>
              <w:right w:val="nil"/>
            </w:tcBorders>
          </w:tcPr>
          <w:p w14:paraId="269ECDC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100</w:t>
            </w:r>
          </w:p>
        </w:tc>
      </w:tr>
      <w:tr w:rsidR="001C2812" w:rsidRPr="001C2812" w14:paraId="7C13FEA7" w14:textId="77777777" w:rsidTr="00F304C5">
        <w:tc>
          <w:tcPr>
            <w:tcW w:w="1335" w:type="dxa"/>
            <w:tcBorders>
              <w:top w:val="single" w:sz="12" w:space="0" w:color="385623" w:themeColor="accent6" w:themeShade="80"/>
              <w:left w:val="nil"/>
              <w:bottom w:val="nil"/>
              <w:right w:val="nil"/>
            </w:tcBorders>
          </w:tcPr>
          <w:p w14:paraId="4FCF55CB"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1</w:t>
            </w:r>
          </w:p>
        </w:tc>
        <w:tc>
          <w:tcPr>
            <w:tcW w:w="1335" w:type="dxa"/>
            <w:tcBorders>
              <w:top w:val="single" w:sz="12" w:space="0" w:color="385623" w:themeColor="accent6" w:themeShade="80"/>
              <w:left w:val="nil"/>
              <w:bottom w:val="nil"/>
              <w:right w:val="nil"/>
            </w:tcBorders>
          </w:tcPr>
          <w:p w14:paraId="601B2F33" w14:textId="77777777" w:rsidR="00575B5A" w:rsidRPr="001C2812" w:rsidRDefault="00575B5A" w:rsidP="00F304C5">
            <w:pPr>
              <w:tabs>
                <w:tab w:val="left" w:pos="910"/>
              </w:tabs>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63.3</w:t>
            </w:r>
          </w:p>
        </w:tc>
        <w:tc>
          <w:tcPr>
            <w:tcW w:w="1336" w:type="dxa"/>
            <w:tcBorders>
              <w:top w:val="single" w:sz="12" w:space="0" w:color="385623" w:themeColor="accent6" w:themeShade="80"/>
              <w:left w:val="nil"/>
              <w:bottom w:val="nil"/>
              <w:right w:val="nil"/>
            </w:tcBorders>
          </w:tcPr>
          <w:p w14:paraId="0DEEAB4C"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51.6</w:t>
            </w:r>
          </w:p>
        </w:tc>
        <w:tc>
          <w:tcPr>
            <w:tcW w:w="1336" w:type="dxa"/>
            <w:tcBorders>
              <w:top w:val="single" w:sz="12" w:space="0" w:color="385623" w:themeColor="accent6" w:themeShade="80"/>
              <w:left w:val="nil"/>
              <w:bottom w:val="nil"/>
              <w:right w:val="nil"/>
            </w:tcBorders>
          </w:tcPr>
          <w:p w14:paraId="182E2814"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52.9</w:t>
            </w:r>
          </w:p>
        </w:tc>
        <w:tc>
          <w:tcPr>
            <w:tcW w:w="1336" w:type="dxa"/>
            <w:tcBorders>
              <w:top w:val="single" w:sz="12" w:space="0" w:color="385623" w:themeColor="accent6" w:themeShade="80"/>
              <w:left w:val="nil"/>
              <w:bottom w:val="nil"/>
              <w:right w:val="nil"/>
            </w:tcBorders>
          </w:tcPr>
          <w:p w14:paraId="3DC433D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62.5</w:t>
            </w:r>
          </w:p>
        </w:tc>
        <w:tc>
          <w:tcPr>
            <w:tcW w:w="1336" w:type="dxa"/>
            <w:tcBorders>
              <w:top w:val="single" w:sz="12" w:space="0" w:color="385623" w:themeColor="accent6" w:themeShade="80"/>
              <w:left w:val="nil"/>
              <w:bottom w:val="nil"/>
              <w:right w:val="nil"/>
            </w:tcBorders>
          </w:tcPr>
          <w:p w14:paraId="2B05E89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58.6</w:t>
            </w:r>
          </w:p>
        </w:tc>
        <w:tc>
          <w:tcPr>
            <w:tcW w:w="1336" w:type="dxa"/>
            <w:tcBorders>
              <w:top w:val="single" w:sz="12" w:space="0" w:color="385623" w:themeColor="accent6" w:themeShade="80"/>
              <w:left w:val="nil"/>
              <w:bottom w:val="nil"/>
              <w:right w:val="nil"/>
            </w:tcBorders>
          </w:tcPr>
          <w:p w14:paraId="1CB8E41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80.3</w:t>
            </w:r>
          </w:p>
        </w:tc>
      </w:tr>
      <w:tr w:rsidR="001C2812" w:rsidRPr="001C2812" w14:paraId="611811C7" w14:textId="77777777" w:rsidTr="00F304C5">
        <w:tc>
          <w:tcPr>
            <w:tcW w:w="1335" w:type="dxa"/>
            <w:tcBorders>
              <w:top w:val="nil"/>
              <w:left w:val="nil"/>
              <w:bottom w:val="nil"/>
              <w:right w:val="nil"/>
            </w:tcBorders>
          </w:tcPr>
          <w:p w14:paraId="261D4FD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w:t>
            </w:r>
          </w:p>
        </w:tc>
        <w:tc>
          <w:tcPr>
            <w:tcW w:w="1335" w:type="dxa"/>
            <w:tcBorders>
              <w:top w:val="nil"/>
              <w:left w:val="nil"/>
              <w:bottom w:val="nil"/>
              <w:right w:val="nil"/>
            </w:tcBorders>
          </w:tcPr>
          <w:p w14:paraId="4D8DD39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49.4</w:t>
            </w:r>
          </w:p>
        </w:tc>
        <w:tc>
          <w:tcPr>
            <w:tcW w:w="1336" w:type="dxa"/>
            <w:tcBorders>
              <w:top w:val="nil"/>
              <w:left w:val="nil"/>
              <w:bottom w:val="nil"/>
              <w:right w:val="nil"/>
            </w:tcBorders>
          </w:tcPr>
          <w:p w14:paraId="54FAF67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36.5</w:t>
            </w:r>
          </w:p>
        </w:tc>
        <w:tc>
          <w:tcPr>
            <w:tcW w:w="1336" w:type="dxa"/>
            <w:tcBorders>
              <w:top w:val="nil"/>
              <w:left w:val="nil"/>
              <w:bottom w:val="nil"/>
              <w:right w:val="nil"/>
            </w:tcBorders>
          </w:tcPr>
          <w:p w14:paraId="3ACDE5F5"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51.0</w:t>
            </w:r>
          </w:p>
        </w:tc>
        <w:tc>
          <w:tcPr>
            <w:tcW w:w="1336" w:type="dxa"/>
            <w:tcBorders>
              <w:top w:val="nil"/>
              <w:left w:val="nil"/>
              <w:bottom w:val="nil"/>
              <w:right w:val="nil"/>
            </w:tcBorders>
          </w:tcPr>
          <w:p w14:paraId="07FBC0B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62.2</w:t>
            </w:r>
          </w:p>
        </w:tc>
        <w:tc>
          <w:tcPr>
            <w:tcW w:w="1336" w:type="dxa"/>
            <w:tcBorders>
              <w:top w:val="nil"/>
              <w:left w:val="nil"/>
              <w:bottom w:val="nil"/>
              <w:right w:val="nil"/>
            </w:tcBorders>
          </w:tcPr>
          <w:p w14:paraId="601D2F14"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58.3</w:t>
            </w:r>
          </w:p>
        </w:tc>
        <w:tc>
          <w:tcPr>
            <w:tcW w:w="1336" w:type="dxa"/>
            <w:tcBorders>
              <w:top w:val="nil"/>
              <w:left w:val="nil"/>
              <w:bottom w:val="nil"/>
              <w:right w:val="nil"/>
            </w:tcBorders>
          </w:tcPr>
          <w:p w14:paraId="5AA4031B"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86.0</w:t>
            </w:r>
          </w:p>
        </w:tc>
      </w:tr>
      <w:tr w:rsidR="001C2812" w:rsidRPr="001C2812" w14:paraId="5061D5F5" w14:textId="77777777" w:rsidTr="00F304C5">
        <w:tc>
          <w:tcPr>
            <w:tcW w:w="1335" w:type="dxa"/>
            <w:tcBorders>
              <w:top w:val="nil"/>
              <w:left w:val="nil"/>
              <w:bottom w:val="nil"/>
              <w:right w:val="nil"/>
            </w:tcBorders>
          </w:tcPr>
          <w:p w14:paraId="736ED981"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w:t>
            </w:r>
          </w:p>
        </w:tc>
        <w:tc>
          <w:tcPr>
            <w:tcW w:w="1335" w:type="dxa"/>
            <w:tcBorders>
              <w:top w:val="nil"/>
              <w:left w:val="nil"/>
              <w:bottom w:val="nil"/>
              <w:right w:val="nil"/>
            </w:tcBorders>
          </w:tcPr>
          <w:p w14:paraId="7E9B1E60"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62.5</w:t>
            </w:r>
          </w:p>
        </w:tc>
        <w:tc>
          <w:tcPr>
            <w:tcW w:w="1336" w:type="dxa"/>
            <w:tcBorders>
              <w:top w:val="nil"/>
              <w:left w:val="nil"/>
              <w:bottom w:val="nil"/>
              <w:right w:val="nil"/>
            </w:tcBorders>
          </w:tcPr>
          <w:p w14:paraId="1FE9341A"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50.0</w:t>
            </w:r>
          </w:p>
        </w:tc>
        <w:tc>
          <w:tcPr>
            <w:tcW w:w="1336" w:type="dxa"/>
            <w:tcBorders>
              <w:top w:val="nil"/>
              <w:left w:val="nil"/>
              <w:bottom w:val="nil"/>
              <w:right w:val="nil"/>
            </w:tcBorders>
          </w:tcPr>
          <w:p w14:paraId="50807A3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59.8</w:t>
            </w:r>
          </w:p>
        </w:tc>
        <w:tc>
          <w:tcPr>
            <w:tcW w:w="1336" w:type="dxa"/>
            <w:tcBorders>
              <w:top w:val="nil"/>
              <w:left w:val="nil"/>
              <w:bottom w:val="nil"/>
              <w:right w:val="nil"/>
            </w:tcBorders>
          </w:tcPr>
          <w:p w14:paraId="6BDDC00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68.9</w:t>
            </w:r>
          </w:p>
        </w:tc>
        <w:tc>
          <w:tcPr>
            <w:tcW w:w="1336" w:type="dxa"/>
            <w:tcBorders>
              <w:top w:val="nil"/>
              <w:left w:val="nil"/>
              <w:bottom w:val="nil"/>
              <w:right w:val="nil"/>
            </w:tcBorders>
          </w:tcPr>
          <w:p w14:paraId="351DFA1C"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70.6</w:t>
            </w:r>
          </w:p>
        </w:tc>
        <w:tc>
          <w:tcPr>
            <w:tcW w:w="1336" w:type="dxa"/>
            <w:tcBorders>
              <w:top w:val="nil"/>
              <w:left w:val="nil"/>
              <w:bottom w:val="nil"/>
              <w:right w:val="nil"/>
            </w:tcBorders>
          </w:tcPr>
          <w:p w14:paraId="5A10C4FC"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90.5</w:t>
            </w:r>
          </w:p>
        </w:tc>
      </w:tr>
      <w:tr w:rsidR="001C2812" w:rsidRPr="001C2812" w14:paraId="1AC8BD6E" w14:textId="77777777" w:rsidTr="00F304C5">
        <w:tc>
          <w:tcPr>
            <w:tcW w:w="1335" w:type="dxa"/>
            <w:tcBorders>
              <w:top w:val="nil"/>
              <w:left w:val="nil"/>
              <w:bottom w:val="nil"/>
              <w:right w:val="nil"/>
            </w:tcBorders>
          </w:tcPr>
          <w:p w14:paraId="5459ECB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w:t>
            </w:r>
          </w:p>
        </w:tc>
        <w:tc>
          <w:tcPr>
            <w:tcW w:w="1335" w:type="dxa"/>
            <w:tcBorders>
              <w:top w:val="nil"/>
              <w:left w:val="nil"/>
              <w:bottom w:val="nil"/>
              <w:right w:val="nil"/>
            </w:tcBorders>
          </w:tcPr>
          <w:p w14:paraId="18DC45F0"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54.7</w:t>
            </w:r>
          </w:p>
        </w:tc>
        <w:tc>
          <w:tcPr>
            <w:tcW w:w="1336" w:type="dxa"/>
            <w:tcBorders>
              <w:top w:val="nil"/>
              <w:left w:val="nil"/>
              <w:bottom w:val="nil"/>
              <w:right w:val="nil"/>
            </w:tcBorders>
          </w:tcPr>
          <w:p w14:paraId="5573C6E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43.8</w:t>
            </w:r>
          </w:p>
        </w:tc>
        <w:tc>
          <w:tcPr>
            <w:tcW w:w="1336" w:type="dxa"/>
            <w:tcBorders>
              <w:top w:val="nil"/>
              <w:left w:val="nil"/>
              <w:bottom w:val="nil"/>
              <w:right w:val="nil"/>
            </w:tcBorders>
          </w:tcPr>
          <w:p w14:paraId="55A2670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60.7</w:t>
            </w:r>
          </w:p>
        </w:tc>
        <w:tc>
          <w:tcPr>
            <w:tcW w:w="1336" w:type="dxa"/>
            <w:tcBorders>
              <w:top w:val="nil"/>
              <w:left w:val="nil"/>
              <w:bottom w:val="nil"/>
              <w:right w:val="nil"/>
            </w:tcBorders>
          </w:tcPr>
          <w:p w14:paraId="525772F3"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60.8</w:t>
            </w:r>
          </w:p>
        </w:tc>
        <w:tc>
          <w:tcPr>
            <w:tcW w:w="1336" w:type="dxa"/>
            <w:tcBorders>
              <w:top w:val="nil"/>
              <w:left w:val="nil"/>
              <w:bottom w:val="nil"/>
              <w:right w:val="nil"/>
            </w:tcBorders>
          </w:tcPr>
          <w:p w14:paraId="7FE1B455"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64.3</w:t>
            </w:r>
          </w:p>
        </w:tc>
        <w:tc>
          <w:tcPr>
            <w:tcW w:w="1336" w:type="dxa"/>
            <w:tcBorders>
              <w:top w:val="nil"/>
              <w:left w:val="nil"/>
              <w:bottom w:val="nil"/>
              <w:right w:val="nil"/>
            </w:tcBorders>
          </w:tcPr>
          <w:p w14:paraId="10D01BD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68.6</w:t>
            </w:r>
          </w:p>
        </w:tc>
      </w:tr>
      <w:tr w:rsidR="001C2812" w:rsidRPr="001C2812" w14:paraId="2D9940A7" w14:textId="77777777" w:rsidTr="00F304C5">
        <w:tc>
          <w:tcPr>
            <w:tcW w:w="1335" w:type="dxa"/>
            <w:tcBorders>
              <w:top w:val="nil"/>
              <w:left w:val="nil"/>
              <w:bottom w:val="nil"/>
              <w:right w:val="nil"/>
            </w:tcBorders>
          </w:tcPr>
          <w:p w14:paraId="2217F2E3"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w:t>
            </w:r>
          </w:p>
        </w:tc>
        <w:tc>
          <w:tcPr>
            <w:tcW w:w="1335" w:type="dxa"/>
            <w:tcBorders>
              <w:top w:val="nil"/>
              <w:left w:val="nil"/>
              <w:bottom w:val="nil"/>
              <w:right w:val="nil"/>
            </w:tcBorders>
          </w:tcPr>
          <w:p w14:paraId="0BCDC4B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61.1</w:t>
            </w:r>
          </w:p>
        </w:tc>
        <w:tc>
          <w:tcPr>
            <w:tcW w:w="1336" w:type="dxa"/>
            <w:tcBorders>
              <w:top w:val="nil"/>
              <w:left w:val="nil"/>
              <w:bottom w:val="nil"/>
              <w:right w:val="nil"/>
            </w:tcBorders>
          </w:tcPr>
          <w:p w14:paraId="7000303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56.3</w:t>
            </w:r>
          </w:p>
        </w:tc>
        <w:tc>
          <w:tcPr>
            <w:tcW w:w="1336" w:type="dxa"/>
            <w:tcBorders>
              <w:top w:val="nil"/>
              <w:left w:val="nil"/>
              <w:bottom w:val="nil"/>
              <w:right w:val="nil"/>
            </w:tcBorders>
          </w:tcPr>
          <w:p w14:paraId="52468D5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60.2</w:t>
            </w:r>
          </w:p>
        </w:tc>
        <w:tc>
          <w:tcPr>
            <w:tcW w:w="1336" w:type="dxa"/>
            <w:tcBorders>
              <w:top w:val="nil"/>
              <w:left w:val="nil"/>
              <w:bottom w:val="nil"/>
              <w:right w:val="nil"/>
            </w:tcBorders>
          </w:tcPr>
          <w:p w14:paraId="77AA0B7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58.2</w:t>
            </w:r>
          </w:p>
        </w:tc>
        <w:tc>
          <w:tcPr>
            <w:tcW w:w="1336" w:type="dxa"/>
            <w:tcBorders>
              <w:top w:val="nil"/>
              <w:left w:val="nil"/>
              <w:bottom w:val="nil"/>
              <w:right w:val="nil"/>
            </w:tcBorders>
          </w:tcPr>
          <w:p w14:paraId="5186B68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60.7</w:t>
            </w:r>
          </w:p>
        </w:tc>
        <w:tc>
          <w:tcPr>
            <w:tcW w:w="1336" w:type="dxa"/>
            <w:tcBorders>
              <w:top w:val="nil"/>
              <w:left w:val="nil"/>
              <w:bottom w:val="nil"/>
              <w:right w:val="nil"/>
            </w:tcBorders>
          </w:tcPr>
          <w:p w14:paraId="38158B9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77.1</w:t>
            </w:r>
          </w:p>
        </w:tc>
      </w:tr>
      <w:tr w:rsidR="001C2812" w:rsidRPr="001C2812" w14:paraId="2A760FEA" w14:textId="77777777" w:rsidTr="00F304C5">
        <w:tc>
          <w:tcPr>
            <w:tcW w:w="1335" w:type="dxa"/>
            <w:tcBorders>
              <w:top w:val="nil"/>
              <w:left w:val="nil"/>
              <w:bottom w:val="nil"/>
              <w:right w:val="nil"/>
            </w:tcBorders>
          </w:tcPr>
          <w:p w14:paraId="6B5218D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w:t>
            </w:r>
          </w:p>
        </w:tc>
        <w:tc>
          <w:tcPr>
            <w:tcW w:w="1335" w:type="dxa"/>
            <w:tcBorders>
              <w:top w:val="nil"/>
              <w:left w:val="nil"/>
              <w:bottom w:val="nil"/>
              <w:right w:val="nil"/>
            </w:tcBorders>
          </w:tcPr>
          <w:p w14:paraId="4790BA1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42.4</w:t>
            </w:r>
          </w:p>
        </w:tc>
        <w:tc>
          <w:tcPr>
            <w:tcW w:w="1336" w:type="dxa"/>
            <w:tcBorders>
              <w:top w:val="nil"/>
              <w:left w:val="nil"/>
              <w:bottom w:val="nil"/>
              <w:right w:val="nil"/>
            </w:tcBorders>
          </w:tcPr>
          <w:p w14:paraId="163FDC1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41.7</w:t>
            </w:r>
          </w:p>
        </w:tc>
        <w:tc>
          <w:tcPr>
            <w:tcW w:w="1336" w:type="dxa"/>
            <w:tcBorders>
              <w:top w:val="nil"/>
              <w:left w:val="nil"/>
              <w:bottom w:val="nil"/>
              <w:right w:val="nil"/>
            </w:tcBorders>
          </w:tcPr>
          <w:p w14:paraId="2AEB7975"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38.3</w:t>
            </w:r>
          </w:p>
        </w:tc>
        <w:tc>
          <w:tcPr>
            <w:tcW w:w="1336" w:type="dxa"/>
            <w:tcBorders>
              <w:top w:val="nil"/>
              <w:left w:val="nil"/>
              <w:bottom w:val="nil"/>
              <w:right w:val="nil"/>
            </w:tcBorders>
          </w:tcPr>
          <w:p w14:paraId="269F5732"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34.1</w:t>
            </w:r>
          </w:p>
        </w:tc>
        <w:tc>
          <w:tcPr>
            <w:tcW w:w="1336" w:type="dxa"/>
            <w:tcBorders>
              <w:top w:val="nil"/>
              <w:left w:val="nil"/>
              <w:bottom w:val="nil"/>
              <w:right w:val="nil"/>
            </w:tcBorders>
          </w:tcPr>
          <w:p w14:paraId="49E0DCE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37.8</w:t>
            </w:r>
          </w:p>
        </w:tc>
        <w:tc>
          <w:tcPr>
            <w:tcW w:w="1336" w:type="dxa"/>
            <w:tcBorders>
              <w:top w:val="nil"/>
              <w:left w:val="nil"/>
              <w:bottom w:val="nil"/>
              <w:right w:val="nil"/>
            </w:tcBorders>
          </w:tcPr>
          <w:p w14:paraId="5287452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58.5</w:t>
            </w:r>
          </w:p>
        </w:tc>
      </w:tr>
      <w:tr w:rsidR="001C2812" w:rsidRPr="001C2812" w14:paraId="0A9BB896" w14:textId="77777777" w:rsidTr="00F304C5">
        <w:tc>
          <w:tcPr>
            <w:tcW w:w="1335" w:type="dxa"/>
            <w:tcBorders>
              <w:top w:val="nil"/>
              <w:left w:val="nil"/>
              <w:bottom w:val="nil"/>
              <w:right w:val="nil"/>
            </w:tcBorders>
          </w:tcPr>
          <w:p w14:paraId="0E4D56C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7</w:t>
            </w:r>
          </w:p>
        </w:tc>
        <w:tc>
          <w:tcPr>
            <w:tcW w:w="1335" w:type="dxa"/>
            <w:tcBorders>
              <w:top w:val="nil"/>
              <w:left w:val="nil"/>
              <w:bottom w:val="nil"/>
              <w:right w:val="nil"/>
            </w:tcBorders>
          </w:tcPr>
          <w:p w14:paraId="4807EBA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59.5</w:t>
            </w:r>
          </w:p>
        </w:tc>
        <w:tc>
          <w:tcPr>
            <w:tcW w:w="1336" w:type="dxa"/>
            <w:tcBorders>
              <w:top w:val="nil"/>
              <w:left w:val="nil"/>
              <w:bottom w:val="nil"/>
              <w:right w:val="nil"/>
            </w:tcBorders>
          </w:tcPr>
          <w:p w14:paraId="72E88F8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58.0</w:t>
            </w:r>
          </w:p>
        </w:tc>
        <w:tc>
          <w:tcPr>
            <w:tcW w:w="1336" w:type="dxa"/>
            <w:tcBorders>
              <w:top w:val="nil"/>
              <w:left w:val="nil"/>
              <w:bottom w:val="nil"/>
              <w:right w:val="nil"/>
            </w:tcBorders>
          </w:tcPr>
          <w:p w14:paraId="5ED725C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56.5</w:t>
            </w:r>
          </w:p>
        </w:tc>
        <w:tc>
          <w:tcPr>
            <w:tcW w:w="1336" w:type="dxa"/>
            <w:tcBorders>
              <w:top w:val="nil"/>
              <w:left w:val="nil"/>
              <w:bottom w:val="nil"/>
              <w:right w:val="nil"/>
            </w:tcBorders>
          </w:tcPr>
          <w:p w14:paraId="7ED12752"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60.6</w:t>
            </w:r>
          </w:p>
        </w:tc>
        <w:tc>
          <w:tcPr>
            <w:tcW w:w="1336" w:type="dxa"/>
            <w:tcBorders>
              <w:top w:val="nil"/>
              <w:left w:val="nil"/>
              <w:bottom w:val="nil"/>
              <w:right w:val="nil"/>
            </w:tcBorders>
          </w:tcPr>
          <w:p w14:paraId="38DE6170"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57.2</w:t>
            </w:r>
          </w:p>
        </w:tc>
        <w:tc>
          <w:tcPr>
            <w:tcW w:w="1336" w:type="dxa"/>
            <w:tcBorders>
              <w:top w:val="nil"/>
              <w:left w:val="nil"/>
              <w:bottom w:val="nil"/>
              <w:right w:val="nil"/>
            </w:tcBorders>
          </w:tcPr>
          <w:p w14:paraId="464CC7D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63.4</w:t>
            </w:r>
          </w:p>
        </w:tc>
      </w:tr>
      <w:tr w:rsidR="001C2812" w:rsidRPr="001C2812" w14:paraId="321C3B5E" w14:textId="77777777" w:rsidTr="00F304C5">
        <w:tc>
          <w:tcPr>
            <w:tcW w:w="1335" w:type="dxa"/>
            <w:tcBorders>
              <w:top w:val="nil"/>
              <w:left w:val="nil"/>
              <w:bottom w:val="nil"/>
              <w:right w:val="nil"/>
            </w:tcBorders>
          </w:tcPr>
          <w:p w14:paraId="1305036C"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8</w:t>
            </w:r>
          </w:p>
        </w:tc>
        <w:tc>
          <w:tcPr>
            <w:tcW w:w="1335" w:type="dxa"/>
            <w:tcBorders>
              <w:top w:val="nil"/>
              <w:left w:val="nil"/>
              <w:bottom w:val="nil"/>
              <w:right w:val="nil"/>
            </w:tcBorders>
          </w:tcPr>
          <w:p w14:paraId="4261112A"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36.1</w:t>
            </w:r>
          </w:p>
        </w:tc>
        <w:tc>
          <w:tcPr>
            <w:tcW w:w="1336" w:type="dxa"/>
            <w:tcBorders>
              <w:top w:val="nil"/>
              <w:left w:val="nil"/>
              <w:bottom w:val="nil"/>
              <w:right w:val="nil"/>
            </w:tcBorders>
          </w:tcPr>
          <w:p w14:paraId="20DC4450"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34.3</w:t>
            </w:r>
          </w:p>
        </w:tc>
        <w:tc>
          <w:tcPr>
            <w:tcW w:w="1336" w:type="dxa"/>
            <w:tcBorders>
              <w:top w:val="nil"/>
              <w:left w:val="nil"/>
              <w:bottom w:val="nil"/>
              <w:right w:val="nil"/>
            </w:tcBorders>
          </w:tcPr>
          <w:p w14:paraId="3D35728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26.9</w:t>
            </w:r>
          </w:p>
        </w:tc>
        <w:tc>
          <w:tcPr>
            <w:tcW w:w="1336" w:type="dxa"/>
            <w:tcBorders>
              <w:top w:val="nil"/>
              <w:left w:val="nil"/>
              <w:bottom w:val="nil"/>
              <w:right w:val="nil"/>
            </w:tcBorders>
          </w:tcPr>
          <w:p w14:paraId="46785B9F"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27.9</w:t>
            </w:r>
          </w:p>
        </w:tc>
        <w:tc>
          <w:tcPr>
            <w:tcW w:w="1336" w:type="dxa"/>
            <w:tcBorders>
              <w:top w:val="nil"/>
              <w:left w:val="nil"/>
              <w:bottom w:val="nil"/>
              <w:right w:val="nil"/>
            </w:tcBorders>
          </w:tcPr>
          <w:p w14:paraId="125FB8C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11.1</w:t>
            </w:r>
          </w:p>
        </w:tc>
        <w:tc>
          <w:tcPr>
            <w:tcW w:w="1336" w:type="dxa"/>
            <w:tcBorders>
              <w:top w:val="nil"/>
              <w:left w:val="nil"/>
              <w:bottom w:val="nil"/>
              <w:right w:val="nil"/>
            </w:tcBorders>
          </w:tcPr>
          <w:p w14:paraId="7D409836"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7.3</w:t>
            </w:r>
          </w:p>
        </w:tc>
      </w:tr>
      <w:tr w:rsidR="001C2812" w:rsidRPr="001C2812" w14:paraId="052D4325" w14:textId="77777777" w:rsidTr="00F304C5">
        <w:tc>
          <w:tcPr>
            <w:tcW w:w="1335" w:type="dxa"/>
            <w:tcBorders>
              <w:top w:val="nil"/>
              <w:left w:val="nil"/>
              <w:bottom w:val="nil"/>
              <w:right w:val="nil"/>
            </w:tcBorders>
          </w:tcPr>
          <w:p w14:paraId="001E406C"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9</w:t>
            </w:r>
          </w:p>
        </w:tc>
        <w:tc>
          <w:tcPr>
            <w:tcW w:w="1335" w:type="dxa"/>
            <w:tcBorders>
              <w:top w:val="nil"/>
              <w:left w:val="nil"/>
              <w:bottom w:val="nil"/>
              <w:right w:val="nil"/>
            </w:tcBorders>
          </w:tcPr>
          <w:p w14:paraId="239A165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31.7</w:t>
            </w:r>
          </w:p>
        </w:tc>
        <w:tc>
          <w:tcPr>
            <w:tcW w:w="1336" w:type="dxa"/>
            <w:tcBorders>
              <w:top w:val="nil"/>
              <w:left w:val="nil"/>
              <w:bottom w:val="nil"/>
              <w:right w:val="nil"/>
            </w:tcBorders>
          </w:tcPr>
          <w:p w14:paraId="69582721"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29.4</w:t>
            </w:r>
          </w:p>
        </w:tc>
        <w:tc>
          <w:tcPr>
            <w:tcW w:w="1336" w:type="dxa"/>
            <w:tcBorders>
              <w:top w:val="nil"/>
              <w:left w:val="nil"/>
              <w:bottom w:val="nil"/>
              <w:right w:val="nil"/>
            </w:tcBorders>
          </w:tcPr>
          <w:p w14:paraId="75E1FA32"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27</w:t>
            </w:r>
          </w:p>
        </w:tc>
        <w:tc>
          <w:tcPr>
            <w:tcW w:w="1336" w:type="dxa"/>
            <w:tcBorders>
              <w:top w:val="nil"/>
              <w:left w:val="nil"/>
              <w:bottom w:val="nil"/>
              <w:right w:val="nil"/>
            </w:tcBorders>
          </w:tcPr>
          <w:p w14:paraId="79484ED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45.6</w:t>
            </w:r>
          </w:p>
        </w:tc>
        <w:tc>
          <w:tcPr>
            <w:tcW w:w="1336" w:type="dxa"/>
            <w:tcBorders>
              <w:top w:val="nil"/>
              <w:left w:val="nil"/>
              <w:bottom w:val="nil"/>
              <w:right w:val="nil"/>
            </w:tcBorders>
          </w:tcPr>
          <w:p w14:paraId="66067A7B"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42.7</w:t>
            </w:r>
          </w:p>
        </w:tc>
        <w:tc>
          <w:tcPr>
            <w:tcW w:w="1336" w:type="dxa"/>
            <w:tcBorders>
              <w:top w:val="nil"/>
              <w:left w:val="nil"/>
              <w:bottom w:val="nil"/>
              <w:right w:val="nil"/>
            </w:tcBorders>
          </w:tcPr>
          <w:p w14:paraId="2195A6D0"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63.8</w:t>
            </w:r>
          </w:p>
        </w:tc>
      </w:tr>
      <w:tr w:rsidR="001C2812" w:rsidRPr="001C2812" w14:paraId="3EFB5613" w14:textId="77777777" w:rsidTr="00F304C5">
        <w:tc>
          <w:tcPr>
            <w:tcW w:w="1335" w:type="dxa"/>
            <w:tcBorders>
              <w:top w:val="nil"/>
              <w:left w:val="nil"/>
              <w:bottom w:val="single" w:sz="4" w:space="0" w:color="auto"/>
              <w:right w:val="nil"/>
            </w:tcBorders>
          </w:tcPr>
          <w:p w14:paraId="3475A428"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Overall</w:t>
            </w:r>
          </w:p>
        </w:tc>
        <w:tc>
          <w:tcPr>
            <w:tcW w:w="1335" w:type="dxa"/>
            <w:tcBorders>
              <w:top w:val="nil"/>
              <w:left w:val="nil"/>
              <w:bottom w:val="single" w:sz="4" w:space="0" w:color="auto"/>
              <w:right w:val="nil"/>
            </w:tcBorders>
          </w:tcPr>
          <w:p w14:paraId="2027517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51.2</w:t>
            </w:r>
          </w:p>
        </w:tc>
        <w:tc>
          <w:tcPr>
            <w:tcW w:w="1336" w:type="dxa"/>
            <w:tcBorders>
              <w:top w:val="nil"/>
              <w:left w:val="nil"/>
              <w:bottom w:val="single" w:sz="4" w:space="0" w:color="auto"/>
              <w:right w:val="nil"/>
            </w:tcBorders>
          </w:tcPr>
          <w:p w14:paraId="1F6D589D"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44.6</w:t>
            </w:r>
          </w:p>
        </w:tc>
        <w:tc>
          <w:tcPr>
            <w:tcW w:w="1336" w:type="dxa"/>
            <w:tcBorders>
              <w:top w:val="nil"/>
              <w:left w:val="nil"/>
              <w:bottom w:val="single" w:sz="4" w:space="0" w:color="auto"/>
              <w:right w:val="nil"/>
            </w:tcBorders>
          </w:tcPr>
          <w:p w14:paraId="40ED47B7"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48.1</w:t>
            </w:r>
          </w:p>
        </w:tc>
        <w:tc>
          <w:tcPr>
            <w:tcW w:w="1336" w:type="dxa"/>
            <w:tcBorders>
              <w:top w:val="nil"/>
              <w:left w:val="nil"/>
              <w:bottom w:val="single" w:sz="4" w:space="0" w:color="auto"/>
              <w:right w:val="nil"/>
            </w:tcBorders>
          </w:tcPr>
          <w:p w14:paraId="69E518A9"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53.4</w:t>
            </w:r>
          </w:p>
        </w:tc>
        <w:tc>
          <w:tcPr>
            <w:tcW w:w="1336" w:type="dxa"/>
            <w:tcBorders>
              <w:top w:val="nil"/>
              <w:left w:val="nil"/>
              <w:bottom w:val="single" w:sz="4" w:space="0" w:color="auto"/>
              <w:right w:val="nil"/>
            </w:tcBorders>
          </w:tcPr>
          <w:p w14:paraId="14EFFBCA"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51.3</w:t>
            </w:r>
          </w:p>
        </w:tc>
        <w:tc>
          <w:tcPr>
            <w:tcW w:w="1336" w:type="dxa"/>
            <w:tcBorders>
              <w:top w:val="nil"/>
              <w:left w:val="nil"/>
              <w:bottom w:val="single" w:sz="4" w:space="0" w:color="auto"/>
              <w:right w:val="nil"/>
            </w:tcBorders>
          </w:tcPr>
          <w:p w14:paraId="559B398A" w14:textId="77777777" w:rsidR="00575B5A" w:rsidRPr="001C2812" w:rsidRDefault="00575B5A" w:rsidP="00F304C5">
            <w:pPr>
              <w:spacing w:line="480" w:lineRule="auto"/>
              <w:rPr>
                <w:rFonts w:ascii="Times New Roman" w:hAnsi="Times New Roman" w:cs="Times New Roman"/>
                <w:color w:val="000000" w:themeColor="text1"/>
                <w:sz w:val="24"/>
                <w:szCs w:val="24"/>
              </w:rPr>
            </w:pPr>
            <w:r w:rsidRPr="001C2812">
              <w:rPr>
                <w:rFonts w:ascii="Times New Roman" w:hAnsi="Times New Roman" w:cs="Times New Roman"/>
                <w:color w:val="000000" w:themeColor="text1"/>
                <w:sz w:val="24"/>
                <w:szCs w:val="24"/>
              </w:rPr>
              <w:t>66.2</w:t>
            </w:r>
          </w:p>
        </w:tc>
      </w:tr>
    </w:tbl>
    <w:p w14:paraId="7AB8D3F3" w14:textId="7BEA0726" w:rsidR="000233D2" w:rsidRPr="001C2812" w:rsidRDefault="000233D2" w:rsidP="005A2745">
      <w:pPr>
        <w:pStyle w:val="BodyText"/>
        <w:spacing w:line="360" w:lineRule="auto"/>
        <w:rPr>
          <w:rFonts w:ascii="Times New Roman" w:hAnsi="Times New Roman"/>
          <w:color w:val="000000" w:themeColor="text1"/>
          <w:sz w:val="24"/>
          <w:szCs w:val="24"/>
        </w:rPr>
      </w:pPr>
    </w:p>
    <w:sectPr w:rsidR="000233D2" w:rsidRPr="001C2812">
      <w:headerReference w:type="default" r:id="rId12"/>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F5E6" w14:textId="77777777" w:rsidR="00101219" w:rsidRDefault="00101219" w:rsidP="00B51A67">
      <w:pPr>
        <w:spacing w:after="0" w:line="240" w:lineRule="auto"/>
      </w:pPr>
      <w:r>
        <w:separator/>
      </w:r>
    </w:p>
  </w:endnote>
  <w:endnote w:type="continuationSeparator" w:id="0">
    <w:p w14:paraId="4D01FB85" w14:textId="77777777" w:rsidR="00101219" w:rsidRDefault="00101219" w:rsidP="00B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Khmer UI">
    <w:panose1 w:val="020B0502040204020203"/>
    <w:charset w:val="00"/>
    <w:family w:val="swiss"/>
    <w:pitch w:val="variable"/>
    <w:sig w:usb0="8000002F" w:usb1="0000204A" w:usb2="0001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FB17" w14:textId="77777777" w:rsidR="00101219" w:rsidRDefault="00101219" w:rsidP="00B51A67">
      <w:pPr>
        <w:spacing w:after="0" w:line="240" w:lineRule="auto"/>
      </w:pPr>
      <w:r>
        <w:separator/>
      </w:r>
    </w:p>
  </w:footnote>
  <w:footnote w:type="continuationSeparator" w:id="0">
    <w:p w14:paraId="61DEFA95" w14:textId="77777777" w:rsidR="00101219" w:rsidRDefault="00101219" w:rsidP="00B5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093900"/>
      <w:docPartObj>
        <w:docPartGallery w:val="Page Numbers (Top of Page)"/>
        <w:docPartUnique/>
      </w:docPartObj>
    </w:sdtPr>
    <w:sdtEndPr>
      <w:rPr>
        <w:rFonts w:ascii="Times New Roman" w:hAnsi="Times New Roman" w:cs="Times New Roman"/>
        <w:noProof/>
      </w:rPr>
    </w:sdtEndPr>
    <w:sdtContent>
      <w:p w14:paraId="7AA37500" w14:textId="77777777" w:rsidR="00A1100E" w:rsidRPr="00B51A67" w:rsidRDefault="00A1100E" w:rsidP="00B51A67">
        <w:pPr>
          <w:pStyle w:val="Header"/>
          <w:jc w:val="right"/>
          <w:rPr>
            <w:rFonts w:ascii="Times New Roman" w:hAnsi="Times New Roman" w:cs="Times New Roman"/>
          </w:rPr>
        </w:pPr>
        <w:r w:rsidRPr="00B51A67">
          <w:rPr>
            <w:rFonts w:ascii="Times New Roman" w:hAnsi="Times New Roman" w:cs="Times New Roman"/>
          </w:rPr>
          <w:fldChar w:fldCharType="begin"/>
        </w:r>
        <w:r w:rsidRPr="00B51A67">
          <w:rPr>
            <w:rFonts w:ascii="Times New Roman" w:hAnsi="Times New Roman" w:cs="Times New Roman"/>
          </w:rPr>
          <w:instrText xml:space="preserve"> PAGE   \* MERGEFORMAT </w:instrText>
        </w:r>
        <w:r w:rsidRPr="00B51A67">
          <w:rPr>
            <w:rFonts w:ascii="Times New Roman" w:hAnsi="Times New Roman" w:cs="Times New Roman"/>
          </w:rPr>
          <w:fldChar w:fldCharType="separate"/>
        </w:r>
        <w:r w:rsidR="001C2812">
          <w:rPr>
            <w:rFonts w:ascii="Times New Roman" w:hAnsi="Times New Roman" w:cs="Times New Roman"/>
            <w:noProof/>
          </w:rPr>
          <w:t>11</w:t>
        </w:r>
        <w:r w:rsidRPr="00B51A67">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7E3"/>
    <w:multiLevelType w:val="hybridMultilevel"/>
    <w:tmpl w:val="837E1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668"/>
    <w:multiLevelType w:val="hybridMultilevel"/>
    <w:tmpl w:val="A0905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58A4"/>
    <w:multiLevelType w:val="hybridMultilevel"/>
    <w:tmpl w:val="95185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6CA7"/>
    <w:multiLevelType w:val="hybridMultilevel"/>
    <w:tmpl w:val="49049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944"/>
    <w:multiLevelType w:val="hybridMultilevel"/>
    <w:tmpl w:val="FE500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F3E0B"/>
    <w:multiLevelType w:val="hybridMultilevel"/>
    <w:tmpl w:val="EA046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A2A5C"/>
    <w:multiLevelType w:val="hybridMultilevel"/>
    <w:tmpl w:val="76D08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3489"/>
    <w:multiLevelType w:val="hybridMultilevel"/>
    <w:tmpl w:val="78861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83971"/>
    <w:multiLevelType w:val="hybridMultilevel"/>
    <w:tmpl w:val="A558C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A5C2A"/>
    <w:multiLevelType w:val="hybridMultilevel"/>
    <w:tmpl w:val="2F7040D0"/>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06A0F"/>
    <w:multiLevelType w:val="hybridMultilevel"/>
    <w:tmpl w:val="837E1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A7E1F"/>
    <w:multiLevelType w:val="hybridMultilevel"/>
    <w:tmpl w:val="71007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55B57"/>
    <w:multiLevelType w:val="hybridMultilevel"/>
    <w:tmpl w:val="B6F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717D6"/>
    <w:multiLevelType w:val="hybridMultilevel"/>
    <w:tmpl w:val="23D8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3622B"/>
    <w:multiLevelType w:val="hybridMultilevel"/>
    <w:tmpl w:val="A9746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8"/>
  </w:num>
  <w:num w:numId="6">
    <w:abstractNumId w:val="11"/>
  </w:num>
  <w:num w:numId="7">
    <w:abstractNumId w:val="0"/>
  </w:num>
  <w:num w:numId="8">
    <w:abstractNumId w:val="4"/>
  </w:num>
  <w:num w:numId="9">
    <w:abstractNumId w:val="5"/>
  </w:num>
  <w:num w:numId="10">
    <w:abstractNumId w:val="14"/>
  </w:num>
  <w:num w:numId="11">
    <w:abstractNumId w:val="13"/>
  </w:num>
  <w:num w:numId="12">
    <w:abstractNumId w:val="3"/>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esthesia Analge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9edeeaudd02nedrpt52tt5d29s2tssf0ap&quot;&gt;NMJ&lt;record-ids&gt;&lt;item&gt;668&lt;/item&gt;&lt;item&gt;2190&lt;/item&gt;&lt;item&gt;2221&lt;/item&gt;&lt;item&gt;2313&lt;/item&gt;&lt;item&gt;2316&lt;/item&gt;&lt;item&gt;2395&lt;/item&gt;&lt;item&gt;2696&lt;/item&gt;&lt;item&gt;2799&lt;/item&gt;&lt;item&gt;2837&lt;/item&gt;&lt;item&gt;2838&lt;/item&gt;&lt;item&gt;2839&lt;/item&gt;&lt;item&gt;2843&lt;/item&gt;&lt;item&gt;3138&lt;/item&gt;&lt;item&gt;3302&lt;/item&gt;&lt;item&gt;3305&lt;/item&gt;&lt;item&gt;3389&lt;/item&gt;&lt;item&gt;3402&lt;/item&gt;&lt;item&gt;3411&lt;/item&gt;&lt;item&gt;3412&lt;/item&gt;&lt;item&gt;3431&lt;/item&gt;&lt;item&gt;3432&lt;/item&gt;&lt;item&gt;3443&lt;/item&gt;&lt;item&gt;3532&lt;/item&gt;&lt;item&gt;3537&lt;/item&gt;&lt;item&gt;3542&lt;/item&gt;&lt;item&gt;3543&lt;/item&gt;&lt;item&gt;3544&lt;/item&gt;&lt;item&gt;3545&lt;/item&gt;&lt;item&gt;3546&lt;/item&gt;&lt;item&gt;3549&lt;/item&gt;&lt;item&gt;3559&lt;/item&gt;&lt;item&gt;3562&lt;/item&gt;&lt;item&gt;3563&lt;/item&gt;&lt;item&gt;3566&lt;/item&gt;&lt;item&gt;3567&lt;/item&gt;&lt;item&gt;3568&lt;/item&gt;&lt;item&gt;3569&lt;/item&gt;&lt;item&gt;3572&lt;/item&gt;&lt;item&gt;3573&lt;/item&gt;&lt;item&gt;3574&lt;/item&gt;&lt;item&gt;3575&lt;/item&gt;&lt;item&gt;3650&lt;/item&gt;&lt;item&gt;3651&lt;/item&gt;&lt;item&gt;3652&lt;/item&gt;&lt;item&gt;3654&lt;/item&gt;&lt;item&gt;3655&lt;/item&gt;&lt;item&gt;3656&lt;/item&gt;&lt;item&gt;3657&lt;/item&gt;&lt;item&gt;3658&lt;/item&gt;&lt;item&gt;3659&lt;/item&gt;&lt;item&gt;3660&lt;/item&gt;&lt;/record-ids&gt;&lt;/item&gt;&lt;/Libraries&gt;"/>
  </w:docVars>
  <w:rsids>
    <w:rsidRoot w:val="007C73CD"/>
    <w:rsid w:val="00003833"/>
    <w:rsid w:val="00003A7F"/>
    <w:rsid w:val="00012050"/>
    <w:rsid w:val="00012D17"/>
    <w:rsid w:val="00015633"/>
    <w:rsid w:val="00015AA3"/>
    <w:rsid w:val="0001780B"/>
    <w:rsid w:val="00017A59"/>
    <w:rsid w:val="00020132"/>
    <w:rsid w:val="000216C7"/>
    <w:rsid w:val="000233D2"/>
    <w:rsid w:val="00023C4D"/>
    <w:rsid w:val="00023EB0"/>
    <w:rsid w:val="000255EE"/>
    <w:rsid w:val="000309B3"/>
    <w:rsid w:val="00036FE3"/>
    <w:rsid w:val="000412AB"/>
    <w:rsid w:val="00043325"/>
    <w:rsid w:val="000500D9"/>
    <w:rsid w:val="000519AE"/>
    <w:rsid w:val="000537A0"/>
    <w:rsid w:val="00056263"/>
    <w:rsid w:val="000606AA"/>
    <w:rsid w:val="00062D97"/>
    <w:rsid w:val="000717A5"/>
    <w:rsid w:val="00071D1F"/>
    <w:rsid w:val="00072247"/>
    <w:rsid w:val="000727C7"/>
    <w:rsid w:val="00073841"/>
    <w:rsid w:val="0007434B"/>
    <w:rsid w:val="00082762"/>
    <w:rsid w:val="00084E43"/>
    <w:rsid w:val="00085E79"/>
    <w:rsid w:val="000877CE"/>
    <w:rsid w:val="00094E06"/>
    <w:rsid w:val="00094EBF"/>
    <w:rsid w:val="00095298"/>
    <w:rsid w:val="00095FBC"/>
    <w:rsid w:val="00096D69"/>
    <w:rsid w:val="00097174"/>
    <w:rsid w:val="00097338"/>
    <w:rsid w:val="00097600"/>
    <w:rsid w:val="000A1B29"/>
    <w:rsid w:val="000A4236"/>
    <w:rsid w:val="000B20D8"/>
    <w:rsid w:val="000B29CB"/>
    <w:rsid w:val="000B42E3"/>
    <w:rsid w:val="000B4890"/>
    <w:rsid w:val="000B5785"/>
    <w:rsid w:val="000B5F66"/>
    <w:rsid w:val="000B7123"/>
    <w:rsid w:val="000C04BA"/>
    <w:rsid w:val="000C2F24"/>
    <w:rsid w:val="000C6186"/>
    <w:rsid w:val="000C6C6F"/>
    <w:rsid w:val="000C7C12"/>
    <w:rsid w:val="000D11DD"/>
    <w:rsid w:val="000D13F2"/>
    <w:rsid w:val="000D1C5C"/>
    <w:rsid w:val="000D65F5"/>
    <w:rsid w:val="000D78A2"/>
    <w:rsid w:val="000D793B"/>
    <w:rsid w:val="000E5594"/>
    <w:rsid w:val="000E5958"/>
    <w:rsid w:val="000F04ED"/>
    <w:rsid w:val="000F2C0F"/>
    <w:rsid w:val="000F2DDE"/>
    <w:rsid w:val="000F2F5C"/>
    <w:rsid w:val="000F4B13"/>
    <w:rsid w:val="000F4F78"/>
    <w:rsid w:val="000F65B3"/>
    <w:rsid w:val="000F74E4"/>
    <w:rsid w:val="0010035F"/>
    <w:rsid w:val="00101219"/>
    <w:rsid w:val="00104C77"/>
    <w:rsid w:val="00105E06"/>
    <w:rsid w:val="00106496"/>
    <w:rsid w:val="00107BDF"/>
    <w:rsid w:val="00107F48"/>
    <w:rsid w:val="00111034"/>
    <w:rsid w:val="0011133C"/>
    <w:rsid w:val="00111D55"/>
    <w:rsid w:val="00121200"/>
    <w:rsid w:val="00122BDE"/>
    <w:rsid w:val="00124C7F"/>
    <w:rsid w:val="00125C44"/>
    <w:rsid w:val="001269B9"/>
    <w:rsid w:val="00127011"/>
    <w:rsid w:val="00136BF2"/>
    <w:rsid w:val="00136C5F"/>
    <w:rsid w:val="00137BC8"/>
    <w:rsid w:val="00140BF8"/>
    <w:rsid w:val="00141DB4"/>
    <w:rsid w:val="00143446"/>
    <w:rsid w:val="00144D3D"/>
    <w:rsid w:val="00144EF3"/>
    <w:rsid w:val="00147995"/>
    <w:rsid w:val="00150318"/>
    <w:rsid w:val="00154EE3"/>
    <w:rsid w:val="00155042"/>
    <w:rsid w:val="00155C8A"/>
    <w:rsid w:val="00157DB6"/>
    <w:rsid w:val="00160DA8"/>
    <w:rsid w:val="0016368E"/>
    <w:rsid w:val="00164599"/>
    <w:rsid w:val="00166736"/>
    <w:rsid w:val="00172F31"/>
    <w:rsid w:val="001734F6"/>
    <w:rsid w:val="00175BA5"/>
    <w:rsid w:val="001807F4"/>
    <w:rsid w:val="00184A17"/>
    <w:rsid w:val="00186719"/>
    <w:rsid w:val="00187601"/>
    <w:rsid w:val="0018777D"/>
    <w:rsid w:val="00187FEC"/>
    <w:rsid w:val="00190664"/>
    <w:rsid w:val="00190DA4"/>
    <w:rsid w:val="00192EF1"/>
    <w:rsid w:val="001934D8"/>
    <w:rsid w:val="001944AB"/>
    <w:rsid w:val="001950D9"/>
    <w:rsid w:val="001963E2"/>
    <w:rsid w:val="00196851"/>
    <w:rsid w:val="00196B8A"/>
    <w:rsid w:val="00197E1F"/>
    <w:rsid w:val="001A1D6B"/>
    <w:rsid w:val="001A2A71"/>
    <w:rsid w:val="001A31B1"/>
    <w:rsid w:val="001A5215"/>
    <w:rsid w:val="001A6DCA"/>
    <w:rsid w:val="001A783F"/>
    <w:rsid w:val="001B05BA"/>
    <w:rsid w:val="001B05F3"/>
    <w:rsid w:val="001B08AF"/>
    <w:rsid w:val="001B2842"/>
    <w:rsid w:val="001B448F"/>
    <w:rsid w:val="001C07CC"/>
    <w:rsid w:val="001C2812"/>
    <w:rsid w:val="001C43B9"/>
    <w:rsid w:val="001C75E7"/>
    <w:rsid w:val="001C79E7"/>
    <w:rsid w:val="001D154B"/>
    <w:rsid w:val="001D169B"/>
    <w:rsid w:val="001D21A7"/>
    <w:rsid w:val="001D2A4E"/>
    <w:rsid w:val="001D45E1"/>
    <w:rsid w:val="001D4717"/>
    <w:rsid w:val="001D699B"/>
    <w:rsid w:val="001D751C"/>
    <w:rsid w:val="001D7F96"/>
    <w:rsid w:val="001E02FA"/>
    <w:rsid w:val="001E070E"/>
    <w:rsid w:val="001E1FF6"/>
    <w:rsid w:val="001E35BE"/>
    <w:rsid w:val="001E45D5"/>
    <w:rsid w:val="001E55A0"/>
    <w:rsid w:val="001E6573"/>
    <w:rsid w:val="001F483D"/>
    <w:rsid w:val="00200027"/>
    <w:rsid w:val="00201358"/>
    <w:rsid w:val="002016B2"/>
    <w:rsid w:val="00203CDB"/>
    <w:rsid w:val="00205F73"/>
    <w:rsid w:val="002066FC"/>
    <w:rsid w:val="00211A52"/>
    <w:rsid w:val="002160FF"/>
    <w:rsid w:val="00217480"/>
    <w:rsid w:val="002177A4"/>
    <w:rsid w:val="00217B1E"/>
    <w:rsid w:val="00220E85"/>
    <w:rsid w:val="00222926"/>
    <w:rsid w:val="002232A8"/>
    <w:rsid w:val="002244C8"/>
    <w:rsid w:val="00225E73"/>
    <w:rsid w:val="00226C4B"/>
    <w:rsid w:val="00230437"/>
    <w:rsid w:val="002308E2"/>
    <w:rsid w:val="002360B5"/>
    <w:rsid w:val="002407DB"/>
    <w:rsid w:val="00241900"/>
    <w:rsid w:val="00242D09"/>
    <w:rsid w:val="00243BEC"/>
    <w:rsid w:val="002447F0"/>
    <w:rsid w:val="00245937"/>
    <w:rsid w:val="002462BF"/>
    <w:rsid w:val="002474FB"/>
    <w:rsid w:val="0024770D"/>
    <w:rsid w:val="00247C78"/>
    <w:rsid w:val="0025029C"/>
    <w:rsid w:val="00251332"/>
    <w:rsid w:val="00251B45"/>
    <w:rsid w:val="002528A7"/>
    <w:rsid w:val="00252944"/>
    <w:rsid w:val="00254050"/>
    <w:rsid w:val="00254C70"/>
    <w:rsid w:val="00255C38"/>
    <w:rsid w:val="0026358E"/>
    <w:rsid w:val="00264AD4"/>
    <w:rsid w:val="00267BF6"/>
    <w:rsid w:val="00270819"/>
    <w:rsid w:val="00272399"/>
    <w:rsid w:val="002727D3"/>
    <w:rsid w:val="0027550A"/>
    <w:rsid w:val="00276DA2"/>
    <w:rsid w:val="00277607"/>
    <w:rsid w:val="0028259B"/>
    <w:rsid w:val="00285EAB"/>
    <w:rsid w:val="00285EE7"/>
    <w:rsid w:val="00286280"/>
    <w:rsid w:val="00286B95"/>
    <w:rsid w:val="0028743C"/>
    <w:rsid w:val="00287B70"/>
    <w:rsid w:val="00291656"/>
    <w:rsid w:val="00294087"/>
    <w:rsid w:val="002946A8"/>
    <w:rsid w:val="00295A61"/>
    <w:rsid w:val="00295C7F"/>
    <w:rsid w:val="002961DD"/>
    <w:rsid w:val="002A0E6D"/>
    <w:rsid w:val="002C04B9"/>
    <w:rsid w:val="002C0801"/>
    <w:rsid w:val="002C24F2"/>
    <w:rsid w:val="002C6DED"/>
    <w:rsid w:val="002C736C"/>
    <w:rsid w:val="002D1989"/>
    <w:rsid w:val="002D3236"/>
    <w:rsid w:val="002D68CF"/>
    <w:rsid w:val="002D6ABC"/>
    <w:rsid w:val="002E0695"/>
    <w:rsid w:val="002E0698"/>
    <w:rsid w:val="002E0F2E"/>
    <w:rsid w:val="002E129C"/>
    <w:rsid w:val="002E2FD2"/>
    <w:rsid w:val="002E4622"/>
    <w:rsid w:val="002E5415"/>
    <w:rsid w:val="002E565E"/>
    <w:rsid w:val="002E5FB5"/>
    <w:rsid w:val="002F0E39"/>
    <w:rsid w:val="002F21BE"/>
    <w:rsid w:val="002F3E78"/>
    <w:rsid w:val="002F4482"/>
    <w:rsid w:val="002F5F82"/>
    <w:rsid w:val="002F6C64"/>
    <w:rsid w:val="002F6F07"/>
    <w:rsid w:val="002F72D3"/>
    <w:rsid w:val="00301285"/>
    <w:rsid w:val="0030356B"/>
    <w:rsid w:val="00306CC5"/>
    <w:rsid w:val="0030701F"/>
    <w:rsid w:val="003125A0"/>
    <w:rsid w:val="0031311F"/>
    <w:rsid w:val="00320EF1"/>
    <w:rsid w:val="003212BC"/>
    <w:rsid w:val="0032282A"/>
    <w:rsid w:val="0032678B"/>
    <w:rsid w:val="00327229"/>
    <w:rsid w:val="00330A0A"/>
    <w:rsid w:val="00331480"/>
    <w:rsid w:val="00335882"/>
    <w:rsid w:val="0033795C"/>
    <w:rsid w:val="00337F77"/>
    <w:rsid w:val="00342898"/>
    <w:rsid w:val="00342DCC"/>
    <w:rsid w:val="00344BDE"/>
    <w:rsid w:val="003451DD"/>
    <w:rsid w:val="00345DC4"/>
    <w:rsid w:val="00346121"/>
    <w:rsid w:val="0035246C"/>
    <w:rsid w:val="00355913"/>
    <w:rsid w:val="0036094D"/>
    <w:rsid w:val="003611F9"/>
    <w:rsid w:val="00365911"/>
    <w:rsid w:val="003729ED"/>
    <w:rsid w:val="00372ADB"/>
    <w:rsid w:val="00374AA1"/>
    <w:rsid w:val="003779EF"/>
    <w:rsid w:val="00383B03"/>
    <w:rsid w:val="0038427B"/>
    <w:rsid w:val="003842CD"/>
    <w:rsid w:val="00387959"/>
    <w:rsid w:val="00393D4C"/>
    <w:rsid w:val="003954E5"/>
    <w:rsid w:val="00395657"/>
    <w:rsid w:val="003A0F83"/>
    <w:rsid w:val="003A3A04"/>
    <w:rsid w:val="003A420A"/>
    <w:rsid w:val="003A4A3B"/>
    <w:rsid w:val="003A57FA"/>
    <w:rsid w:val="003A7450"/>
    <w:rsid w:val="003B1C56"/>
    <w:rsid w:val="003B2D5D"/>
    <w:rsid w:val="003B55DF"/>
    <w:rsid w:val="003B705C"/>
    <w:rsid w:val="003C0EAC"/>
    <w:rsid w:val="003C1322"/>
    <w:rsid w:val="003C6743"/>
    <w:rsid w:val="003C6B62"/>
    <w:rsid w:val="003D71A7"/>
    <w:rsid w:val="003E07A4"/>
    <w:rsid w:val="003E2F57"/>
    <w:rsid w:val="003E3C3F"/>
    <w:rsid w:val="003E4E60"/>
    <w:rsid w:val="003E5EAA"/>
    <w:rsid w:val="003F0B8E"/>
    <w:rsid w:val="003F1720"/>
    <w:rsid w:val="003F2DA8"/>
    <w:rsid w:val="003F59B6"/>
    <w:rsid w:val="003F6118"/>
    <w:rsid w:val="004017FB"/>
    <w:rsid w:val="004028E8"/>
    <w:rsid w:val="004042F3"/>
    <w:rsid w:val="0040461A"/>
    <w:rsid w:val="00405FA0"/>
    <w:rsid w:val="00406820"/>
    <w:rsid w:val="00407967"/>
    <w:rsid w:val="00410F3F"/>
    <w:rsid w:val="00410FD7"/>
    <w:rsid w:val="00412F41"/>
    <w:rsid w:val="004149BE"/>
    <w:rsid w:val="0042014D"/>
    <w:rsid w:val="00420B6A"/>
    <w:rsid w:val="0042251A"/>
    <w:rsid w:val="004241B2"/>
    <w:rsid w:val="004241FB"/>
    <w:rsid w:val="00425BEC"/>
    <w:rsid w:val="00427271"/>
    <w:rsid w:val="00430DF4"/>
    <w:rsid w:val="004318B7"/>
    <w:rsid w:val="00433C53"/>
    <w:rsid w:val="00434BD0"/>
    <w:rsid w:val="00436113"/>
    <w:rsid w:val="004362C5"/>
    <w:rsid w:val="00440BFD"/>
    <w:rsid w:val="004410EE"/>
    <w:rsid w:val="004429F3"/>
    <w:rsid w:val="00442CD4"/>
    <w:rsid w:val="00442E32"/>
    <w:rsid w:val="00442FA0"/>
    <w:rsid w:val="004432F8"/>
    <w:rsid w:val="00443805"/>
    <w:rsid w:val="00443C19"/>
    <w:rsid w:val="00445BE6"/>
    <w:rsid w:val="00446854"/>
    <w:rsid w:val="00450689"/>
    <w:rsid w:val="00453260"/>
    <w:rsid w:val="00455353"/>
    <w:rsid w:val="00461A61"/>
    <w:rsid w:val="00462564"/>
    <w:rsid w:val="004631C4"/>
    <w:rsid w:val="00463480"/>
    <w:rsid w:val="0046545E"/>
    <w:rsid w:val="00465BEB"/>
    <w:rsid w:val="004664D0"/>
    <w:rsid w:val="00473561"/>
    <w:rsid w:val="00473ACF"/>
    <w:rsid w:val="004775B7"/>
    <w:rsid w:val="00477795"/>
    <w:rsid w:val="00481BC8"/>
    <w:rsid w:val="00487B60"/>
    <w:rsid w:val="00490825"/>
    <w:rsid w:val="00493693"/>
    <w:rsid w:val="004A1934"/>
    <w:rsid w:val="004A3341"/>
    <w:rsid w:val="004A5C7A"/>
    <w:rsid w:val="004B0C8B"/>
    <w:rsid w:val="004B0DEB"/>
    <w:rsid w:val="004B3E33"/>
    <w:rsid w:val="004B418C"/>
    <w:rsid w:val="004B5792"/>
    <w:rsid w:val="004C1E07"/>
    <w:rsid w:val="004C20B3"/>
    <w:rsid w:val="004C2C92"/>
    <w:rsid w:val="004C6BDE"/>
    <w:rsid w:val="004D0EAB"/>
    <w:rsid w:val="004D36A7"/>
    <w:rsid w:val="004D3A9D"/>
    <w:rsid w:val="004D5721"/>
    <w:rsid w:val="004D7FFC"/>
    <w:rsid w:val="004E24DF"/>
    <w:rsid w:val="004E43D7"/>
    <w:rsid w:val="004E7745"/>
    <w:rsid w:val="004E7E96"/>
    <w:rsid w:val="004F62B5"/>
    <w:rsid w:val="004F73EF"/>
    <w:rsid w:val="00500B9A"/>
    <w:rsid w:val="00500FF0"/>
    <w:rsid w:val="005014D0"/>
    <w:rsid w:val="00504365"/>
    <w:rsid w:val="005073FD"/>
    <w:rsid w:val="00507642"/>
    <w:rsid w:val="00510F39"/>
    <w:rsid w:val="0051291B"/>
    <w:rsid w:val="00513A80"/>
    <w:rsid w:val="00513F9C"/>
    <w:rsid w:val="00516795"/>
    <w:rsid w:val="005206C6"/>
    <w:rsid w:val="0052510E"/>
    <w:rsid w:val="00525C66"/>
    <w:rsid w:val="005315E4"/>
    <w:rsid w:val="005328E6"/>
    <w:rsid w:val="00534877"/>
    <w:rsid w:val="00534A64"/>
    <w:rsid w:val="005378B8"/>
    <w:rsid w:val="005413CC"/>
    <w:rsid w:val="00543756"/>
    <w:rsid w:val="00545170"/>
    <w:rsid w:val="0054572C"/>
    <w:rsid w:val="0055019E"/>
    <w:rsid w:val="00552071"/>
    <w:rsid w:val="00555A7F"/>
    <w:rsid w:val="00557E09"/>
    <w:rsid w:val="005605EF"/>
    <w:rsid w:val="00560BCF"/>
    <w:rsid w:val="0056656D"/>
    <w:rsid w:val="005718E5"/>
    <w:rsid w:val="0057219F"/>
    <w:rsid w:val="00573912"/>
    <w:rsid w:val="005739D5"/>
    <w:rsid w:val="00574507"/>
    <w:rsid w:val="005745F6"/>
    <w:rsid w:val="00575B5A"/>
    <w:rsid w:val="00577A35"/>
    <w:rsid w:val="00577B41"/>
    <w:rsid w:val="00577D6F"/>
    <w:rsid w:val="00583FCA"/>
    <w:rsid w:val="00586353"/>
    <w:rsid w:val="005A2745"/>
    <w:rsid w:val="005A3A6E"/>
    <w:rsid w:val="005A72BD"/>
    <w:rsid w:val="005B024A"/>
    <w:rsid w:val="005B053F"/>
    <w:rsid w:val="005B14B6"/>
    <w:rsid w:val="005B2E6B"/>
    <w:rsid w:val="005B4DAC"/>
    <w:rsid w:val="005B4F78"/>
    <w:rsid w:val="005B6E9F"/>
    <w:rsid w:val="005C0931"/>
    <w:rsid w:val="005C1940"/>
    <w:rsid w:val="005C6926"/>
    <w:rsid w:val="005C7963"/>
    <w:rsid w:val="005D1619"/>
    <w:rsid w:val="005E02ED"/>
    <w:rsid w:val="005E5F11"/>
    <w:rsid w:val="005E63BD"/>
    <w:rsid w:val="005F1F0C"/>
    <w:rsid w:val="005F3350"/>
    <w:rsid w:val="005F3391"/>
    <w:rsid w:val="005F373A"/>
    <w:rsid w:val="005F45F2"/>
    <w:rsid w:val="005F4992"/>
    <w:rsid w:val="005F717F"/>
    <w:rsid w:val="00603676"/>
    <w:rsid w:val="00604D20"/>
    <w:rsid w:val="00604D82"/>
    <w:rsid w:val="0061133D"/>
    <w:rsid w:val="006210E6"/>
    <w:rsid w:val="00627306"/>
    <w:rsid w:val="0062765B"/>
    <w:rsid w:val="00633816"/>
    <w:rsid w:val="00637844"/>
    <w:rsid w:val="0064066F"/>
    <w:rsid w:val="00642C1D"/>
    <w:rsid w:val="006435F9"/>
    <w:rsid w:val="00644097"/>
    <w:rsid w:val="006441E3"/>
    <w:rsid w:val="0064501F"/>
    <w:rsid w:val="00646392"/>
    <w:rsid w:val="00651651"/>
    <w:rsid w:val="006524C0"/>
    <w:rsid w:val="006537C4"/>
    <w:rsid w:val="0065574B"/>
    <w:rsid w:val="0065643E"/>
    <w:rsid w:val="0065746F"/>
    <w:rsid w:val="0066088D"/>
    <w:rsid w:val="00662496"/>
    <w:rsid w:val="00663835"/>
    <w:rsid w:val="00665E49"/>
    <w:rsid w:val="00666127"/>
    <w:rsid w:val="0067296F"/>
    <w:rsid w:val="00675693"/>
    <w:rsid w:val="00681A6F"/>
    <w:rsid w:val="006823B6"/>
    <w:rsid w:val="00683598"/>
    <w:rsid w:val="00684C38"/>
    <w:rsid w:val="00685BB5"/>
    <w:rsid w:val="00687C17"/>
    <w:rsid w:val="006931F4"/>
    <w:rsid w:val="00693DEA"/>
    <w:rsid w:val="00694229"/>
    <w:rsid w:val="006943C9"/>
    <w:rsid w:val="00696852"/>
    <w:rsid w:val="006A3756"/>
    <w:rsid w:val="006A7437"/>
    <w:rsid w:val="006B11A0"/>
    <w:rsid w:val="006B53E3"/>
    <w:rsid w:val="006B55F3"/>
    <w:rsid w:val="006B6AA9"/>
    <w:rsid w:val="006B706F"/>
    <w:rsid w:val="006B75B7"/>
    <w:rsid w:val="006B79A4"/>
    <w:rsid w:val="006C4F71"/>
    <w:rsid w:val="006C507F"/>
    <w:rsid w:val="006C702D"/>
    <w:rsid w:val="006D304E"/>
    <w:rsid w:val="006D6014"/>
    <w:rsid w:val="006D6348"/>
    <w:rsid w:val="006D6F42"/>
    <w:rsid w:val="006E1AD3"/>
    <w:rsid w:val="006E2980"/>
    <w:rsid w:val="006E4113"/>
    <w:rsid w:val="006E7411"/>
    <w:rsid w:val="006F0E82"/>
    <w:rsid w:val="006F46D0"/>
    <w:rsid w:val="006F6164"/>
    <w:rsid w:val="007007AE"/>
    <w:rsid w:val="007037D1"/>
    <w:rsid w:val="00703C21"/>
    <w:rsid w:val="00704259"/>
    <w:rsid w:val="00705927"/>
    <w:rsid w:val="00706611"/>
    <w:rsid w:val="00710564"/>
    <w:rsid w:val="0071252C"/>
    <w:rsid w:val="00716CF3"/>
    <w:rsid w:val="007240B8"/>
    <w:rsid w:val="0072439E"/>
    <w:rsid w:val="00725BE5"/>
    <w:rsid w:val="00727872"/>
    <w:rsid w:val="007326FB"/>
    <w:rsid w:val="00734363"/>
    <w:rsid w:val="00735F7C"/>
    <w:rsid w:val="007414FF"/>
    <w:rsid w:val="0074338C"/>
    <w:rsid w:val="007477D7"/>
    <w:rsid w:val="007479CE"/>
    <w:rsid w:val="007511D5"/>
    <w:rsid w:val="007558C7"/>
    <w:rsid w:val="00757379"/>
    <w:rsid w:val="007579F2"/>
    <w:rsid w:val="00766115"/>
    <w:rsid w:val="007728FC"/>
    <w:rsid w:val="00773A9F"/>
    <w:rsid w:val="00773ECC"/>
    <w:rsid w:val="00780775"/>
    <w:rsid w:val="00780C13"/>
    <w:rsid w:val="00783133"/>
    <w:rsid w:val="0078323B"/>
    <w:rsid w:val="007855EC"/>
    <w:rsid w:val="007920A9"/>
    <w:rsid w:val="007939C2"/>
    <w:rsid w:val="00794696"/>
    <w:rsid w:val="007961AB"/>
    <w:rsid w:val="007A2517"/>
    <w:rsid w:val="007A6E81"/>
    <w:rsid w:val="007B1406"/>
    <w:rsid w:val="007B1A1E"/>
    <w:rsid w:val="007B30B0"/>
    <w:rsid w:val="007B447C"/>
    <w:rsid w:val="007B4926"/>
    <w:rsid w:val="007B5AA6"/>
    <w:rsid w:val="007B7391"/>
    <w:rsid w:val="007C0D97"/>
    <w:rsid w:val="007C18D7"/>
    <w:rsid w:val="007C73CD"/>
    <w:rsid w:val="007C7FA3"/>
    <w:rsid w:val="007D2BE0"/>
    <w:rsid w:val="007D2CFB"/>
    <w:rsid w:val="007D42E9"/>
    <w:rsid w:val="007D4F6A"/>
    <w:rsid w:val="007E0D67"/>
    <w:rsid w:val="007E3281"/>
    <w:rsid w:val="007E705D"/>
    <w:rsid w:val="007E73D8"/>
    <w:rsid w:val="007F291B"/>
    <w:rsid w:val="007F2D28"/>
    <w:rsid w:val="007F6E2B"/>
    <w:rsid w:val="007F74AE"/>
    <w:rsid w:val="0080126A"/>
    <w:rsid w:val="008023E4"/>
    <w:rsid w:val="008037AE"/>
    <w:rsid w:val="00803C77"/>
    <w:rsid w:val="00804023"/>
    <w:rsid w:val="00806C00"/>
    <w:rsid w:val="008150C0"/>
    <w:rsid w:val="008170D7"/>
    <w:rsid w:val="00817389"/>
    <w:rsid w:val="00817E14"/>
    <w:rsid w:val="00820157"/>
    <w:rsid w:val="0082176B"/>
    <w:rsid w:val="00823890"/>
    <w:rsid w:val="00824AFB"/>
    <w:rsid w:val="00826AE1"/>
    <w:rsid w:val="00833C3C"/>
    <w:rsid w:val="00835FD4"/>
    <w:rsid w:val="008401D7"/>
    <w:rsid w:val="00841633"/>
    <w:rsid w:val="0085157F"/>
    <w:rsid w:val="008526AB"/>
    <w:rsid w:val="00853D35"/>
    <w:rsid w:val="008542D6"/>
    <w:rsid w:val="00854B4B"/>
    <w:rsid w:val="008579F0"/>
    <w:rsid w:val="00861991"/>
    <w:rsid w:val="00861D31"/>
    <w:rsid w:val="00862F30"/>
    <w:rsid w:val="008707C3"/>
    <w:rsid w:val="00871193"/>
    <w:rsid w:val="0087487A"/>
    <w:rsid w:val="008756ED"/>
    <w:rsid w:val="00875CD0"/>
    <w:rsid w:val="00881241"/>
    <w:rsid w:val="008844BB"/>
    <w:rsid w:val="0089053E"/>
    <w:rsid w:val="00891423"/>
    <w:rsid w:val="00891691"/>
    <w:rsid w:val="008956C1"/>
    <w:rsid w:val="00896465"/>
    <w:rsid w:val="00896DF4"/>
    <w:rsid w:val="008A4735"/>
    <w:rsid w:val="008A59A1"/>
    <w:rsid w:val="008A7FAE"/>
    <w:rsid w:val="008B14FC"/>
    <w:rsid w:val="008B4452"/>
    <w:rsid w:val="008B489C"/>
    <w:rsid w:val="008B6743"/>
    <w:rsid w:val="008B708C"/>
    <w:rsid w:val="008C4CB9"/>
    <w:rsid w:val="008C7539"/>
    <w:rsid w:val="008C7BED"/>
    <w:rsid w:val="008D085C"/>
    <w:rsid w:val="008D0BD1"/>
    <w:rsid w:val="008D53EC"/>
    <w:rsid w:val="008D5E94"/>
    <w:rsid w:val="008D7328"/>
    <w:rsid w:val="008D7B2C"/>
    <w:rsid w:val="008E1B98"/>
    <w:rsid w:val="008E1E78"/>
    <w:rsid w:val="008E2758"/>
    <w:rsid w:val="008E2B05"/>
    <w:rsid w:val="008E2CDE"/>
    <w:rsid w:val="008F053F"/>
    <w:rsid w:val="008F2F88"/>
    <w:rsid w:val="00906836"/>
    <w:rsid w:val="00906C37"/>
    <w:rsid w:val="009142B8"/>
    <w:rsid w:val="00914600"/>
    <w:rsid w:val="00914C86"/>
    <w:rsid w:val="00922B5B"/>
    <w:rsid w:val="00930898"/>
    <w:rsid w:val="009323C1"/>
    <w:rsid w:val="00932E1C"/>
    <w:rsid w:val="00933679"/>
    <w:rsid w:val="009363D0"/>
    <w:rsid w:val="00937872"/>
    <w:rsid w:val="00937F14"/>
    <w:rsid w:val="009406A3"/>
    <w:rsid w:val="00942E6B"/>
    <w:rsid w:val="00946060"/>
    <w:rsid w:val="00952A38"/>
    <w:rsid w:val="0095357F"/>
    <w:rsid w:val="009552C9"/>
    <w:rsid w:val="00955C5A"/>
    <w:rsid w:val="00957B1B"/>
    <w:rsid w:val="00961EDD"/>
    <w:rsid w:val="00967A2A"/>
    <w:rsid w:val="009724AA"/>
    <w:rsid w:val="00972A0B"/>
    <w:rsid w:val="00973AF0"/>
    <w:rsid w:val="00974D4E"/>
    <w:rsid w:val="00981524"/>
    <w:rsid w:val="00983E58"/>
    <w:rsid w:val="0099162C"/>
    <w:rsid w:val="009937B2"/>
    <w:rsid w:val="00993ECA"/>
    <w:rsid w:val="009962C9"/>
    <w:rsid w:val="009A37EE"/>
    <w:rsid w:val="009A5F16"/>
    <w:rsid w:val="009B0690"/>
    <w:rsid w:val="009B11E2"/>
    <w:rsid w:val="009B15E2"/>
    <w:rsid w:val="009B1F21"/>
    <w:rsid w:val="009B266A"/>
    <w:rsid w:val="009B468E"/>
    <w:rsid w:val="009B485F"/>
    <w:rsid w:val="009B59BE"/>
    <w:rsid w:val="009B5B96"/>
    <w:rsid w:val="009B6658"/>
    <w:rsid w:val="009B6DB2"/>
    <w:rsid w:val="009B79AE"/>
    <w:rsid w:val="009C07CF"/>
    <w:rsid w:val="009C1369"/>
    <w:rsid w:val="009C2D88"/>
    <w:rsid w:val="009C3D8F"/>
    <w:rsid w:val="009C4B47"/>
    <w:rsid w:val="009C5A28"/>
    <w:rsid w:val="009C645F"/>
    <w:rsid w:val="009D1508"/>
    <w:rsid w:val="009D2052"/>
    <w:rsid w:val="009D346C"/>
    <w:rsid w:val="009D4CF0"/>
    <w:rsid w:val="009E08BB"/>
    <w:rsid w:val="009E17C4"/>
    <w:rsid w:val="009E53F8"/>
    <w:rsid w:val="009F054B"/>
    <w:rsid w:val="009F0ACC"/>
    <w:rsid w:val="009F13DF"/>
    <w:rsid w:val="009F1DE3"/>
    <w:rsid w:val="009F421B"/>
    <w:rsid w:val="009F5620"/>
    <w:rsid w:val="009F59AE"/>
    <w:rsid w:val="009F6BC6"/>
    <w:rsid w:val="00A01F88"/>
    <w:rsid w:val="00A07F10"/>
    <w:rsid w:val="00A07F83"/>
    <w:rsid w:val="00A107D6"/>
    <w:rsid w:val="00A1100E"/>
    <w:rsid w:val="00A13D65"/>
    <w:rsid w:val="00A201BD"/>
    <w:rsid w:val="00A209E9"/>
    <w:rsid w:val="00A20B72"/>
    <w:rsid w:val="00A2177E"/>
    <w:rsid w:val="00A26876"/>
    <w:rsid w:val="00A3558C"/>
    <w:rsid w:val="00A42760"/>
    <w:rsid w:val="00A454CB"/>
    <w:rsid w:val="00A50535"/>
    <w:rsid w:val="00A5383A"/>
    <w:rsid w:val="00A53EEC"/>
    <w:rsid w:val="00A55796"/>
    <w:rsid w:val="00A5675F"/>
    <w:rsid w:val="00A56A68"/>
    <w:rsid w:val="00A56F57"/>
    <w:rsid w:val="00A60949"/>
    <w:rsid w:val="00A60DFB"/>
    <w:rsid w:val="00A75097"/>
    <w:rsid w:val="00A77CEF"/>
    <w:rsid w:val="00A8134B"/>
    <w:rsid w:val="00A8141E"/>
    <w:rsid w:val="00A83553"/>
    <w:rsid w:val="00A83E71"/>
    <w:rsid w:val="00A8761F"/>
    <w:rsid w:val="00A87CD8"/>
    <w:rsid w:val="00A909AB"/>
    <w:rsid w:val="00A90C84"/>
    <w:rsid w:val="00A93FA7"/>
    <w:rsid w:val="00A96FF6"/>
    <w:rsid w:val="00A9754A"/>
    <w:rsid w:val="00A97C1E"/>
    <w:rsid w:val="00AA27FE"/>
    <w:rsid w:val="00AA297D"/>
    <w:rsid w:val="00AA6AFD"/>
    <w:rsid w:val="00AA739B"/>
    <w:rsid w:val="00AB1231"/>
    <w:rsid w:val="00AB12C5"/>
    <w:rsid w:val="00AB1D47"/>
    <w:rsid w:val="00AB51B5"/>
    <w:rsid w:val="00AB5224"/>
    <w:rsid w:val="00AB67D1"/>
    <w:rsid w:val="00AC12E4"/>
    <w:rsid w:val="00AC77E6"/>
    <w:rsid w:val="00AD1585"/>
    <w:rsid w:val="00AD184C"/>
    <w:rsid w:val="00AD19C8"/>
    <w:rsid w:val="00AD3EF1"/>
    <w:rsid w:val="00AD4EA9"/>
    <w:rsid w:val="00AD57B0"/>
    <w:rsid w:val="00AE2F1B"/>
    <w:rsid w:val="00AE3D73"/>
    <w:rsid w:val="00AE52D6"/>
    <w:rsid w:val="00AE7506"/>
    <w:rsid w:val="00AE7810"/>
    <w:rsid w:val="00AE7B7D"/>
    <w:rsid w:val="00AE7D4A"/>
    <w:rsid w:val="00AF0860"/>
    <w:rsid w:val="00AF1151"/>
    <w:rsid w:val="00AF570F"/>
    <w:rsid w:val="00AF6DDB"/>
    <w:rsid w:val="00B01104"/>
    <w:rsid w:val="00B05ADD"/>
    <w:rsid w:val="00B109C9"/>
    <w:rsid w:val="00B10D23"/>
    <w:rsid w:val="00B13B3E"/>
    <w:rsid w:val="00B1529C"/>
    <w:rsid w:val="00B1552F"/>
    <w:rsid w:val="00B21A99"/>
    <w:rsid w:val="00B26669"/>
    <w:rsid w:val="00B27ABB"/>
    <w:rsid w:val="00B404DA"/>
    <w:rsid w:val="00B44CA0"/>
    <w:rsid w:val="00B461D8"/>
    <w:rsid w:val="00B5155A"/>
    <w:rsid w:val="00B51A67"/>
    <w:rsid w:val="00B54986"/>
    <w:rsid w:val="00B57EA0"/>
    <w:rsid w:val="00B6222B"/>
    <w:rsid w:val="00B6367A"/>
    <w:rsid w:val="00B65515"/>
    <w:rsid w:val="00B67A05"/>
    <w:rsid w:val="00B709A9"/>
    <w:rsid w:val="00B72C7C"/>
    <w:rsid w:val="00B801C8"/>
    <w:rsid w:val="00B84804"/>
    <w:rsid w:val="00B85126"/>
    <w:rsid w:val="00B85138"/>
    <w:rsid w:val="00B868A8"/>
    <w:rsid w:val="00B87113"/>
    <w:rsid w:val="00B92E5C"/>
    <w:rsid w:val="00B93F12"/>
    <w:rsid w:val="00B94326"/>
    <w:rsid w:val="00BA0BBE"/>
    <w:rsid w:val="00BA19E8"/>
    <w:rsid w:val="00BA1B78"/>
    <w:rsid w:val="00BA3BE7"/>
    <w:rsid w:val="00BA610F"/>
    <w:rsid w:val="00BB1EE2"/>
    <w:rsid w:val="00BB1F7E"/>
    <w:rsid w:val="00BB576F"/>
    <w:rsid w:val="00BC4FCF"/>
    <w:rsid w:val="00BC5D05"/>
    <w:rsid w:val="00BC5EEC"/>
    <w:rsid w:val="00BC6483"/>
    <w:rsid w:val="00BC7ACC"/>
    <w:rsid w:val="00BD0A4B"/>
    <w:rsid w:val="00BD424C"/>
    <w:rsid w:val="00BD5D47"/>
    <w:rsid w:val="00BD661A"/>
    <w:rsid w:val="00BE05D8"/>
    <w:rsid w:val="00BE094A"/>
    <w:rsid w:val="00BE27A0"/>
    <w:rsid w:val="00BE3DAF"/>
    <w:rsid w:val="00BE40B4"/>
    <w:rsid w:val="00BE42B0"/>
    <w:rsid w:val="00BE55A8"/>
    <w:rsid w:val="00BE57B2"/>
    <w:rsid w:val="00BE7DCE"/>
    <w:rsid w:val="00BF1511"/>
    <w:rsid w:val="00BF207E"/>
    <w:rsid w:val="00BF278B"/>
    <w:rsid w:val="00BF688A"/>
    <w:rsid w:val="00C0039E"/>
    <w:rsid w:val="00C00B2B"/>
    <w:rsid w:val="00C026DD"/>
    <w:rsid w:val="00C045B9"/>
    <w:rsid w:val="00C05D7F"/>
    <w:rsid w:val="00C07632"/>
    <w:rsid w:val="00C10DDE"/>
    <w:rsid w:val="00C11E06"/>
    <w:rsid w:val="00C13110"/>
    <w:rsid w:val="00C140CA"/>
    <w:rsid w:val="00C148CA"/>
    <w:rsid w:val="00C14FE0"/>
    <w:rsid w:val="00C1505A"/>
    <w:rsid w:val="00C172A8"/>
    <w:rsid w:val="00C21F2B"/>
    <w:rsid w:val="00C22166"/>
    <w:rsid w:val="00C23D77"/>
    <w:rsid w:val="00C30567"/>
    <w:rsid w:val="00C30778"/>
    <w:rsid w:val="00C3088E"/>
    <w:rsid w:val="00C32C70"/>
    <w:rsid w:val="00C34113"/>
    <w:rsid w:val="00C34625"/>
    <w:rsid w:val="00C34DC7"/>
    <w:rsid w:val="00C37892"/>
    <w:rsid w:val="00C42294"/>
    <w:rsid w:val="00C4321E"/>
    <w:rsid w:val="00C462D2"/>
    <w:rsid w:val="00C47667"/>
    <w:rsid w:val="00C5035B"/>
    <w:rsid w:val="00C5121C"/>
    <w:rsid w:val="00C54242"/>
    <w:rsid w:val="00C54F34"/>
    <w:rsid w:val="00C601DD"/>
    <w:rsid w:val="00C62AB9"/>
    <w:rsid w:val="00C64EE1"/>
    <w:rsid w:val="00C65B80"/>
    <w:rsid w:val="00C66DF4"/>
    <w:rsid w:val="00C66FF1"/>
    <w:rsid w:val="00C70244"/>
    <w:rsid w:val="00C708E0"/>
    <w:rsid w:val="00C70F72"/>
    <w:rsid w:val="00C71D4D"/>
    <w:rsid w:val="00C71EB8"/>
    <w:rsid w:val="00C81586"/>
    <w:rsid w:val="00C82999"/>
    <w:rsid w:val="00C842AD"/>
    <w:rsid w:val="00C863A2"/>
    <w:rsid w:val="00C86FAB"/>
    <w:rsid w:val="00C92C8C"/>
    <w:rsid w:val="00C93225"/>
    <w:rsid w:val="00C94404"/>
    <w:rsid w:val="00C9610A"/>
    <w:rsid w:val="00C9697B"/>
    <w:rsid w:val="00C9751A"/>
    <w:rsid w:val="00CA085A"/>
    <w:rsid w:val="00CA1753"/>
    <w:rsid w:val="00CA28AF"/>
    <w:rsid w:val="00CA3231"/>
    <w:rsid w:val="00CA50B4"/>
    <w:rsid w:val="00CA67B3"/>
    <w:rsid w:val="00CA70D3"/>
    <w:rsid w:val="00CB0D36"/>
    <w:rsid w:val="00CB219D"/>
    <w:rsid w:val="00CB2CB7"/>
    <w:rsid w:val="00CB3D58"/>
    <w:rsid w:val="00CB464C"/>
    <w:rsid w:val="00CB4F0B"/>
    <w:rsid w:val="00CC00B9"/>
    <w:rsid w:val="00CC4C5D"/>
    <w:rsid w:val="00CD000D"/>
    <w:rsid w:val="00CD0984"/>
    <w:rsid w:val="00CD3C38"/>
    <w:rsid w:val="00CD6F7D"/>
    <w:rsid w:val="00CD75E6"/>
    <w:rsid w:val="00CE1C5C"/>
    <w:rsid w:val="00CE4F77"/>
    <w:rsid w:val="00CF16D0"/>
    <w:rsid w:val="00CF2133"/>
    <w:rsid w:val="00CF512B"/>
    <w:rsid w:val="00CF73A8"/>
    <w:rsid w:val="00D0316F"/>
    <w:rsid w:val="00D03A48"/>
    <w:rsid w:val="00D04E0D"/>
    <w:rsid w:val="00D06C57"/>
    <w:rsid w:val="00D14C92"/>
    <w:rsid w:val="00D15BB0"/>
    <w:rsid w:val="00D1608C"/>
    <w:rsid w:val="00D16753"/>
    <w:rsid w:val="00D2160F"/>
    <w:rsid w:val="00D216F6"/>
    <w:rsid w:val="00D21925"/>
    <w:rsid w:val="00D229B0"/>
    <w:rsid w:val="00D24F28"/>
    <w:rsid w:val="00D26945"/>
    <w:rsid w:val="00D36652"/>
    <w:rsid w:val="00D40E17"/>
    <w:rsid w:val="00D4222C"/>
    <w:rsid w:val="00D44218"/>
    <w:rsid w:val="00D47A19"/>
    <w:rsid w:val="00D51177"/>
    <w:rsid w:val="00D51ABC"/>
    <w:rsid w:val="00D51B8F"/>
    <w:rsid w:val="00D5239E"/>
    <w:rsid w:val="00D527A4"/>
    <w:rsid w:val="00D53D2E"/>
    <w:rsid w:val="00D53DA1"/>
    <w:rsid w:val="00D55CCF"/>
    <w:rsid w:val="00D56484"/>
    <w:rsid w:val="00D60973"/>
    <w:rsid w:val="00D64022"/>
    <w:rsid w:val="00D700BA"/>
    <w:rsid w:val="00D7053F"/>
    <w:rsid w:val="00D718EB"/>
    <w:rsid w:val="00D72BCF"/>
    <w:rsid w:val="00D730D4"/>
    <w:rsid w:val="00D73CE9"/>
    <w:rsid w:val="00D74E36"/>
    <w:rsid w:val="00D74EF8"/>
    <w:rsid w:val="00D75CEC"/>
    <w:rsid w:val="00D80FE8"/>
    <w:rsid w:val="00D811B7"/>
    <w:rsid w:val="00D83C7C"/>
    <w:rsid w:val="00D841DC"/>
    <w:rsid w:val="00D8544E"/>
    <w:rsid w:val="00D85AF7"/>
    <w:rsid w:val="00D85D6D"/>
    <w:rsid w:val="00D92712"/>
    <w:rsid w:val="00D9549A"/>
    <w:rsid w:val="00D96F91"/>
    <w:rsid w:val="00DA33EC"/>
    <w:rsid w:val="00DA3525"/>
    <w:rsid w:val="00DA39AB"/>
    <w:rsid w:val="00DA40A3"/>
    <w:rsid w:val="00DA43D7"/>
    <w:rsid w:val="00DA69B6"/>
    <w:rsid w:val="00DB314E"/>
    <w:rsid w:val="00DB5699"/>
    <w:rsid w:val="00DB6B87"/>
    <w:rsid w:val="00DB777F"/>
    <w:rsid w:val="00DC2882"/>
    <w:rsid w:val="00DC3D64"/>
    <w:rsid w:val="00DC45F7"/>
    <w:rsid w:val="00DC5AD8"/>
    <w:rsid w:val="00DC743C"/>
    <w:rsid w:val="00DD2AD1"/>
    <w:rsid w:val="00DD3BEA"/>
    <w:rsid w:val="00DD55DF"/>
    <w:rsid w:val="00DD6CA7"/>
    <w:rsid w:val="00DD6F05"/>
    <w:rsid w:val="00DE3368"/>
    <w:rsid w:val="00DF00BA"/>
    <w:rsid w:val="00DF01A5"/>
    <w:rsid w:val="00DF2B69"/>
    <w:rsid w:val="00DF5205"/>
    <w:rsid w:val="00DF6924"/>
    <w:rsid w:val="00DF69C1"/>
    <w:rsid w:val="00E01B18"/>
    <w:rsid w:val="00E01F95"/>
    <w:rsid w:val="00E039F6"/>
    <w:rsid w:val="00E040B4"/>
    <w:rsid w:val="00E045B7"/>
    <w:rsid w:val="00E13DD5"/>
    <w:rsid w:val="00E1476C"/>
    <w:rsid w:val="00E15EE9"/>
    <w:rsid w:val="00E22B8F"/>
    <w:rsid w:val="00E24C4E"/>
    <w:rsid w:val="00E26DB6"/>
    <w:rsid w:val="00E33D89"/>
    <w:rsid w:val="00E340D3"/>
    <w:rsid w:val="00E34379"/>
    <w:rsid w:val="00E353C4"/>
    <w:rsid w:val="00E35434"/>
    <w:rsid w:val="00E37643"/>
    <w:rsid w:val="00E45FB0"/>
    <w:rsid w:val="00E46EE7"/>
    <w:rsid w:val="00E50CA2"/>
    <w:rsid w:val="00E51848"/>
    <w:rsid w:val="00E525A0"/>
    <w:rsid w:val="00E52AC5"/>
    <w:rsid w:val="00E538F1"/>
    <w:rsid w:val="00E54E4F"/>
    <w:rsid w:val="00E6027A"/>
    <w:rsid w:val="00E62D63"/>
    <w:rsid w:val="00E64919"/>
    <w:rsid w:val="00E657E3"/>
    <w:rsid w:val="00E65DC0"/>
    <w:rsid w:val="00E7132C"/>
    <w:rsid w:val="00E71695"/>
    <w:rsid w:val="00E73D87"/>
    <w:rsid w:val="00E806B5"/>
    <w:rsid w:val="00E81E39"/>
    <w:rsid w:val="00E83114"/>
    <w:rsid w:val="00E8441D"/>
    <w:rsid w:val="00E84DF2"/>
    <w:rsid w:val="00E85691"/>
    <w:rsid w:val="00E86218"/>
    <w:rsid w:val="00E873CD"/>
    <w:rsid w:val="00E90B2F"/>
    <w:rsid w:val="00E91325"/>
    <w:rsid w:val="00E915DF"/>
    <w:rsid w:val="00E9279E"/>
    <w:rsid w:val="00E932FB"/>
    <w:rsid w:val="00EA129D"/>
    <w:rsid w:val="00EA170E"/>
    <w:rsid w:val="00EA1862"/>
    <w:rsid w:val="00EA400A"/>
    <w:rsid w:val="00EA5236"/>
    <w:rsid w:val="00EA7CBE"/>
    <w:rsid w:val="00EB089D"/>
    <w:rsid w:val="00EB0FD2"/>
    <w:rsid w:val="00EB4F76"/>
    <w:rsid w:val="00EB6C11"/>
    <w:rsid w:val="00EC0CDE"/>
    <w:rsid w:val="00EC1EE7"/>
    <w:rsid w:val="00EC5B79"/>
    <w:rsid w:val="00EC6686"/>
    <w:rsid w:val="00EC6AD1"/>
    <w:rsid w:val="00ED0F58"/>
    <w:rsid w:val="00ED1DB2"/>
    <w:rsid w:val="00ED78F0"/>
    <w:rsid w:val="00ED7FCA"/>
    <w:rsid w:val="00EE5A1D"/>
    <w:rsid w:val="00EE7156"/>
    <w:rsid w:val="00EF1064"/>
    <w:rsid w:val="00EF505F"/>
    <w:rsid w:val="00EF5E24"/>
    <w:rsid w:val="00EF5F40"/>
    <w:rsid w:val="00EF7400"/>
    <w:rsid w:val="00F04413"/>
    <w:rsid w:val="00F0556D"/>
    <w:rsid w:val="00F17BF6"/>
    <w:rsid w:val="00F21DF3"/>
    <w:rsid w:val="00F249F9"/>
    <w:rsid w:val="00F25749"/>
    <w:rsid w:val="00F26B6F"/>
    <w:rsid w:val="00F27046"/>
    <w:rsid w:val="00F304C5"/>
    <w:rsid w:val="00F32553"/>
    <w:rsid w:val="00F32714"/>
    <w:rsid w:val="00F33CB9"/>
    <w:rsid w:val="00F43C92"/>
    <w:rsid w:val="00F51547"/>
    <w:rsid w:val="00F53267"/>
    <w:rsid w:val="00F54837"/>
    <w:rsid w:val="00F55F8D"/>
    <w:rsid w:val="00F563C8"/>
    <w:rsid w:val="00F62EEC"/>
    <w:rsid w:val="00F67801"/>
    <w:rsid w:val="00F7004A"/>
    <w:rsid w:val="00F80BE3"/>
    <w:rsid w:val="00F86C5A"/>
    <w:rsid w:val="00F86FB3"/>
    <w:rsid w:val="00F872AB"/>
    <w:rsid w:val="00F8739D"/>
    <w:rsid w:val="00F87AF8"/>
    <w:rsid w:val="00F908AB"/>
    <w:rsid w:val="00F97F2F"/>
    <w:rsid w:val="00FA306E"/>
    <w:rsid w:val="00FA3DC7"/>
    <w:rsid w:val="00FA3F49"/>
    <w:rsid w:val="00FA71F7"/>
    <w:rsid w:val="00FB16EF"/>
    <w:rsid w:val="00FB2935"/>
    <w:rsid w:val="00FB36B7"/>
    <w:rsid w:val="00FB4E41"/>
    <w:rsid w:val="00FB5577"/>
    <w:rsid w:val="00FC2383"/>
    <w:rsid w:val="00FC3040"/>
    <w:rsid w:val="00FC633C"/>
    <w:rsid w:val="00FC719E"/>
    <w:rsid w:val="00FD14AC"/>
    <w:rsid w:val="00FD1B26"/>
    <w:rsid w:val="00FD1D56"/>
    <w:rsid w:val="00FD2012"/>
    <w:rsid w:val="00FD432A"/>
    <w:rsid w:val="00FD553B"/>
    <w:rsid w:val="00FD55EC"/>
    <w:rsid w:val="00FD753A"/>
    <w:rsid w:val="00FD7CEB"/>
    <w:rsid w:val="00FE0059"/>
    <w:rsid w:val="00FE116E"/>
    <w:rsid w:val="00FE6638"/>
    <w:rsid w:val="00FE6BCC"/>
    <w:rsid w:val="00FF185B"/>
    <w:rsid w:val="00FF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3D9AE"/>
  <w15:docId w15:val="{CE306C7C-24C6-483E-B7C0-F927AE18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CD"/>
  </w:style>
  <w:style w:type="paragraph" w:styleId="Heading3">
    <w:name w:val="heading 3"/>
    <w:basedOn w:val="Normal"/>
    <w:next w:val="BodyText"/>
    <w:link w:val="Heading3Char"/>
    <w:qFormat/>
    <w:rsid w:val="00DF00BA"/>
    <w:pPr>
      <w:keepNext/>
      <w:spacing w:before="100" w:after="200" w:line="240" w:lineRule="auto"/>
      <w:outlineLvl w:val="2"/>
    </w:pPr>
    <w:rPr>
      <w:rFonts w:ascii="Helvetica" w:eastAsia="Times New Roman" w:hAnsi="Helvetic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B6B8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B6B87"/>
    <w:rPr>
      <w:rFonts w:ascii="Calibri" w:hAnsi="Calibri"/>
      <w:noProof/>
    </w:rPr>
  </w:style>
  <w:style w:type="paragraph" w:customStyle="1" w:styleId="EndNoteBibliography">
    <w:name w:val="EndNote Bibliography"/>
    <w:basedOn w:val="Normal"/>
    <w:link w:val="EndNoteBibliographyChar"/>
    <w:rsid w:val="00DB6B8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B6B87"/>
    <w:rPr>
      <w:rFonts w:ascii="Calibri" w:hAnsi="Calibri"/>
      <w:noProof/>
    </w:rPr>
  </w:style>
  <w:style w:type="character" w:customStyle="1" w:styleId="apple-style-span">
    <w:name w:val="apple-style-span"/>
    <w:basedOn w:val="DefaultParagraphFont"/>
    <w:rsid w:val="00A90C84"/>
  </w:style>
  <w:style w:type="paragraph" w:styleId="Header">
    <w:name w:val="header"/>
    <w:basedOn w:val="Normal"/>
    <w:link w:val="HeaderChar"/>
    <w:uiPriority w:val="99"/>
    <w:unhideWhenUsed/>
    <w:rsid w:val="00B5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67"/>
  </w:style>
  <w:style w:type="paragraph" w:styleId="Footer">
    <w:name w:val="footer"/>
    <w:basedOn w:val="Normal"/>
    <w:link w:val="FooterChar"/>
    <w:uiPriority w:val="99"/>
    <w:unhideWhenUsed/>
    <w:rsid w:val="00B5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67"/>
  </w:style>
  <w:style w:type="character" w:customStyle="1" w:styleId="Heading3Char">
    <w:name w:val="Heading 3 Char"/>
    <w:basedOn w:val="DefaultParagraphFont"/>
    <w:link w:val="Heading3"/>
    <w:rsid w:val="00DF00BA"/>
    <w:rPr>
      <w:rFonts w:ascii="Helvetica" w:eastAsia="Times New Roman" w:hAnsi="Helvetica" w:cs="Times New Roman"/>
      <w:b/>
      <w:sz w:val="26"/>
      <w:szCs w:val="20"/>
    </w:rPr>
  </w:style>
  <w:style w:type="paragraph" w:styleId="BodyText">
    <w:name w:val="Body Text"/>
    <w:basedOn w:val="Normal"/>
    <w:link w:val="BodyTextChar"/>
    <w:semiHidden/>
    <w:rsid w:val="00DF00BA"/>
    <w:pPr>
      <w:spacing w:after="0" w:line="240" w:lineRule="auto"/>
      <w:ind w:firstLine="360"/>
    </w:pPr>
    <w:rPr>
      <w:rFonts w:ascii="Times" w:eastAsia="Times New Roman" w:hAnsi="Times" w:cs="Times New Roman"/>
      <w:szCs w:val="20"/>
    </w:rPr>
  </w:style>
  <w:style w:type="character" w:customStyle="1" w:styleId="BodyTextChar">
    <w:name w:val="Body Text Char"/>
    <w:basedOn w:val="DefaultParagraphFont"/>
    <w:link w:val="BodyText"/>
    <w:semiHidden/>
    <w:rsid w:val="00DF00BA"/>
    <w:rPr>
      <w:rFonts w:ascii="Times" w:eastAsia="Times New Roman" w:hAnsi="Times" w:cs="Times New Roman"/>
      <w:szCs w:val="20"/>
    </w:rPr>
  </w:style>
  <w:style w:type="character" w:styleId="Hyperlink">
    <w:name w:val="Hyperlink"/>
    <w:basedOn w:val="DefaultParagraphFont"/>
    <w:uiPriority w:val="99"/>
    <w:unhideWhenUsed/>
    <w:rsid w:val="00FC2383"/>
    <w:rPr>
      <w:color w:val="0563C1" w:themeColor="hyperlink"/>
      <w:u w:val="single"/>
    </w:rPr>
  </w:style>
  <w:style w:type="paragraph" w:styleId="BalloonText">
    <w:name w:val="Balloon Text"/>
    <w:basedOn w:val="Normal"/>
    <w:link w:val="BalloonTextChar"/>
    <w:uiPriority w:val="99"/>
    <w:semiHidden/>
    <w:unhideWhenUsed/>
    <w:rsid w:val="006B79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9A4"/>
    <w:rPr>
      <w:rFonts w:ascii="Lucida Grande" w:hAnsi="Lucida Grande" w:cs="Lucida Grande"/>
      <w:sz w:val="18"/>
      <w:szCs w:val="18"/>
    </w:rPr>
  </w:style>
  <w:style w:type="paragraph" w:styleId="ListParagraph">
    <w:name w:val="List Paragraph"/>
    <w:basedOn w:val="Normal"/>
    <w:qFormat/>
    <w:rsid w:val="008F2F88"/>
    <w:pPr>
      <w:spacing w:after="0" w:line="240" w:lineRule="auto"/>
      <w:ind w:left="720"/>
      <w:contextualSpacing/>
    </w:pPr>
    <w:rPr>
      <w:rFonts w:ascii="Times" w:eastAsia="Times New Roman" w:hAnsi="Times" w:cs="Times New Roman"/>
      <w:szCs w:val="20"/>
    </w:rPr>
  </w:style>
  <w:style w:type="character" w:styleId="CommentReference">
    <w:name w:val="annotation reference"/>
    <w:basedOn w:val="DefaultParagraphFont"/>
    <w:uiPriority w:val="99"/>
    <w:semiHidden/>
    <w:unhideWhenUsed/>
    <w:rsid w:val="00285EAB"/>
    <w:rPr>
      <w:sz w:val="18"/>
      <w:szCs w:val="18"/>
    </w:rPr>
  </w:style>
  <w:style w:type="paragraph" w:styleId="CommentText">
    <w:name w:val="annotation text"/>
    <w:basedOn w:val="Normal"/>
    <w:link w:val="CommentTextChar"/>
    <w:uiPriority w:val="99"/>
    <w:semiHidden/>
    <w:unhideWhenUsed/>
    <w:rsid w:val="00285EAB"/>
    <w:pPr>
      <w:spacing w:line="240" w:lineRule="auto"/>
    </w:pPr>
    <w:rPr>
      <w:sz w:val="24"/>
      <w:szCs w:val="24"/>
    </w:rPr>
  </w:style>
  <w:style w:type="character" w:customStyle="1" w:styleId="CommentTextChar">
    <w:name w:val="Comment Text Char"/>
    <w:basedOn w:val="DefaultParagraphFont"/>
    <w:link w:val="CommentText"/>
    <w:uiPriority w:val="99"/>
    <w:semiHidden/>
    <w:rsid w:val="00285EAB"/>
    <w:rPr>
      <w:sz w:val="24"/>
      <w:szCs w:val="24"/>
    </w:rPr>
  </w:style>
  <w:style w:type="paragraph" w:styleId="CommentSubject">
    <w:name w:val="annotation subject"/>
    <w:basedOn w:val="CommentText"/>
    <w:next w:val="CommentText"/>
    <w:link w:val="CommentSubjectChar"/>
    <w:uiPriority w:val="99"/>
    <w:semiHidden/>
    <w:unhideWhenUsed/>
    <w:rsid w:val="00285EAB"/>
    <w:rPr>
      <w:b/>
      <w:bCs/>
      <w:sz w:val="20"/>
      <w:szCs w:val="20"/>
    </w:rPr>
  </w:style>
  <w:style w:type="character" w:customStyle="1" w:styleId="CommentSubjectChar">
    <w:name w:val="Comment Subject Char"/>
    <w:basedOn w:val="CommentTextChar"/>
    <w:link w:val="CommentSubject"/>
    <w:uiPriority w:val="99"/>
    <w:semiHidden/>
    <w:rsid w:val="00285EAB"/>
    <w:rPr>
      <w:b/>
      <w:bCs/>
      <w:sz w:val="20"/>
      <w:szCs w:val="20"/>
    </w:rPr>
  </w:style>
  <w:style w:type="character" w:customStyle="1" w:styleId="addr-line">
    <w:name w:val="addr-line"/>
    <w:basedOn w:val="DefaultParagraphFont"/>
    <w:rsid w:val="00973AF0"/>
    <w:rPr>
      <w:rFonts w:cs="Times New Roman"/>
    </w:rPr>
  </w:style>
  <w:style w:type="character" w:customStyle="1" w:styleId="tgc">
    <w:name w:val="_tgc"/>
    <w:basedOn w:val="DefaultParagraphFont"/>
    <w:rsid w:val="00160DA8"/>
  </w:style>
  <w:style w:type="character" w:styleId="Emphasis">
    <w:name w:val="Emphasis"/>
    <w:basedOn w:val="DefaultParagraphFont"/>
    <w:uiPriority w:val="20"/>
    <w:qFormat/>
    <w:rsid w:val="00160DA8"/>
    <w:rPr>
      <w:b/>
      <w:bCs/>
      <w:i w:val="0"/>
      <w:iCs w:val="0"/>
    </w:rPr>
  </w:style>
  <w:style w:type="character" w:customStyle="1" w:styleId="st1">
    <w:name w:val="st1"/>
    <w:basedOn w:val="DefaultParagraphFont"/>
    <w:rsid w:val="00160DA8"/>
  </w:style>
  <w:style w:type="paragraph" w:styleId="PlainText">
    <w:name w:val="Plain Text"/>
    <w:basedOn w:val="Normal"/>
    <w:link w:val="PlainTextChar"/>
    <w:uiPriority w:val="99"/>
    <w:unhideWhenUsed/>
    <w:rsid w:val="008D7B2C"/>
    <w:pPr>
      <w:spacing w:after="0" w:line="240" w:lineRule="auto"/>
    </w:pPr>
    <w:rPr>
      <w:rFonts w:ascii="Khmer UI" w:hAnsi="Khmer UI" w:cs="Consolas"/>
      <w:sz w:val="24"/>
      <w:szCs w:val="21"/>
    </w:rPr>
  </w:style>
  <w:style w:type="character" w:customStyle="1" w:styleId="PlainTextChar">
    <w:name w:val="Plain Text Char"/>
    <w:basedOn w:val="DefaultParagraphFont"/>
    <w:link w:val="PlainText"/>
    <w:uiPriority w:val="99"/>
    <w:rsid w:val="008D7B2C"/>
    <w:rPr>
      <w:rFonts w:ascii="Khmer UI" w:hAnsi="Khmer UI" w:cs="Consolas"/>
      <w:sz w:val="24"/>
      <w:szCs w:val="21"/>
    </w:rPr>
  </w:style>
  <w:style w:type="character" w:customStyle="1" w:styleId="ej-keyword-highlight">
    <w:name w:val="ej-keyword-highlight"/>
    <w:basedOn w:val="DefaultParagraphFont"/>
    <w:rsid w:val="00DF5205"/>
  </w:style>
  <w:style w:type="paragraph" w:styleId="HTMLPreformatted">
    <w:name w:val="HTML Preformatted"/>
    <w:basedOn w:val="Normal"/>
    <w:link w:val="HTMLPreformattedChar"/>
    <w:uiPriority w:val="99"/>
    <w:semiHidden/>
    <w:unhideWhenUsed/>
    <w:rsid w:val="00891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1691"/>
    <w:rPr>
      <w:rFonts w:ascii="Courier New" w:hAnsi="Courier New" w:cs="Courier New"/>
      <w:sz w:val="20"/>
      <w:szCs w:val="20"/>
    </w:rPr>
  </w:style>
  <w:style w:type="paragraph" w:styleId="Revision">
    <w:name w:val="Revision"/>
    <w:hidden/>
    <w:uiPriority w:val="99"/>
    <w:semiHidden/>
    <w:rsid w:val="009F13DF"/>
    <w:pPr>
      <w:spacing w:after="0" w:line="240" w:lineRule="auto"/>
    </w:pPr>
  </w:style>
  <w:style w:type="paragraph" w:styleId="FootnoteText">
    <w:name w:val="footnote text"/>
    <w:basedOn w:val="Normal"/>
    <w:link w:val="FootnoteTextChar"/>
    <w:uiPriority w:val="99"/>
    <w:semiHidden/>
    <w:unhideWhenUsed/>
    <w:rsid w:val="00875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CD0"/>
    <w:rPr>
      <w:sz w:val="20"/>
      <w:szCs w:val="20"/>
    </w:rPr>
  </w:style>
  <w:style w:type="character" w:styleId="FootnoteReference">
    <w:name w:val="footnote reference"/>
    <w:basedOn w:val="DefaultParagraphFont"/>
    <w:uiPriority w:val="99"/>
    <w:semiHidden/>
    <w:unhideWhenUsed/>
    <w:rsid w:val="00875CD0"/>
    <w:rPr>
      <w:vertAlign w:val="superscript"/>
    </w:rPr>
  </w:style>
  <w:style w:type="table" w:styleId="TableGrid">
    <w:name w:val="Table Grid"/>
    <w:basedOn w:val="TableNormal"/>
    <w:uiPriority w:val="39"/>
    <w:rsid w:val="008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F91"/>
    <w:pPr>
      <w:spacing w:after="0" w:line="240" w:lineRule="auto"/>
    </w:pPr>
    <w:rPr>
      <w:rFonts w:ascii="Times New Roman" w:hAnsi="Times New Roman" w:cs="Times New Roman"/>
      <w:sz w:val="24"/>
      <w:szCs w:val="24"/>
    </w:rPr>
  </w:style>
  <w:style w:type="character" w:customStyle="1" w:styleId="txt">
    <w:name w:val="txt"/>
    <w:basedOn w:val="DefaultParagraphFont"/>
    <w:rsid w:val="00FD1D56"/>
  </w:style>
  <w:style w:type="character" w:styleId="FollowedHyperlink">
    <w:name w:val="FollowedHyperlink"/>
    <w:basedOn w:val="DefaultParagraphFont"/>
    <w:uiPriority w:val="99"/>
    <w:semiHidden/>
    <w:unhideWhenUsed/>
    <w:rsid w:val="000C04BA"/>
    <w:rPr>
      <w:color w:val="954F72" w:themeColor="followedHyperlink"/>
      <w:u w:val="single"/>
    </w:rPr>
  </w:style>
  <w:style w:type="character" w:styleId="Strong">
    <w:name w:val="Strong"/>
    <w:basedOn w:val="DefaultParagraphFont"/>
    <w:uiPriority w:val="22"/>
    <w:qFormat/>
    <w:rsid w:val="0087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6144">
      <w:bodyDiv w:val="1"/>
      <w:marLeft w:val="0"/>
      <w:marRight w:val="0"/>
      <w:marTop w:val="0"/>
      <w:marBottom w:val="0"/>
      <w:divBdr>
        <w:top w:val="none" w:sz="0" w:space="0" w:color="auto"/>
        <w:left w:val="none" w:sz="0" w:space="0" w:color="auto"/>
        <w:bottom w:val="none" w:sz="0" w:space="0" w:color="auto"/>
        <w:right w:val="none" w:sz="0" w:space="0" w:color="auto"/>
      </w:divBdr>
    </w:div>
    <w:div w:id="216745234">
      <w:bodyDiv w:val="1"/>
      <w:marLeft w:val="0"/>
      <w:marRight w:val="0"/>
      <w:marTop w:val="0"/>
      <w:marBottom w:val="0"/>
      <w:divBdr>
        <w:top w:val="none" w:sz="0" w:space="0" w:color="auto"/>
        <w:left w:val="none" w:sz="0" w:space="0" w:color="auto"/>
        <w:bottom w:val="none" w:sz="0" w:space="0" w:color="auto"/>
        <w:right w:val="none" w:sz="0" w:space="0" w:color="auto"/>
      </w:divBdr>
    </w:div>
    <w:div w:id="648706918">
      <w:bodyDiv w:val="1"/>
      <w:marLeft w:val="0"/>
      <w:marRight w:val="0"/>
      <w:marTop w:val="0"/>
      <w:marBottom w:val="0"/>
      <w:divBdr>
        <w:top w:val="none" w:sz="0" w:space="0" w:color="auto"/>
        <w:left w:val="none" w:sz="0" w:space="0" w:color="auto"/>
        <w:bottom w:val="none" w:sz="0" w:space="0" w:color="auto"/>
        <w:right w:val="none" w:sz="0" w:space="0" w:color="auto"/>
      </w:divBdr>
    </w:div>
    <w:div w:id="761073947">
      <w:bodyDiv w:val="1"/>
      <w:marLeft w:val="0"/>
      <w:marRight w:val="0"/>
      <w:marTop w:val="0"/>
      <w:marBottom w:val="0"/>
      <w:divBdr>
        <w:top w:val="none" w:sz="0" w:space="0" w:color="auto"/>
        <w:left w:val="none" w:sz="0" w:space="0" w:color="auto"/>
        <w:bottom w:val="none" w:sz="0" w:space="0" w:color="auto"/>
        <w:right w:val="none" w:sz="0" w:space="0" w:color="auto"/>
      </w:divBdr>
    </w:div>
    <w:div w:id="855537046">
      <w:bodyDiv w:val="1"/>
      <w:marLeft w:val="0"/>
      <w:marRight w:val="0"/>
      <w:marTop w:val="0"/>
      <w:marBottom w:val="0"/>
      <w:divBdr>
        <w:top w:val="none" w:sz="0" w:space="0" w:color="auto"/>
        <w:left w:val="none" w:sz="0" w:space="0" w:color="auto"/>
        <w:bottom w:val="none" w:sz="0" w:space="0" w:color="auto"/>
        <w:right w:val="none" w:sz="0" w:space="0" w:color="auto"/>
      </w:divBdr>
    </w:div>
    <w:div w:id="1080952224">
      <w:bodyDiv w:val="1"/>
      <w:marLeft w:val="0"/>
      <w:marRight w:val="0"/>
      <w:marTop w:val="0"/>
      <w:marBottom w:val="0"/>
      <w:divBdr>
        <w:top w:val="none" w:sz="0" w:space="0" w:color="auto"/>
        <w:left w:val="none" w:sz="0" w:space="0" w:color="auto"/>
        <w:bottom w:val="none" w:sz="0" w:space="0" w:color="auto"/>
        <w:right w:val="none" w:sz="0" w:space="0" w:color="auto"/>
      </w:divBdr>
    </w:div>
    <w:div w:id="1479883174">
      <w:bodyDiv w:val="1"/>
      <w:marLeft w:val="0"/>
      <w:marRight w:val="0"/>
      <w:marTop w:val="0"/>
      <w:marBottom w:val="0"/>
      <w:divBdr>
        <w:top w:val="none" w:sz="0" w:space="0" w:color="auto"/>
        <w:left w:val="none" w:sz="0" w:space="0" w:color="auto"/>
        <w:bottom w:val="none" w:sz="0" w:space="0" w:color="auto"/>
        <w:right w:val="none" w:sz="0" w:space="0" w:color="auto"/>
      </w:divBdr>
    </w:div>
    <w:div w:id="1580867963">
      <w:bodyDiv w:val="1"/>
      <w:marLeft w:val="0"/>
      <w:marRight w:val="0"/>
      <w:marTop w:val="0"/>
      <w:marBottom w:val="0"/>
      <w:divBdr>
        <w:top w:val="none" w:sz="0" w:space="0" w:color="auto"/>
        <w:left w:val="none" w:sz="0" w:space="0" w:color="auto"/>
        <w:bottom w:val="none" w:sz="0" w:space="0" w:color="auto"/>
        <w:right w:val="none" w:sz="0" w:space="0" w:color="auto"/>
      </w:divBdr>
    </w:div>
    <w:div w:id="2017226230">
      <w:bodyDiv w:val="1"/>
      <w:marLeft w:val="0"/>
      <w:marRight w:val="0"/>
      <w:marTop w:val="0"/>
      <w:marBottom w:val="0"/>
      <w:divBdr>
        <w:top w:val="none" w:sz="0" w:space="0" w:color="auto"/>
        <w:left w:val="none" w:sz="0" w:space="0" w:color="auto"/>
        <w:bottom w:val="none" w:sz="0" w:space="0" w:color="auto"/>
        <w:right w:val="none" w:sz="0" w:space="0" w:color="auto"/>
      </w:divBdr>
    </w:div>
    <w:div w:id="2045591677">
      <w:bodyDiv w:val="1"/>
      <w:marLeft w:val="0"/>
      <w:marRight w:val="0"/>
      <w:marTop w:val="0"/>
      <w:marBottom w:val="0"/>
      <w:divBdr>
        <w:top w:val="none" w:sz="0" w:space="0" w:color="auto"/>
        <w:left w:val="none" w:sz="0" w:space="0" w:color="auto"/>
        <w:bottom w:val="none" w:sz="0" w:space="0" w:color="auto"/>
        <w:right w:val="none" w:sz="0" w:space="0" w:color="auto"/>
      </w:divBdr>
    </w:div>
    <w:div w:id="2084521920">
      <w:bodyDiv w:val="1"/>
      <w:marLeft w:val="0"/>
      <w:marRight w:val="0"/>
      <w:marTop w:val="0"/>
      <w:marBottom w:val="0"/>
      <w:divBdr>
        <w:top w:val="none" w:sz="0" w:space="0" w:color="auto"/>
        <w:left w:val="none" w:sz="0" w:space="0" w:color="auto"/>
        <w:bottom w:val="none" w:sz="0" w:space="0" w:color="auto"/>
        <w:right w:val="none" w:sz="0" w:space="0" w:color="auto"/>
      </w:divBdr>
    </w:div>
    <w:div w:id="21353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61AA-CA49-4385-8FF7-9AA6C25D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Naguib, Mohamed, MB, BCh, MSc, FFARCSI, MD</dc:creator>
  <cp:lastModifiedBy>Naguib, Mohamed, MB, BCh, MSc, FFARCSI, MD</cp:lastModifiedBy>
  <cp:revision>3</cp:revision>
  <cp:lastPrinted>2017-12-24T22:16:00Z</cp:lastPrinted>
  <dcterms:created xsi:type="dcterms:W3CDTF">2018-04-25T15:30:00Z</dcterms:created>
  <dcterms:modified xsi:type="dcterms:W3CDTF">2018-04-25T21:48:00Z</dcterms:modified>
</cp:coreProperties>
</file>