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BA" w:rsidRPr="00073C6C" w:rsidRDefault="00732911" w:rsidP="00965CBA">
      <w:pPr>
        <w:rPr>
          <w:rFonts w:ascii="Times New Roman" w:hAnsi="Times New Roman" w:cs="Times New Roman"/>
          <w:sz w:val="24"/>
          <w:szCs w:val="24"/>
        </w:rPr>
      </w:pPr>
      <w:r w:rsidRPr="00073C6C">
        <w:rPr>
          <w:rFonts w:ascii="Times New Roman" w:hAnsi="Times New Roman" w:cs="Times New Roman"/>
          <w:sz w:val="24"/>
          <w:szCs w:val="24"/>
        </w:rPr>
        <w:t>Online Supplemental Table 1</w:t>
      </w:r>
    </w:p>
    <w:tbl>
      <w:tblPr>
        <w:tblW w:w="11610" w:type="dxa"/>
        <w:tblInd w:w="-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880"/>
        <w:gridCol w:w="2360"/>
        <w:gridCol w:w="900"/>
        <w:gridCol w:w="2269"/>
        <w:gridCol w:w="881"/>
      </w:tblGrid>
      <w:tr w:rsidR="00965CBA" w:rsidRPr="00C2173D" w:rsidTr="00C2173D">
        <w:trPr>
          <w:trHeight w:val="706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 before</w:t>
            </w:r>
            <w:r w:rsidR="00E138F0"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Intervention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 after</w:t>
            </w:r>
            <w:r w:rsidR="00E138F0"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Intervention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Difference</w:t>
            </w:r>
          </w:p>
        </w:tc>
      </w:tr>
      <w:tr w:rsidR="00965CBA" w:rsidRPr="00C2173D" w:rsidTr="00C2173D">
        <w:trPr>
          <w:trHeight w:val="70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Patient subgroup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 (95% CI)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 (95% CI)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bookmarkStart w:id="0" w:name="_GoBack"/>
        <w:bookmarkEnd w:id="0"/>
      </w:tr>
      <w:tr w:rsidR="00965CBA" w:rsidRPr="00C2173D" w:rsidTr="00C2173D">
        <w:trPr>
          <w:trHeight w:val="70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Low-Risk Population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-0.0003 (-0.0008, 0.0001)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-0.0001 (-0.0005, 0.0003)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 (-0.0004, 0.0008)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</w:tr>
      <w:tr w:rsidR="00965CBA" w:rsidRPr="00C2173D" w:rsidTr="00C2173D">
        <w:trPr>
          <w:trHeight w:val="70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High-Risk Population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 (-0.0006, 0.0008)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-0.0003 (-0.0009, 0.0004)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-0.0004 (-0.001, 0.0006)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CBA" w:rsidRPr="00C2173D" w:rsidRDefault="00965CBA" w:rsidP="00301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</w:tr>
    </w:tbl>
    <w:p w:rsidR="00965CBA" w:rsidRPr="00073C6C" w:rsidRDefault="00965CBA" w:rsidP="00965CBA">
      <w:pPr>
        <w:rPr>
          <w:rFonts w:ascii="Times New Roman" w:hAnsi="Times New Roman" w:cs="Times New Roman"/>
          <w:sz w:val="24"/>
          <w:szCs w:val="24"/>
        </w:rPr>
      </w:pPr>
    </w:p>
    <w:p w:rsidR="00965CBA" w:rsidRPr="00073C6C" w:rsidRDefault="00965CBA" w:rsidP="00965CBA">
      <w:pPr>
        <w:rPr>
          <w:rFonts w:ascii="Times New Roman" w:hAnsi="Times New Roman" w:cs="Times New Roman"/>
          <w:iCs/>
          <w:sz w:val="24"/>
          <w:szCs w:val="24"/>
        </w:rPr>
      </w:pPr>
      <w:r w:rsidRPr="00073C6C">
        <w:rPr>
          <w:rFonts w:ascii="Times New Roman" w:hAnsi="Times New Roman" w:cs="Times New Roman"/>
          <w:sz w:val="24"/>
          <w:szCs w:val="24"/>
        </w:rPr>
        <w:t>Legend:</w:t>
      </w:r>
      <w:r w:rsidR="004D669A" w:rsidRPr="00073C6C">
        <w:rPr>
          <w:rFonts w:ascii="Times New Roman" w:hAnsi="Times New Roman" w:cs="Times New Roman"/>
          <w:sz w:val="24"/>
          <w:szCs w:val="24"/>
        </w:rPr>
        <w:t xml:space="preserve"> </w:t>
      </w:r>
      <w:r w:rsidR="004D669A" w:rsidRPr="00073C6C">
        <w:rPr>
          <w:rFonts w:ascii="Times New Roman" w:hAnsi="Times New Roman" w:cs="Times New Roman"/>
          <w:iCs/>
          <w:sz w:val="24"/>
          <w:szCs w:val="24"/>
        </w:rPr>
        <w:t xml:space="preserve">The estimated </w:t>
      </w:r>
      <w:r w:rsidR="00C920EE" w:rsidRPr="00073C6C">
        <w:rPr>
          <w:rFonts w:ascii="Times New Roman" w:hAnsi="Times New Roman" w:cs="Times New Roman"/>
          <w:iCs/>
          <w:sz w:val="24"/>
          <w:szCs w:val="24"/>
        </w:rPr>
        <w:t>Postoperative Nausea and Vomiting (</w:t>
      </w:r>
      <w:r w:rsidR="004D669A" w:rsidRPr="00073C6C">
        <w:rPr>
          <w:rFonts w:ascii="Times New Roman" w:hAnsi="Times New Roman" w:cs="Times New Roman"/>
          <w:iCs/>
          <w:sz w:val="24"/>
          <w:szCs w:val="24"/>
        </w:rPr>
        <w:t>PONV</w:t>
      </w:r>
      <w:r w:rsidR="00C920EE" w:rsidRPr="00073C6C">
        <w:rPr>
          <w:rFonts w:ascii="Times New Roman" w:hAnsi="Times New Roman" w:cs="Times New Roman"/>
          <w:iCs/>
          <w:sz w:val="24"/>
          <w:szCs w:val="24"/>
        </w:rPr>
        <w:t>)</w:t>
      </w:r>
      <w:r w:rsidR="004D669A" w:rsidRPr="00073C6C">
        <w:rPr>
          <w:rFonts w:ascii="Times New Roman" w:hAnsi="Times New Roman" w:cs="Times New Roman"/>
          <w:iCs/>
          <w:sz w:val="24"/>
          <w:szCs w:val="24"/>
        </w:rPr>
        <w:t xml:space="preserve"> incidence slopes (with 95% CI) during the pre-period, post-period, and difference in slopes between periods </w:t>
      </w:r>
      <w:proofErr w:type="gramStart"/>
      <w:r w:rsidR="004D669A" w:rsidRPr="00073C6C">
        <w:rPr>
          <w:rFonts w:ascii="Times New Roman" w:hAnsi="Times New Roman" w:cs="Times New Roman"/>
          <w:iCs/>
          <w:sz w:val="24"/>
          <w:szCs w:val="24"/>
        </w:rPr>
        <w:t>are reported</w:t>
      </w:r>
      <w:proofErr w:type="gramEnd"/>
      <w:r w:rsidR="004D669A" w:rsidRPr="00073C6C">
        <w:rPr>
          <w:rFonts w:ascii="Times New Roman" w:hAnsi="Times New Roman" w:cs="Times New Roman"/>
          <w:iCs/>
          <w:sz w:val="24"/>
          <w:szCs w:val="24"/>
        </w:rPr>
        <w:t xml:space="preserve"> in the table above (stratified by </w:t>
      </w:r>
      <w:r w:rsidR="00C920EE" w:rsidRPr="00073C6C">
        <w:rPr>
          <w:rFonts w:ascii="Times New Roman" w:hAnsi="Times New Roman" w:cs="Times New Roman"/>
          <w:iCs/>
          <w:sz w:val="24"/>
          <w:szCs w:val="24"/>
        </w:rPr>
        <w:t xml:space="preserve">high-risk patients with </w:t>
      </w:r>
      <w:r w:rsidR="00C920EE" w:rsidRPr="00073C6C">
        <w:rPr>
          <w:rFonts w:ascii="Times New Roman" w:hAnsi="Times New Roman" w:cs="Times New Roman"/>
          <w:sz w:val="24"/>
          <w:szCs w:val="24"/>
        </w:rPr>
        <w:t>greater than or equal to three PONV risk factors and low-risk patient with less than three risk factors)</w:t>
      </w:r>
      <w:r w:rsidR="004D669A" w:rsidRPr="00073C6C">
        <w:rPr>
          <w:rFonts w:ascii="Times New Roman" w:hAnsi="Times New Roman" w:cs="Times New Roman"/>
          <w:iCs/>
          <w:sz w:val="24"/>
          <w:szCs w:val="24"/>
        </w:rPr>
        <w:t>.  The p-values for each period/risk group combination indicate that none of the slopes were significantly different from 0 and the p-values for the difference in slopes indicates no significant change in slopes after the intervention took place.</w:t>
      </w:r>
    </w:p>
    <w:p w:rsidR="00732911" w:rsidRPr="00073C6C" w:rsidRDefault="00732911" w:rsidP="00965CBA">
      <w:pPr>
        <w:rPr>
          <w:rFonts w:ascii="Times New Roman" w:hAnsi="Times New Roman" w:cs="Times New Roman"/>
          <w:iCs/>
          <w:sz w:val="24"/>
          <w:szCs w:val="24"/>
        </w:rPr>
      </w:pPr>
    </w:p>
    <w:p w:rsidR="00073C6C" w:rsidRDefault="00073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911" w:rsidRPr="00073C6C" w:rsidRDefault="00732911" w:rsidP="00732911">
      <w:pPr>
        <w:rPr>
          <w:rFonts w:ascii="Times New Roman" w:hAnsi="Times New Roman" w:cs="Times New Roman"/>
          <w:sz w:val="24"/>
          <w:szCs w:val="24"/>
        </w:rPr>
      </w:pPr>
      <w:r w:rsidRPr="00073C6C">
        <w:rPr>
          <w:rFonts w:ascii="Times New Roman" w:hAnsi="Times New Roman" w:cs="Times New Roman"/>
          <w:sz w:val="24"/>
          <w:szCs w:val="24"/>
        </w:rPr>
        <w:lastRenderedPageBreak/>
        <w:t>Online Supplemental Table 2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880"/>
        <w:gridCol w:w="2000"/>
        <w:gridCol w:w="2610"/>
        <w:gridCol w:w="2790"/>
        <w:gridCol w:w="1040"/>
      </w:tblGrid>
      <w:tr w:rsidR="00732911" w:rsidRPr="00073C6C" w:rsidTr="008D39CF">
        <w:trPr>
          <w:trHeight w:val="600"/>
        </w:trPr>
        <w:tc>
          <w:tcPr>
            <w:tcW w:w="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 intervention Scenario*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Intervention Scenario*</w:t>
            </w:r>
          </w:p>
        </w:tc>
        <w:tc>
          <w:tcPr>
            <w:tcW w:w="27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Difference (95% CI)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p-value</w:t>
            </w:r>
          </w:p>
        </w:tc>
      </w:tr>
      <w:tr w:rsidR="00732911" w:rsidRPr="00073C6C" w:rsidTr="008D39CF">
        <w:trPr>
          <w:trHeight w:val="300"/>
        </w:trPr>
        <w:tc>
          <w:tcPr>
            <w:tcW w:w="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27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 (-0.098, -0.030)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32911" w:rsidRPr="00073C6C" w:rsidTr="008D39CF">
        <w:trPr>
          <w:trHeight w:val="300"/>
        </w:trPr>
        <w:tc>
          <w:tcPr>
            <w:tcW w:w="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27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 (-0.110, -0.028)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32911" w:rsidRPr="00073C6C" w:rsidTr="008D39CF">
        <w:trPr>
          <w:trHeight w:val="300"/>
        </w:trPr>
        <w:tc>
          <w:tcPr>
            <w:tcW w:w="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27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 (-0.125, -0.023)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732911" w:rsidRPr="00073C6C" w:rsidTr="008D39CF">
        <w:trPr>
          <w:trHeight w:val="300"/>
        </w:trPr>
        <w:tc>
          <w:tcPr>
            <w:tcW w:w="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27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-0.079 (-0.141, -0.018)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32911" w:rsidRPr="00073C6C" w:rsidRDefault="00732911" w:rsidP="008D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</w:tbl>
    <w:p w:rsidR="00732911" w:rsidRPr="00073C6C" w:rsidRDefault="00732911" w:rsidP="00732911">
      <w:pPr>
        <w:rPr>
          <w:rFonts w:ascii="Times New Roman" w:hAnsi="Times New Roman" w:cs="Times New Roman"/>
          <w:sz w:val="24"/>
          <w:szCs w:val="24"/>
        </w:rPr>
      </w:pPr>
    </w:p>
    <w:p w:rsidR="00732911" w:rsidRPr="008C707F" w:rsidRDefault="00732911" w:rsidP="00732911">
      <w:pPr>
        <w:rPr>
          <w:rFonts w:ascii="Times New Roman" w:hAnsi="Times New Roman" w:cs="Times New Roman"/>
          <w:sz w:val="24"/>
          <w:szCs w:val="24"/>
        </w:rPr>
      </w:pPr>
      <w:r w:rsidRPr="00073C6C">
        <w:rPr>
          <w:rFonts w:ascii="Times New Roman" w:hAnsi="Times New Roman" w:cs="Times New Roman"/>
          <w:sz w:val="24"/>
          <w:szCs w:val="24"/>
        </w:rPr>
        <w:t xml:space="preserve">Legend: The impact of the intervention </w:t>
      </w:r>
      <w:proofErr w:type="gramStart"/>
      <w:r w:rsidRPr="00073C6C">
        <w:rPr>
          <w:rFonts w:ascii="Times New Roman" w:hAnsi="Times New Roman" w:cs="Times New Roman"/>
          <w:sz w:val="24"/>
          <w:szCs w:val="24"/>
        </w:rPr>
        <w:t>was assessed</w:t>
      </w:r>
      <w:proofErr w:type="gramEnd"/>
      <w:r w:rsidRPr="00073C6C">
        <w:rPr>
          <w:rFonts w:ascii="Times New Roman" w:hAnsi="Times New Roman" w:cs="Times New Roman"/>
          <w:sz w:val="24"/>
          <w:szCs w:val="24"/>
        </w:rPr>
        <w:t xml:space="preserve"> comparing the need for rescue antiemetics observed after the intervention (intervention scenario) to the estimated incidence had the intervention not occurred (no intervention scenario). This presumes that the pre-intervention slope would have stayed constant.  This table reports our model estimates for high risk patients (greater than or equal to three postoperative nausea risk factors) </w:t>
      </w:r>
      <w:proofErr w:type="gramStart"/>
      <w:r w:rsidRPr="00073C6C">
        <w:rPr>
          <w:rFonts w:ascii="Times New Roman" w:hAnsi="Times New Roman" w:cs="Times New Roman"/>
          <w:sz w:val="24"/>
          <w:szCs w:val="24"/>
        </w:rPr>
        <w:t>at four equidistant quarterly time-points throughout the intervention period along with differences with 95% confidence intervals</w:t>
      </w:r>
      <w:proofErr w:type="gramEnd"/>
      <w:r w:rsidRPr="00073C6C">
        <w:rPr>
          <w:rFonts w:ascii="Times New Roman" w:hAnsi="Times New Roman" w:cs="Times New Roman"/>
          <w:sz w:val="24"/>
          <w:szCs w:val="24"/>
        </w:rPr>
        <w:t>.</w:t>
      </w:r>
    </w:p>
    <w:sectPr w:rsidR="00732911" w:rsidRPr="008C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7"/>
    <w:rsid w:val="00045467"/>
    <w:rsid w:val="00062BD9"/>
    <w:rsid w:val="00073C6C"/>
    <w:rsid w:val="00306D25"/>
    <w:rsid w:val="004D669A"/>
    <w:rsid w:val="00555CA4"/>
    <w:rsid w:val="006377B9"/>
    <w:rsid w:val="006D40C1"/>
    <w:rsid w:val="006E2CC2"/>
    <w:rsid w:val="00724AD4"/>
    <w:rsid w:val="00732911"/>
    <w:rsid w:val="0083113D"/>
    <w:rsid w:val="008C707F"/>
    <w:rsid w:val="00951E5B"/>
    <w:rsid w:val="00965CBA"/>
    <w:rsid w:val="009B3FDE"/>
    <w:rsid w:val="00B47E99"/>
    <w:rsid w:val="00C2173D"/>
    <w:rsid w:val="00C920EE"/>
    <w:rsid w:val="00E138F0"/>
    <w:rsid w:val="00E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47621-AEDC-4FCA-B284-27781FE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Gabel, Eilon</dc:creator>
  <cp:keywords/>
  <dc:description/>
  <cp:lastModifiedBy>Eilon Gabel</cp:lastModifiedBy>
  <cp:revision>17</cp:revision>
  <dcterms:created xsi:type="dcterms:W3CDTF">2018-01-04T00:54:00Z</dcterms:created>
  <dcterms:modified xsi:type="dcterms:W3CDTF">2018-06-26T03:08:00Z</dcterms:modified>
</cp:coreProperties>
</file>