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5" w:rsidRDefault="00931E05" w:rsidP="00931E05">
      <w:pPr>
        <w:spacing w:line="360" w:lineRule="auto"/>
        <w:rPr>
          <w:sz w:val="24"/>
        </w:rPr>
      </w:pPr>
      <w:r w:rsidRPr="006C1765">
        <w:rPr>
          <w:b/>
          <w:sz w:val="28"/>
        </w:rPr>
        <w:t>Supplemental Table 2</w:t>
      </w:r>
      <w:bookmarkStart w:id="0" w:name="_GoBack"/>
      <w:bookmarkEnd w:id="0"/>
    </w:p>
    <w:p w:rsidR="00931E05" w:rsidRDefault="00931E05" w:rsidP="00931E05">
      <w:pPr>
        <w:spacing w:line="360" w:lineRule="auto"/>
        <w:rPr>
          <w:sz w:val="24"/>
        </w:rPr>
      </w:pPr>
      <w:r>
        <w:rPr>
          <w:sz w:val="24"/>
        </w:rPr>
        <w:t>Comparison of 30% and 80% intraoperative FiO</w:t>
      </w:r>
      <w:r w:rsidRPr="0029068B">
        <w:rPr>
          <w:sz w:val="24"/>
          <w:vertAlign w:val="subscript"/>
        </w:rPr>
        <w:t>2</w:t>
      </w:r>
      <w:r>
        <w:rPr>
          <w:sz w:val="24"/>
        </w:rPr>
        <w:t xml:space="preserve"> on pain scores and opioid consumption </w:t>
      </w:r>
      <w:r w:rsidRPr="0029068B">
        <w:rPr>
          <w:sz w:val="24"/>
        </w:rPr>
        <w:t>during the first 2 hour</w:t>
      </w:r>
      <w:r>
        <w:rPr>
          <w:sz w:val="24"/>
        </w:rPr>
        <w:t>s</w:t>
      </w:r>
      <w:r w:rsidRPr="0029068B">
        <w:rPr>
          <w:sz w:val="24"/>
        </w:rPr>
        <w:t xml:space="preserve"> and 2 to 26 hour</w:t>
      </w:r>
      <w:r>
        <w:rPr>
          <w:sz w:val="24"/>
        </w:rPr>
        <w:t>s</w:t>
      </w:r>
      <w:r w:rsidRPr="0029068B">
        <w:rPr>
          <w:sz w:val="24"/>
        </w:rPr>
        <w:t xml:space="preserve"> after PACU admission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62"/>
        <w:gridCol w:w="928"/>
        <w:gridCol w:w="1212"/>
        <w:gridCol w:w="2070"/>
        <w:gridCol w:w="1080"/>
        <w:gridCol w:w="14"/>
      </w:tblGrid>
      <w:tr w:rsidR="00931E05" w:rsidRPr="00885F20" w:rsidTr="00EB34EC">
        <w:trPr>
          <w:trHeight w:val="645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931E05" w:rsidRPr="00885F20" w:rsidRDefault="00931E05" w:rsidP="00EB34E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85F20">
              <w:rPr>
                <w:rFonts w:asciiTheme="minorHAnsi" w:hAnsiTheme="minorHAnsi"/>
                <w:b/>
                <w:szCs w:val="24"/>
              </w:rPr>
              <w:t>Outcomes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931E05" w:rsidRPr="00885F20" w:rsidRDefault="00931E05" w:rsidP="00EB34EC">
            <w:pPr>
              <w:rPr>
                <w:b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</w:tcBorders>
            <w:vAlign w:val="center"/>
          </w:tcPr>
          <w:p w:rsidR="00931E05" w:rsidRPr="00885F20" w:rsidRDefault="00931E05" w:rsidP="00EB34EC">
            <w:pPr>
              <w:rPr>
                <w:rFonts w:asciiTheme="minorHAnsi" w:hAnsiTheme="minorHAnsi"/>
                <w:b/>
                <w:szCs w:val="24"/>
              </w:rPr>
            </w:pPr>
            <w:r w:rsidRPr="00885F20">
              <w:rPr>
                <w:rFonts w:asciiTheme="minorHAnsi" w:hAnsiTheme="minorHAnsi"/>
                <w:b/>
                <w:szCs w:val="24"/>
              </w:rPr>
              <w:t>Non-inferiority</w:t>
            </w:r>
            <w:r w:rsidRPr="00885F20">
              <w:rPr>
                <w:rFonts w:asciiTheme="minorHAnsi" w:hAnsiTheme="minorHAnsi"/>
                <w:b/>
                <w:szCs w:val="24"/>
              </w:rPr>
              <w:br/>
              <w:t>of 30% to 80%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E05" w:rsidRPr="00885F20" w:rsidRDefault="00931E05" w:rsidP="00EB34E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85F20">
              <w:rPr>
                <w:rFonts w:asciiTheme="minorHAnsi" w:hAnsiTheme="minorHAnsi"/>
                <w:b/>
                <w:szCs w:val="24"/>
              </w:rPr>
              <w:t xml:space="preserve">Superiority </w:t>
            </w:r>
            <w:r w:rsidRPr="00885F20">
              <w:rPr>
                <w:rFonts w:asciiTheme="minorHAnsi" w:hAnsiTheme="minorHAnsi"/>
                <w:b/>
                <w:szCs w:val="24"/>
              </w:rPr>
              <w:br/>
              <w:t>of 30% to 80%</w:t>
            </w:r>
          </w:p>
        </w:tc>
      </w:tr>
      <w:tr w:rsidR="006C1765" w:rsidRPr="006C1765" w:rsidTr="00EB34EC">
        <w:trPr>
          <w:gridAfter w:val="1"/>
          <w:wAfter w:w="14" w:type="dxa"/>
          <w:trHeight w:val="232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Effect estimate (95% CI)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i/>
                <w:szCs w:val="24"/>
              </w:rPr>
            </w:pPr>
            <w:r w:rsidRPr="006C1765">
              <w:rPr>
                <w:szCs w:val="24"/>
              </w:rPr>
              <w:t>delta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6C1765">
              <w:rPr>
                <w:i/>
                <w:szCs w:val="24"/>
              </w:rPr>
              <w:t>P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Effect estimate (97.5% CI)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6C1765">
              <w:rPr>
                <w:rFonts w:asciiTheme="minorHAnsi" w:hAnsiTheme="minorHAnsi"/>
                <w:i/>
                <w:szCs w:val="24"/>
              </w:rPr>
              <w:t>P</w:t>
            </w: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b/>
                <w:szCs w:val="24"/>
              </w:rPr>
            </w:pPr>
            <w:r w:rsidRPr="006C1765">
              <w:rPr>
                <w:rFonts w:asciiTheme="minorHAnsi" w:hAnsiTheme="minorHAnsi"/>
                <w:b/>
                <w:szCs w:val="24"/>
              </w:rPr>
              <w:t xml:space="preserve">Primary analysis: </w:t>
            </w:r>
          </w:p>
          <w:p w:rsidR="00931E05" w:rsidRPr="006C1765" w:rsidRDefault="00931E05" w:rsidP="00EB34EC">
            <w:pPr>
              <w:rPr>
                <w:rFonts w:asciiTheme="minorHAnsi" w:hAnsiTheme="minorHAnsi"/>
                <w:b/>
                <w:szCs w:val="24"/>
              </w:rPr>
            </w:pPr>
            <w:r w:rsidRPr="006C1765">
              <w:rPr>
                <w:rFonts w:asciiTheme="minorHAnsi" w:hAnsiTheme="minorHAnsi"/>
                <w:b/>
                <w:szCs w:val="24"/>
              </w:rPr>
              <w:t>0 to 2 hour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vAlign w:val="center"/>
          </w:tcPr>
          <w:p w:rsidR="00931E05" w:rsidRPr="006C1765" w:rsidRDefault="00931E05" w:rsidP="00EB34EC">
            <w:pPr>
              <w:ind w:leftChars="81" w:left="178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Opioid consumption</w:t>
            </w:r>
            <w:r w:rsidRPr="006C1765">
              <w:rPr>
                <w:rFonts w:asciiTheme="minorHAnsi" w:hAnsiTheme="minorHAnsi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89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 (0.00, 0.00)</w:t>
            </w:r>
          </w:p>
        </w:tc>
        <w:tc>
          <w:tcPr>
            <w:tcW w:w="990" w:type="dxa"/>
            <w:gridSpan w:val="2"/>
            <w:vAlign w:val="center"/>
          </w:tcPr>
          <w:p w:rsidR="00931E05" w:rsidRPr="006C1765" w:rsidRDefault="00931E05" w:rsidP="00EB34EC">
            <w:pPr>
              <w:rPr>
                <w:szCs w:val="24"/>
              </w:rPr>
            </w:pPr>
            <w:r w:rsidRPr="006C1765">
              <w:rPr>
                <w:szCs w:val="24"/>
              </w:rPr>
              <w:t>5 mg</w:t>
            </w:r>
          </w:p>
        </w:tc>
        <w:tc>
          <w:tcPr>
            <w:tcW w:w="1212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 (0</w:t>
            </w:r>
            <w:r w:rsidRPr="006C1765">
              <w:rPr>
                <w:rFonts w:asciiTheme="minorHAnsi" w:hAnsiTheme="minorHAnsi"/>
                <w:szCs w:val="24"/>
              </w:rPr>
              <w:t>.00</w:t>
            </w:r>
            <w:r w:rsidRPr="006C1765">
              <w:rPr>
                <w:szCs w:val="24"/>
              </w:rPr>
              <w:t>, 0</w:t>
            </w:r>
            <w:r w:rsidRPr="006C1765">
              <w:rPr>
                <w:rFonts w:asciiTheme="minorHAnsi" w:hAnsiTheme="minorHAnsi"/>
                <w:szCs w:val="24"/>
              </w:rPr>
              <w:t>.00</w:t>
            </w:r>
            <w:r w:rsidRPr="006C1765">
              <w:rPr>
                <w:szCs w:val="24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0.182</w:t>
            </w: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 xml:space="preserve">    Pain scores</w:t>
            </w:r>
            <w:r w:rsidRPr="006C1765">
              <w:rPr>
                <w:rFonts w:asciiTheme="minorHAnsi" w:hAnsiTheme="minorHAnsi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0.01 (-0.14, 0.16)</w:t>
            </w:r>
          </w:p>
        </w:tc>
        <w:tc>
          <w:tcPr>
            <w:tcW w:w="990" w:type="dxa"/>
            <w:gridSpan w:val="2"/>
            <w:vAlign w:val="center"/>
          </w:tcPr>
          <w:p w:rsidR="00931E05" w:rsidRPr="006C1765" w:rsidRDefault="00931E05" w:rsidP="00EB34EC">
            <w:pPr>
              <w:rPr>
                <w:szCs w:val="24"/>
              </w:rPr>
            </w:pPr>
            <w:r w:rsidRPr="006C1765">
              <w:rPr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0.01 (-0.16, 0.18)</w:t>
            </w:r>
          </w:p>
        </w:tc>
        <w:tc>
          <w:tcPr>
            <w:tcW w:w="1094" w:type="dxa"/>
            <w:gridSpan w:val="2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0.548</w:t>
            </w: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b/>
                <w:szCs w:val="24"/>
              </w:rPr>
            </w:pPr>
            <w:r w:rsidRPr="006C1765">
              <w:rPr>
                <w:rFonts w:asciiTheme="minorHAnsi" w:hAnsiTheme="minorHAnsi"/>
                <w:b/>
                <w:szCs w:val="24"/>
              </w:rPr>
              <w:t xml:space="preserve">Secondary analysis: </w:t>
            </w:r>
          </w:p>
          <w:p w:rsidR="00931E05" w:rsidRPr="006C1765" w:rsidRDefault="00931E05" w:rsidP="00EB34EC">
            <w:pPr>
              <w:rPr>
                <w:rFonts w:asciiTheme="minorHAnsi" w:hAnsiTheme="minorHAnsi"/>
                <w:b/>
                <w:szCs w:val="24"/>
              </w:rPr>
            </w:pPr>
            <w:r w:rsidRPr="006C1765">
              <w:rPr>
                <w:rFonts w:asciiTheme="minorHAnsi" w:hAnsiTheme="minorHAnsi"/>
                <w:b/>
                <w:szCs w:val="24"/>
              </w:rPr>
              <w:t>2 to 26 hour</w:t>
            </w:r>
          </w:p>
        </w:tc>
        <w:tc>
          <w:tcPr>
            <w:tcW w:w="189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31E05" w:rsidRPr="006C1765" w:rsidRDefault="00931E05" w:rsidP="00EB34EC">
            <w:pPr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vAlign w:val="center"/>
          </w:tcPr>
          <w:p w:rsidR="00931E05" w:rsidRPr="006C1765" w:rsidRDefault="00931E05" w:rsidP="00EB34EC">
            <w:pPr>
              <w:ind w:leftChars="81" w:left="178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Opioid consumption</w:t>
            </w:r>
            <w:r w:rsidRPr="006C1765">
              <w:rPr>
                <w:rFonts w:asciiTheme="minorHAnsi" w:hAnsiTheme="minorHAnsi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89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 (-1.33, 2.33)</w:t>
            </w:r>
          </w:p>
        </w:tc>
        <w:tc>
          <w:tcPr>
            <w:tcW w:w="990" w:type="dxa"/>
            <w:gridSpan w:val="2"/>
            <w:vAlign w:val="center"/>
          </w:tcPr>
          <w:p w:rsidR="00931E05" w:rsidRPr="006C1765" w:rsidRDefault="00931E05" w:rsidP="00EB34EC">
            <w:pPr>
              <w:rPr>
                <w:szCs w:val="24"/>
              </w:rPr>
            </w:pPr>
            <w:r w:rsidRPr="006C1765">
              <w:rPr>
                <w:szCs w:val="24"/>
              </w:rPr>
              <w:t>10 mg</w:t>
            </w:r>
          </w:p>
        </w:tc>
        <w:tc>
          <w:tcPr>
            <w:tcW w:w="1212" w:type="dxa"/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0 (-1.33, 2.66)</w:t>
            </w:r>
          </w:p>
        </w:tc>
        <w:tc>
          <w:tcPr>
            <w:tcW w:w="1094" w:type="dxa"/>
            <w:gridSpan w:val="2"/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0.682</w:t>
            </w:r>
          </w:p>
        </w:tc>
      </w:tr>
      <w:tr w:rsidR="006C1765" w:rsidRPr="006C1765" w:rsidTr="00EB34EC">
        <w:trPr>
          <w:trHeight w:val="473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 xml:space="preserve">    Pain scores</w:t>
            </w:r>
            <w:r w:rsidRPr="006C1765">
              <w:rPr>
                <w:rFonts w:asciiTheme="minorHAnsi" w:hAnsiTheme="minorHAnsi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-0.01 (-0.12, 0.10)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rPr>
                <w:szCs w:val="24"/>
              </w:rPr>
            </w:pPr>
            <w:r w:rsidRPr="006C1765">
              <w:rPr>
                <w:szCs w:val="24"/>
              </w:rPr>
              <w:t>1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&lt;0.001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szCs w:val="24"/>
              </w:rPr>
              <w:t>-0.01 (-0.14, 0.12)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  <w:vAlign w:val="center"/>
          </w:tcPr>
          <w:p w:rsidR="00931E05" w:rsidRPr="006C1765" w:rsidRDefault="00931E05" w:rsidP="00EB34EC">
            <w:pPr>
              <w:jc w:val="center"/>
              <w:rPr>
                <w:rFonts w:asciiTheme="minorHAnsi" w:hAnsiTheme="minorHAnsi"/>
                <w:szCs w:val="24"/>
              </w:rPr>
            </w:pPr>
            <w:r w:rsidRPr="006C1765">
              <w:rPr>
                <w:rFonts w:asciiTheme="minorHAnsi" w:hAnsiTheme="minorHAnsi"/>
                <w:szCs w:val="24"/>
              </w:rPr>
              <w:t>0.428</w:t>
            </w:r>
          </w:p>
        </w:tc>
      </w:tr>
    </w:tbl>
    <w:p w:rsidR="00931E05" w:rsidRPr="006C1765" w:rsidRDefault="00931E05" w:rsidP="006C1765">
      <w:pPr>
        <w:spacing w:after="120"/>
        <w:jc w:val="both"/>
        <w:rPr>
          <w:sz w:val="20"/>
          <w:szCs w:val="24"/>
        </w:rPr>
      </w:pPr>
      <w:r w:rsidRPr="006C1765">
        <w:rPr>
          <w:sz w:val="20"/>
          <w:szCs w:val="24"/>
          <w:vertAlign w:val="superscript"/>
        </w:rPr>
        <w:t>1</w:t>
      </w:r>
      <w:r w:rsidRPr="006C1765">
        <w:rPr>
          <w:sz w:val="20"/>
          <w:szCs w:val="24"/>
        </w:rPr>
        <w:t xml:space="preserve"> The difference was assessed by Wilcoxon sum-rank test and the effect as median difference was estimated from Hodges-Lehmann estimation. </w:t>
      </w:r>
    </w:p>
    <w:p w:rsidR="00931E05" w:rsidRPr="006C1765" w:rsidRDefault="00931E05" w:rsidP="006C1765">
      <w:pPr>
        <w:spacing w:after="120"/>
        <w:jc w:val="both"/>
        <w:rPr>
          <w:sz w:val="20"/>
          <w:szCs w:val="24"/>
        </w:rPr>
      </w:pPr>
      <w:r w:rsidRPr="006C1765">
        <w:rPr>
          <w:sz w:val="20"/>
          <w:szCs w:val="24"/>
          <w:vertAlign w:val="superscript"/>
        </w:rPr>
        <w:t xml:space="preserve">2 </w:t>
      </w:r>
      <w:r w:rsidRPr="006C1765">
        <w:rPr>
          <w:sz w:val="20"/>
          <w:szCs w:val="24"/>
        </w:rPr>
        <w:t>The pain scores differences between the two groups were assessed using a mixed-effects model</w:t>
      </w:r>
      <w:r w:rsidRPr="006C1765">
        <w:rPr>
          <w:rFonts w:hint="eastAsia"/>
          <w:sz w:val="20"/>
          <w:szCs w:val="24"/>
          <w:lang w:eastAsia="zh-CN"/>
        </w:rPr>
        <w:t xml:space="preserve"> </w:t>
      </w:r>
      <w:r w:rsidRPr="006C1765">
        <w:rPr>
          <w:sz w:val="20"/>
          <w:szCs w:val="24"/>
          <w:lang w:eastAsia="zh-CN"/>
        </w:rPr>
        <w:t>across the time points</w:t>
      </w:r>
      <w:r w:rsidRPr="006C1765">
        <w:rPr>
          <w:sz w:val="20"/>
          <w:szCs w:val="24"/>
        </w:rPr>
        <w:t xml:space="preserve">. </w:t>
      </w:r>
    </w:p>
    <w:p w:rsidR="00931E05" w:rsidRPr="006C1765" w:rsidRDefault="00931E05" w:rsidP="006C1765">
      <w:pPr>
        <w:spacing w:after="120"/>
        <w:jc w:val="both"/>
        <w:rPr>
          <w:sz w:val="20"/>
          <w:szCs w:val="20"/>
        </w:rPr>
      </w:pPr>
      <w:r w:rsidRPr="006C1765">
        <w:rPr>
          <w:sz w:val="20"/>
          <w:szCs w:val="24"/>
        </w:rPr>
        <w:t xml:space="preserve">All tests are one-tailed. </w:t>
      </w:r>
      <w:proofErr w:type="spellStart"/>
      <w:r w:rsidRPr="006C1765">
        <w:rPr>
          <w:sz w:val="20"/>
          <w:szCs w:val="24"/>
        </w:rPr>
        <w:t>Noninferiority</w:t>
      </w:r>
      <w:proofErr w:type="spellEnd"/>
      <w:r w:rsidRPr="006C1765">
        <w:rPr>
          <w:sz w:val="20"/>
          <w:szCs w:val="24"/>
        </w:rPr>
        <w:t xml:space="preserve"> test was assessed at the significance level of 0.025, while superiority was at 0.0125 significance level (i.e., 0.025/2, </w:t>
      </w:r>
      <w:proofErr w:type="spellStart"/>
      <w:r w:rsidRPr="006C1765">
        <w:rPr>
          <w:sz w:val="20"/>
          <w:szCs w:val="24"/>
        </w:rPr>
        <w:t>Bonferroni</w:t>
      </w:r>
      <w:proofErr w:type="spellEnd"/>
      <w:r w:rsidRPr="006C1765">
        <w:rPr>
          <w:sz w:val="20"/>
          <w:szCs w:val="24"/>
        </w:rPr>
        <w:t xml:space="preserve">) for both </w:t>
      </w:r>
      <w:r w:rsidRPr="006C1765">
        <w:rPr>
          <w:sz w:val="20"/>
          <w:szCs w:val="20"/>
        </w:rPr>
        <w:t xml:space="preserve">primary and secondary analyses. </w:t>
      </w:r>
      <w:r w:rsidRPr="006C1765">
        <w:rPr>
          <w:spacing w:val="-3"/>
          <w:kern w:val="1"/>
          <w:sz w:val="20"/>
          <w:szCs w:val="20"/>
          <w:lang w:bidi="hi-IN"/>
        </w:rPr>
        <w:t xml:space="preserve">Non-inferiority test is significant if the upper 95% confidence limit is less than </w:t>
      </w:r>
      <w:r w:rsidR="006C1765">
        <w:rPr>
          <w:spacing w:val="-3"/>
          <w:kern w:val="1"/>
          <w:sz w:val="20"/>
          <w:szCs w:val="20"/>
          <w:lang w:bidi="hi-IN"/>
        </w:rPr>
        <w:t xml:space="preserve">the </w:t>
      </w:r>
      <w:r w:rsidRPr="006C1765">
        <w:rPr>
          <w:spacing w:val="-3"/>
          <w:kern w:val="1"/>
          <w:sz w:val="20"/>
          <w:szCs w:val="20"/>
          <w:lang w:bidi="hi-IN"/>
        </w:rPr>
        <w:t>delta. Superiority test is significant if upper 97.5% confidence limit is less than 0.</w:t>
      </w:r>
    </w:p>
    <w:p w:rsidR="00370043" w:rsidRDefault="00370043"/>
    <w:sectPr w:rsidR="003700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5"/>
    <w:rsid w:val="00370043"/>
    <w:rsid w:val="006C1765"/>
    <w:rsid w:val="009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F431-C24A-4007-9996-657CF57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0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E05"/>
    <w:pPr>
      <w:spacing w:after="0" w:line="240" w:lineRule="auto"/>
    </w:pPr>
    <w:rPr>
      <w:rFonts w:ascii="Times New Roman" w:eastAsia="SimSun" w:hAnsi="Times New Roman" w:cs="Times New Roma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</dc:creator>
  <cp:lastModifiedBy>Cohen, Barak</cp:lastModifiedBy>
  <cp:revision>2</cp:revision>
  <dcterms:created xsi:type="dcterms:W3CDTF">2018-11-06T01:51:00Z</dcterms:created>
  <dcterms:modified xsi:type="dcterms:W3CDTF">2018-11-12T13:26:00Z</dcterms:modified>
</cp:coreProperties>
</file>