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0" w:rsidRPr="00F56BF3" w:rsidRDefault="00FE02D0" w:rsidP="00FE02D0">
      <w:pPr>
        <w:spacing w:line="480" w:lineRule="auto"/>
        <w:rPr>
          <w:rFonts w:ascii="Times New Roman" w:hAnsi="Times New Roman"/>
          <w:u w:val="single"/>
          <w:lang w:val="en-GB"/>
        </w:rPr>
      </w:pPr>
      <w:r w:rsidRPr="00C114A5">
        <w:rPr>
          <w:rFonts w:ascii="Times New Roman" w:hAnsi="Times New Roman"/>
          <w:u w:val="single"/>
          <w:lang w:val="en-GB"/>
        </w:rPr>
        <w:t>Intraoperative glucose metabolism</w:t>
      </w:r>
    </w:p>
    <w:p w:rsidR="00FE02D0" w:rsidRPr="00C114A5" w:rsidRDefault="00FE02D0" w:rsidP="00FE02D0">
      <w:pPr>
        <w:spacing w:line="480" w:lineRule="auto"/>
        <w:rPr>
          <w:rFonts w:ascii="Times New Roman" w:hAnsi="Times New Roman"/>
          <w:u w:val="single"/>
          <w:lang w:val="en-GB"/>
        </w:rPr>
      </w:pPr>
      <w:r w:rsidRPr="00F56BF3">
        <w:rPr>
          <w:rFonts w:ascii="Times New Roman" w:hAnsi="Times New Roman"/>
          <w:lang w:val="en-GB"/>
        </w:rPr>
        <w:t>Intraoperative mean BG did not correlate with decreases of HGS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=0.080; p=0.609), MRC score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=-0.006; p=0.967), VC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=0.112; p=0.729), or FEV1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=0.203; p=0.527). Intraoperative minimum BG did not correlate with decreases of HGS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=0.011; p=0.944), MRC score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=-0.069; p=0.643), VC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=0.252; p=0.430), or FEV1 (</w:t>
      </w:r>
      <w:r>
        <w:rPr>
          <w:rFonts w:ascii="Times New Roman" w:hAnsi="Times New Roman"/>
          <w:lang w:val="en-GB"/>
        </w:rPr>
        <w:t>r</w:t>
      </w:r>
      <w:r w:rsidRPr="00F56BF3">
        <w:rPr>
          <w:rFonts w:ascii="Times New Roman" w:hAnsi="Times New Roman"/>
          <w:lang w:val="en-GB"/>
        </w:rPr>
        <w:t>=0.098; p=0.762). Intraoperative maximum BG did not correlate with decreases of HGS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=0.133; p=0.394), MRC score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=0.017; p=0.909), VC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=0.116; p=0.721), or FEV1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=0.483; p=0.111). Intraoperative BG variability did not correlate with decreases of HGS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=0.186; p=0.232), MRC score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=0.019; p=0.900), VC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=-0.028; p=0.931), or FEV1 (</w:t>
      </w:r>
      <w:r>
        <w:rPr>
          <w:rFonts w:ascii="Times New Roman" w:hAnsi="Times New Roman"/>
          <w:lang w:val="en-GB"/>
        </w:rPr>
        <w:t>r</w:t>
      </w:r>
      <w:r w:rsidRPr="00C114A5">
        <w:rPr>
          <w:rFonts w:ascii="Times New Roman" w:hAnsi="Times New Roman"/>
          <w:lang w:val="en-GB"/>
        </w:rPr>
        <w:t>=0.336; p=0.286)</w:t>
      </w:r>
      <w:r w:rsidRPr="00F56BF3">
        <w:rPr>
          <w:rFonts w:ascii="Times New Roman" w:hAnsi="Times New Roman"/>
          <w:lang w:val="en-GB"/>
        </w:rPr>
        <w:t>.</w:t>
      </w:r>
    </w:p>
    <w:p w:rsidR="00CB1518" w:rsidRPr="00FE02D0" w:rsidRDefault="00CB1518">
      <w:pPr>
        <w:rPr>
          <w:lang w:val="en-GB"/>
        </w:rPr>
      </w:pPr>
      <w:bookmarkStart w:id="0" w:name="_GoBack"/>
      <w:bookmarkEnd w:id="0"/>
    </w:p>
    <w:sectPr w:rsidR="00CB1518" w:rsidRPr="00FE0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0"/>
    <w:rsid w:val="00037B16"/>
    <w:rsid w:val="002D29BA"/>
    <w:rsid w:val="00424E22"/>
    <w:rsid w:val="00B329F7"/>
    <w:rsid w:val="00CB1518"/>
    <w:rsid w:val="00FA6824"/>
    <w:rsid w:val="00FE02D0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6D9F-9AE5-4B39-962C-458BA77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>Charité Universitaetsmedizin Berlin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1</cp:revision>
  <dcterms:created xsi:type="dcterms:W3CDTF">2018-09-27T08:51:00Z</dcterms:created>
  <dcterms:modified xsi:type="dcterms:W3CDTF">2018-09-27T08:52:00Z</dcterms:modified>
</cp:coreProperties>
</file>