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34191" w14:textId="77777777" w:rsidR="00334E8B" w:rsidRPr="00250E08" w:rsidRDefault="00334E8B" w:rsidP="00334E8B">
      <w:pPr>
        <w:autoSpaceDE w:val="0"/>
        <w:autoSpaceDN w:val="0"/>
        <w:adjustRightInd w:val="0"/>
        <w:spacing w:after="0" w:line="240" w:lineRule="auto"/>
        <w:rPr>
          <w:rFonts w:ascii="Arial" w:eastAsiaTheme="minorEastAsia" w:hAnsi="Arial" w:cs="Arial"/>
          <w:b/>
          <w:sz w:val="24"/>
          <w:szCs w:val="24"/>
        </w:rPr>
      </w:pPr>
      <w:r w:rsidRPr="00250E08">
        <w:rPr>
          <w:rFonts w:ascii="Arial" w:eastAsiaTheme="minorEastAsia" w:hAnsi="Arial" w:cs="Arial"/>
          <w:b/>
          <w:sz w:val="24"/>
          <w:szCs w:val="24"/>
        </w:rPr>
        <w:t>Appendix 2</w:t>
      </w:r>
    </w:p>
    <w:p w14:paraId="54473569" w14:textId="77777777" w:rsidR="00334E8B" w:rsidRPr="00250E08" w:rsidRDefault="00334E8B" w:rsidP="00334E8B">
      <w:pPr>
        <w:autoSpaceDE w:val="0"/>
        <w:autoSpaceDN w:val="0"/>
        <w:adjustRightInd w:val="0"/>
        <w:spacing w:after="0" w:line="240" w:lineRule="auto"/>
        <w:rPr>
          <w:rFonts w:ascii="Arial" w:eastAsiaTheme="minorEastAsia" w:hAnsi="Arial" w:cs="Arial"/>
          <w:sz w:val="24"/>
          <w:szCs w:val="24"/>
        </w:rPr>
      </w:pPr>
    </w:p>
    <w:p w14:paraId="4AD8DFE6" w14:textId="77777777" w:rsidR="00334E8B" w:rsidRPr="00250E08" w:rsidRDefault="00334E8B" w:rsidP="00334E8B">
      <w:pPr>
        <w:autoSpaceDE w:val="0"/>
        <w:autoSpaceDN w:val="0"/>
        <w:adjustRightInd w:val="0"/>
        <w:spacing w:after="0" w:line="240" w:lineRule="auto"/>
        <w:rPr>
          <w:rFonts w:ascii="Arial" w:eastAsiaTheme="minorEastAsia" w:hAnsi="Arial" w:cs="Arial"/>
          <w:sz w:val="24"/>
          <w:szCs w:val="24"/>
        </w:rPr>
      </w:pPr>
      <w:r w:rsidRPr="00250E08">
        <w:rPr>
          <w:rFonts w:ascii="Arial" w:eastAsiaTheme="minorEastAsia" w:hAnsi="Arial" w:cs="Arial"/>
          <w:sz w:val="24"/>
          <w:szCs w:val="24"/>
        </w:rPr>
        <w:t xml:space="preserve">International Obstetric Anesthesia Experts Survey of Post-Cesarean Delivery Analgesia Practices and Respiratory Monitoring </w:t>
      </w:r>
      <w:r>
        <w:rPr>
          <w:rFonts w:ascii="Arial" w:eastAsiaTheme="minorEastAsia" w:hAnsi="Arial" w:cs="Arial"/>
          <w:sz w:val="24"/>
          <w:szCs w:val="24"/>
        </w:rPr>
        <w:t>F</w:t>
      </w:r>
      <w:r w:rsidRPr="00250E08">
        <w:rPr>
          <w:rFonts w:ascii="Arial" w:eastAsiaTheme="minorEastAsia" w:hAnsi="Arial" w:cs="Arial"/>
          <w:sz w:val="24"/>
          <w:szCs w:val="24"/>
        </w:rPr>
        <w:t>ollowing Neuraxial Opioid Use in Their Institution</w:t>
      </w:r>
    </w:p>
    <w:p w14:paraId="7D1263D3" w14:textId="77777777" w:rsidR="00334E8B" w:rsidRDefault="00334E8B" w:rsidP="00334E8B">
      <w:pPr>
        <w:autoSpaceDE w:val="0"/>
        <w:autoSpaceDN w:val="0"/>
        <w:adjustRightInd w:val="0"/>
        <w:spacing w:after="0" w:line="240" w:lineRule="auto"/>
        <w:rPr>
          <w:rFonts w:eastAsiaTheme="minorEastAsia"/>
        </w:rPr>
      </w:pPr>
    </w:p>
    <w:tbl>
      <w:tblPr>
        <w:tblStyle w:val="TableGrid"/>
        <w:tblW w:w="9468" w:type="dxa"/>
        <w:tblLook w:val="04A0" w:firstRow="1" w:lastRow="0" w:firstColumn="1" w:lastColumn="0" w:noHBand="0" w:noVBand="1"/>
      </w:tblPr>
      <w:tblGrid>
        <w:gridCol w:w="7915"/>
        <w:gridCol w:w="1553"/>
      </w:tblGrid>
      <w:tr w:rsidR="00334E8B" w:rsidRPr="00250E08" w14:paraId="0C1F5359" w14:textId="77777777" w:rsidTr="005E080D">
        <w:tc>
          <w:tcPr>
            <w:tcW w:w="7915" w:type="dxa"/>
          </w:tcPr>
          <w:p w14:paraId="458C9DB9" w14:textId="77777777" w:rsidR="00334E8B" w:rsidRPr="00250E08" w:rsidRDefault="00334E8B" w:rsidP="005E080D">
            <w:pPr>
              <w:autoSpaceDE w:val="0"/>
              <w:autoSpaceDN w:val="0"/>
              <w:adjustRightInd w:val="0"/>
              <w:rPr>
                <w:rFonts w:ascii="Arial" w:hAnsi="Arial" w:cs="Arial"/>
              </w:rPr>
            </w:pPr>
            <w:bookmarkStart w:id="0" w:name="_Hlk495671512"/>
            <w:r w:rsidRPr="00250E08">
              <w:rPr>
                <w:rFonts w:ascii="Arial" w:hAnsi="Arial" w:cs="Arial"/>
              </w:rPr>
              <w:t>Question/ Number of Member Responses</w:t>
            </w:r>
          </w:p>
        </w:tc>
        <w:tc>
          <w:tcPr>
            <w:tcW w:w="1553" w:type="dxa"/>
          </w:tcPr>
          <w:p w14:paraId="3E8B96A7"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Response</w:t>
            </w:r>
          </w:p>
        </w:tc>
      </w:tr>
      <w:tr w:rsidR="00334E8B" w:rsidRPr="00250E08" w14:paraId="265AF5EE" w14:textId="77777777" w:rsidTr="005E080D">
        <w:tc>
          <w:tcPr>
            <w:tcW w:w="7915" w:type="dxa"/>
          </w:tcPr>
          <w:p w14:paraId="28CD262B"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Country Represented: Australia; Austria; Belgium; Brazil; Canada; Chile; Colombia; Egypt; France; Germany; Iceland; Indonesia; Israel; Panama; Singapore; South Africa; Spain; Switzerland; United Kingdom</w:t>
            </w:r>
          </w:p>
        </w:tc>
        <w:tc>
          <w:tcPr>
            <w:tcW w:w="1553" w:type="dxa"/>
          </w:tcPr>
          <w:p w14:paraId="613E193C"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N=28</w:t>
            </w:r>
          </w:p>
        </w:tc>
      </w:tr>
      <w:tr w:rsidR="00334E8B" w:rsidRPr="00250E08" w14:paraId="6C807FA7" w14:textId="77777777" w:rsidTr="005E080D">
        <w:tc>
          <w:tcPr>
            <w:tcW w:w="7915" w:type="dxa"/>
          </w:tcPr>
          <w:p w14:paraId="0A996ADB" w14:textId="77777777" w:rsidR="00334E8B" w:rsidRPr="00250E08" w:rsidRDefault="00334E8B" w:rsidP="005E080D">
            <w:pPr>
              <w:autoSpaceDE w:val="0"/>
              <w:autoSpaceDN w:val="0"/>
              <w:adjustRightInd w:val="0"/>
              <w:rPr>
                <w:rFonts w:ascii="Arial" w:hAnsi="Arial" w:cs="Arial"/>
                <w:bCs/>
              </w:rPr>
            </w:pPr>
            <w:r w:rsidRPr="00250E08">
              <w:rPr>
                <w:rFonts w:ascii="Arial" w:hAnsi="Arial" w:cs="Arial"/>
                <w:bCs/>
              </w:rPr>
              <w:t>Are regional techniques (such as spinals and epidurals) the primary anesthetic used for cesarean delivery in your country?</w:t>
            </w:r>
          </w:p>
          <w:p w14:paraId="3AA4FA4C" w14:textId="77777777" w:rsidR="00334E8B" w:rsidRPr="00250E08" w:rsidRDefault="00334E8B" w:rsidP="005E080D">
            <w:pPr>
              <w:autoSpaceDE w:val="0"/>
              <w:autoSpaceDN w:val="0"/>
              <w:adjustRightInd w:val="0"/>
              <w:jc w:val="right"/>
              <w:rPr>
                <w:rFonts w:ascii="Arial" w:hAnsi="Arial" w:cs="Arial"/>
                <w:bCs/>
              </w:rPr>
            </w:pPr>
            <w:r w:rsidRPr="00250E08">
              <w:rPr>
                <w:rFonts w:ascii="Arial" w:hAnsi="Arial" w:cs="Arial"/>
                <w:bCs/>
              </w:rPr>
              <w:t>Yes</w:t>
            </w:r>
          </w:p>
          <w:p w14:paraId="66230BED" w14:textId="77777777" w:rsidR="00334E8B" w:rsidRPr="00250E08" w:rsidRDefault="00334E8B" w:rsidP="005E080D">
            <w:pPr>
              <w:autoSpaceDE w:val="0"/>
              <w:autoSpaceDN w:val="0"/>
              <w:adjustRightInd w:val="0"/>
              <w:jc w:val="right"/>
              <w:rPr>
                <w:rFonts w:ascii="Arial" w:hAnsi="Arial" w:cs="Arial"/>
                <w:bCs/>
              </w:rPr>
            </w:pPr>
            <w:r w:rsidRPr="00250E08">
              <w:rPr>
                <w:rFonts w:ascii="Arial" w:hAnsi="Arial" w:cs="Arial"/>
                <w:bCs/>
              </w:rPr>
              <w:t>No</w:t>
            </w:r>
          </w:p>
          <w:p w14:paraId="698D6686" w14:textId="77777777" w:rsidR="00334E8B" w:rsidRPr="00250E08" w:rsidRDefault="00334E8B" w:rsidP="005E080D">
            <w:pPr>
              <w:autoSpaceDE w:val="0"/>
              <w:autoSpaceDN w:val="0"/>
              <w:adjustRightInd w:val="0"/>
              <w:jc w:val="right"/>
              <w:rPr>
                <w:rFonts w:ascii="Arial" w:hAnsi="Arial" w:cs="Arial"/>
                <w:bCs/>
              </w:rPr>
            </w:pPr>
            <w:r w:rsidRPr="00250E08">
              <w:rPr>
                <w:rFonts w:ascii="Arial" w:hAnsi="Arial" w:cs="Arial"/>
                <w:bCs/>
              </w:rPr>
              <w:t>Don’t Know</w:t>
            </w:r>
          </w:p>
        </w:tc>
        <w:tc>
          <w:tcPr>
            <w:tcW w:w="1553" w:type="dxa"/>
          </w:tcPr>
          <w:p w14:paraId="70A3244E" w14:textId="77777777" w:rsidR="00334E8B" w:rsidRPr="00250E08" w:rsidRDefault="00334E8B" w:rsidP="005E080D">
            <w:pPr>
              <w:autoSpaceDE w:val="0"/>
              <w:autoSpaceDN w:val="0"/>
              <w:adjustRightInd w:val="0"/>
              <w:rPr>
                <w:rFonts w:ascii="Arial" w:hAnsi="Arial" w:cs="Arial"/>
                <w:bCs/>
              </w:rPr>
            </w:pPr>
            <w:r w:rsidRPr="00250E08">
              <w:rPr>
                <w:rFonts w:ascii="Arial" w:hAnsi="Arial" w:cs="Arial"/>
                <w:bCs/>
              </w:rPr>
              <w:t>N=28</w:t>
            </w:r>
          </w:p>
          <w:p w14:paraId="3DB4A751" w14:textId="77777777" w:rsidR="00334E8B" w:rsidRPr="00250E08" w:rsidRDefault="00334E8B" w:rsidP="005E080D">
            <w:pPr>
              <w:autoSpaceDE w:val="0"/>
              <w:autoSpaceDN w:val="0"/>
              <w:adjustRightInd w:val="0"/>
              <w:rPr>
                <w:rFonts w:ascii="Arial" w:hAnsi="Arial" w:cs="Arial"/>
                <w:bCs/>
              </w:rPr>
            </w:pPr>
          </w:p>
          <w:p w14:paraId="5683A651"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26(92.3)</w:t>
            </w:r>
          </w:p>
          <w:p w14:paraId="13904DBE"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1(3.6)</w:t>
            </w:r>
          </w:p>
          <w:p w14:paraId="22031D1C"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1(3.6)</w:t>
            </w:r>
          </w:p>
        </w:tc>
      </w:tr>
      <w:tr w:rsidR="00334E8B" w:rsidRPr="00250E08" w14:paraId="2F56EF16" w14:textId="77777777" w:rsidTr="005E080D">
        <w:tc>
          <w:tcPr>
            <w:tcW w:w="7915" w:type="dxa"/>
          </w:tcPr>
          <w:p w14:paraId="18AE2A9F"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Is intrathecal morphine routinely added to local anesthetic solution when doing spinal anesthesia for cesarean delivery?</w:t>
            </w:r>
          </w:p>
          <w:p w14:paraId="6CA5E076"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Yes</w:t>
            </w:r>
          </w:p>
          <w:p w14:paraId="32A112BE"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No</w:t>
            </w:r>
          </w:p>
        </w:tc>
        <w:tc>
          <w:tcPr>
            <w:tcW w:w="1553" w:type="dxa"/>
          </w:tcPr>
          <w:p w14:paraId="6858D0DF"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N=28</w:t>
            </w:r>
          </w:p>
          <w:p w14:paraId="3251F0A6" w14:textId="77777777" w:rsidR="00334E8B" w:rsidRPr="00250E08" w:rsidRDefault="00334E8B" w:rsidP="005E080D">
            <w:pPr>
              <w:autoSpaceDE w:val="0"/>
              <w:autoSpaceDN w:val="0"/>
              <w:adjustRightInd w:val="0"/>
              <w:rPr>
                <w:rFonts w:ascii="Arial" w:hAnsi="Arial" w:cs="Arial"/>
              </w:rPr>
            </w:pPr>
          </w:p>
          <w:p w14:paraId="0C89F0E4"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14 (42.9)</w:t>
            </w:r>
          </w:p>
          <w:p w14:paraId="22EB137A"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16 (57.1)</w:t>
            </w:r>
          </w:p>
        </w:tc>
      </w:tr>
      <w:tr w:rsidR="00334E8B" w:rsidRPr="00250E08" w14:paraId="537B16DE" w14:textId="77777777" w:rsidTr="005E080D">
        <w:tc>
          <w:tcPr>
            <w:tcW w:w="7915" w:type="dxa"/>
          </w:tcPr>
          <w:p w14:paraId="351EE893"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If no, why not?</w:t>
            </w:r>
          </w:p>
          <w:p w14:paraId="7DCD111C"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Hospital Policy</w:t>
            </w:r>
          </w:p>
          <w:p w14:paraId="3F166AD7"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Inability to Monitor</w:t>
            </w:r>
          </w:p>
          <w:p w14:paraId="5A0D83C2"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Drug Not Available</w:t>
            </w:r>
          </w:p>
          <w:p w14:paraId="53849885"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Other</w:t>
            </w:r>
          </w:p>
        </w:tc>
        <w:tc>
          <w:tcPr>
            <w:tcW w:w="1553" w:type="dxa"/>
          </w:tcPr>
          <w:p w14:paraId="20DC0780"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N=16</w:t>
            </w:r>
          </w:p>
          <w:p w14:paraId="34188388"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3 (18.8)</w:t>
            </w:r>
          </w:p>
          <w:p w14:paraId="2B7ABD91"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 xml:space="preserve">6 (37.5) </w:t>
            </w:r>
          </w:p>
          <w:p w14:paraId="1EC73041"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3 (18.8)</w:t>
            </w:r>
          </w:p>
          <w:p w14:paraId="5A92F984"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4 (25)</w:t>
            </w:r>
          </w:p>
        </w:tc>
      </w:tr>
      <w:tr w:rsidR="00334E8B" w:rsidRPr="00250E08" w14:paraId="7D80C087" w14:textId="77777777" w:rsidTr="005E080D">
        <w:tc>
          <w:tcPr>
            <w:tcW w:w="7915" w:type="dxa"/>
          </w:tcPr>
          <w:p w14:paraId="34291B4A"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What dose of intrathecal morphine is typically used in your country?</w:t>
            </w:r>
          </w:p>
          <w:p w14:paraId="2808BB27"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0.05 mg</w:t>
            </w:r>
          </w:p>
          <w:p w14:paraId="720095C4"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0.1 mg</w:t>
            </w:r>
          </w:p>
          <w:p w14:paraId="1B7E6ECD"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0.15 mg</w:t>
            </w:r>
          </w:p>
          <w:p w14:paraId="5C6D65D8"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0.2 mg</w:t>
            </w:r>
          </w:p>
          <w:p w14:paraId="6BE8F239"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Don’t use intrathecal morphine</w:t>
            </w:r>
          </w:p>
        </w:tc>
        <w:tc>
          <w:tcPr>
            <w:tcW w:w="1553" w:type="dxa"/>
          </w:tcPr>
          <w:p w14:paraId="62A15DFB"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N=28</w:t>
            </w:r>
          </w:p>
          <w:p w14:paraId="639F47F7"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 (3.6)</w:t>
            </w:r>
          </w:p>
          <w:p w14:paraId="7098AA24"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15 (53.6)</w:t>
            </w:r>
          </w:p>
          <w:p w14:paraId="2BC417FF"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4 (14.3)</w:t>
            </w:r>
          </w:p>
          <w:p w14:paraId="1CD9614A"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 xml:space="preserve">1 (3.6) </w:t>
            </w:r>
          </w:p>
          <w:p w14:paraId="5A760A94"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7 (25)</w:t>
            </w:r>
          </w:p>
        </w:tc>
      </w:tr>
      <w:tr w:rsidR="00334E8B" w:rsidRPr="00250E08" w14:paraId="593C3483" w14:textId="77777777" w:rsidTr="005E080D">
        <w:tc>
          <w:tcPr>
            <w:tcW w:w="7915" w:type="dxa"/>
            <w:shd w:val="clear" w:color="auto" w:fill="auto"/>
          </w:tcPr>
          <w:p w14:paraId="4F670968"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For healthy patients (without comorbidities or risk factors for respiratory depression) receiving intrathecal morphine for cesarean delivery, do you consider the ASA/ASRA guidelines for respiratory depression monitoring after neuraxial opioids (i.e.</w:t>
            </w:r>
            <w:r>
              <w:rPr>
                <w:rFonts w:ascii="Arial" w:hAnsi="Arial" w:cs="Arial"/>
              </w:rPr>
              <w:t>,</w:t>
            </w:r>
            <w:r w:rsidRPr="00250E08">
              <w:rPr>
                <w:rFonts w:ascii="Arial" w:hAnsi="Arial" w:cs="Arial"/>
              </w:rPr>
              <w:t xml:space="preserve"> clinical assessments with or without oximetry/capnography intermittently every hour for 0-12 hours and then every 2 hours for 12-24 hours) to be:</w:t>
            </w:r>
          </w:p>
          <w:p w14:paraId="3EE0B91E"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Too stringent</w:t>
            </w:r>
          </w:p>
          <w:p w14:paraId="4E2A81AC"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Too lenient</w:t>
            </w:r>
          </w:p>
          <w:p w14:paraId="4FBD9227"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Just right</w:t>
            </w:r>
          </w:p>
          <w:p w14:paraId="369CC6DF"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Unaware of ASA Guidelines</w:t>
            </w:r>
          </w:p>
        </w:tc>
        <w:tc>
          <w:tcPr>
            <w:tcW w:w="1553" w:type="dxa"/>
            <w:shd w:val="clear" w:color="auto" w:fill="auto"/>
          </w:tcPr>
          <w:p w14:paraId="378637A6" w14:textId="77777777" w:rsidR="00334E8B" w:rsidRPr="00250E08" w:rsidRDefault="00334E8B" w:rsidP="005E080D">
            <w:pPr>
              <w:rPr>
                <w:rFonts w:ascii="Arial" w:hAnsi="Arial" w:cs="Arial"/>
              </w:rPr>
            </w:pPr>
            <w:r w:rsidRPr="00250E08">
              <w:rPr>
                <w:rFonts w:ascii="Arial" w:hAnsi="Arial" w:cs="Arial"/>
              </w:rPr>
              <w:t>N=28</w:t>
            </w:r>
          </w:p>
          <w:p w14:paraId="33119E97" w14:textId="77777777" w:rsidR="00334E8B" w:rsidRPr="00250E08" w:rsidRDefault="00334E8B" w:rsidP="005E080D">
            <w:pPr>
              <w:rPr>
                <w:rFonts w:ascii="Arial" w:hAnsi="Arial" w:cs="Arial"/>
              </w:rPr>
            </w:pPr>
          </w:p>
          <w:p w14:paraId="45FDE50A" w14:textId="77777777" w:rsidR="00334E8B" w:rsidRPr="00250E08" w:rsidRDefault="00334E8B" w:rsidP="005E080D">
            <w:pPr>
              <w:rPr>
                <w:rFonts w:ascii="Arial" w:hAnsi="Arial" w:cs="Arial"/>
              </w:rPr>
            </w:pPr>
          </w:p>
          <w:p w14:paraId="384896D6" w14:textId="77777777" w:rsidR="00334E8B" w:rsidRPr="00250E08" w:rsidRDefault="00334E8B" w:rsidP="005E080D">
            <w:pPr>
              <w:rPr>
                <w:rFonts w:ascii="Arial" w:hAnsi="Arial" w:cs="Arial"/>
              </w:rPr>
            </w:pPr>
          </w:p>
          <w:p w14:paraId="53CF604A" w14:textId="77777777" w:rsidR="00334E8B" w:rsidRPr="00250E08" w:rsidRDefault="00334E8B" w:rsidP="005E080D">
            <w:pPr>
              <w:rPr>
                <w:rFonts w:ascii="Arial" w:hAnsi="Arial" w:cs="Arial"/>
              </w:rPr>
            </w:pPr>
          </w:p>
          <w:p w14:paraId="55ADDAD6" w14:textId="77777777" w:rsidR="00334E8B" w:rsidRPr="00250E08" w:rsidRDefault="00334E8B" w:rsidP="005E080D">
            <w:pPr>
              <w:rPr>
                <w:rFonts w:ascii="Arial" w:hAnsi="Arial" w:cs="Arial"/>
              </w:rPr>
            </w:pPr>
          </w:p>
          <w:p w14:paraId="09B1296C" w14:textId="77777777" w:rsidR="00334E8B" w:rsidRPr="00250E08" w:rsidRDefault="00334E8B" w:rsidP="005E080D">
            <w:pPr>
              <w:rPr>
                <w:rFonts w:ascii="Arial" w:hAnsi="Arial" w:cs="Arial"/>
              </w:rPr>
            </w:pPr>
            <w:r w:rsidRPr="00250E08">
              <w:rPr>
                <w:rFonts w:ascii="Arial" w:hAnsi="Arial" w:cs="Arial"/>
              </w:rPr>
              <w:t>15 (53.6)</w:t>
            </w:r>
          </w:p>
          <w:p w14:paraId="6C8EDA5D" w14:textId="77777777" w:rsidR="00334E8B" w:rsidRPr="00250E08" w:rsidRDefault="00334E8B" w:rsidP="005E080D">
            <w:pPr>
              <w:rPr>
                <w:rFonts w:ascii="Arial" w:hAnsi="Arial" w:cs="Arial"/>
              </w:rPr>
            </w:pPr>
            <w:r w:rsidRPr="00250E08">
              <w:rPr>
                <w:rFonts w:ascii="Arial" w:hAnsi="Arial" w:cs="Arial"/>
              </w:rPr>
              <w:t>4 (14.3)</w:t>
            </w:r>
          </w:p>
          <w:p w14:paraId="3F5C2296" w14:textId="77777777" w:rsidR="00334E8B" w:rsidRPr="00250E08" w:rsidRDefault="00334E8B" w:rsidP="005E080D">
            <w:pPr>
              <w:rPr>
                <w:rFonts w:ascii="Arial" w:hAnsi="Arial" w:cs="Arial"/>
              </w:rPr>
            </w:pPr>
            <w:r w:rsidRPr="00250E08">
              <w:rPr>
                <w:rFonts w:ascii="Arial" w:hAnsi="Arial" w:cs="Arial"/>
              </w:rPr>
              <w:t>8 (28.6)</w:t>
            </w:r>
          </w:p>
          <w:p w14:paraId="4CA7B79F" w14:textId="77777777" w:rsidR="00334E8B" w:rsidRPr="00250E08" w:rsidRDefault="00334E8B" w:rsidP="005E080D">
            <w:pPr>
              <w:rPr>
                <w:rFonts w:ascii="Arial" w:hAnsi="Arial" w:cs="Arial"/>
              </w:rPr>
            </w:pPr>
            <w:r w:rsidRPr="00250E08">
              <w:rPr>
                <w:rFonts w:ascii="Arial" w:hAnsi="Arial" w:cs="Arial"/>
              </w:rPr>
              <w:t>1 (3.6)</w:t>
            </w:r>
          </w:p>
        </w:tc>
      </w:tr>
      <w:tr w:rsidR="00334E8B" w:rsidRPr="00250E08" w14:paraId="52236ED0" w14:textId="77777777" w:rsidTr="005E080D">
        <w:trPr>
          <w:trHeight w:val="1070"/>
        </w:trPr>
        <w:tc>
          <w:tcPr>
            <w:tcW w:w="7915" w:type="dxa"/>
          </w:tcPr>
          <w:p w14:paraId="75B7790D"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Why too stringent? (</w:t>
            </w:r>
            <w:r>
              <w:rPr>
                <w:rFonts w:ascii="Arial" w:hAnsi="Arial" w:cs="Arial"/>
              </w:rPr>
              <w:t>M</w:t>
            </w:r>
            <w:r w:rsidRPr="00250E08">
              <w:rPr>
                <w:rFonts w:ascii="Arial" w:hAnsi="Arial" w:cs="Arial"/>
              </w:rPr>
              <w:t>ark all that apply)</w:t>
            </w:r>
          </w:p>
          <w:p w14:paraId="1AABE468"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Too frequent assessments</w:t>
            </w:r>
          </w:p>
          <w:p w14:paraId="4F6626D9"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Too long duration of monitoring</w:t>
            </w:r>
          </w:p>
        </w:tc>
        <w:tc>
          <w:tcPr>
            <w:tcW w:w="1553" w:type="dxa"/>
          </w:tcPr>
          <w:p w14:paraId="1CED2E19"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N=14</w:t>
            </w:r>
          </w:p>
          <w:p w14:paraId="520E31B3"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11 (78.6)</w:t>
            </w:r>
          </w:p>
          <w:p w14:paraId="059577D9"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3 (21.4)</w:t>
            </w:r>
          </w:p>
        </w:tc>
      </w:tr>
      <w:tr w:rsidR="00334E8B" w:rsidRPr="00250E08" w14:paraId="7505B4BA" w14:textId="77777777" w:rsidTr="005E080D">
        <w:tc>
          <w:tcPr>
            <w:tcW w:w="7915" w:type="dxa"/>
          </w:tcPr>
          <w:p w14:paraId="345EF722"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Why too lenient? Mark all that apply</w:t>
            </w:r>
          </w:p>
          <w:p w14:paraId="3A3B9776"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More frequent assessments needed</w:t>
            </w:r>
          </w:p>
          <w:p w14:paraId="1B2E67FB"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Monitoring should be continuous</w:t>
            </w:r>
          </w:p>
          <w:p w14:paraId="5E57C10D"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Capnography should be used</w:t>
            </w:r>
          </w:p>
        </w:tc>
        <w:tc>
          <w:tcPr>
            <w:tcW w:w="1553" w:type="dxa"/>
          </w:tcPr>
          <w:p w14:paraId="67960AC1"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N=5</w:t>
            </w:r>
          </w:p>
          <w:p w14:paraId="022771B2"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 (20)</w:t>
            </w:r>
          </w:p>
          <w:p w14:paraId="3E417C80"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3 (60)</w:t>
            </w:r>
          </w:p>
          <w:p w14:paraId="7152153D"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 (20)</w:t>
            </w:r>
          </w:p>
        </w:tc>
      </w:tr>
      <w:tr w:rsidR="00334E8B" w:rsidRPr="00250E08" w14:paraId="2C1436F4" w14:textId="77777777" w:rsidTr="005E080D">
        <w:tc>
          <w:tcPr>
            <w:tcW w:w="7915" w:type="dxa"/>
          </w:tcPr>
          <w:p w14:paraId="76F32F3D"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Please state your degree of agreement with the following recommen</w:t>
            </w:r>
            <w:r>
              <w:rPr>
                <w:rFonts w:ascii="Arial" w:hAnsi="Arial" w:cs="Arial"/>
              </w:rPr>
              <w:t>dations: When using low-</w:t>
            </w:r>
            <w:r w:rsidRPr="00250E08">
              <w:rPr>
                <w:rFonts w:ascii="Arial" w:hAnsi="Arial" w:cs="Arial"/>
              </w:rPr>
              <w:t>dose intrathecal morphine (0.05-0.15mg) or epidural</w:t>
            </w:r>
            <w:r>
              <w:rPr>
                <w:rFonts w:ascii="Arial" w:hAnsi="Arial" w:cs="Arial"/>
              </w:rPr>
              <w:t xml:space="preserve"> morphine (1-3mg) in low-</w:t>
            </w:r>
            <w:r w:rsidRPr="00250E08">
              <w:rPr>
                <w:rFonts w:ascii="Arial" w:hAnsi="Arial" w:cs="Arial"/>
              </w:rPr>
              <w:t xml:space="preserve">risk, healthy </w:t>
            </w:r>
            <w:proofErr w:type="spellStart"/>
            <w:r w:rsidRPr="00250E08">
              <w:rPr>
                <w:rFonts w:ascii="Arial" w:hAnsi="Arial" w:cs="Arial"/>
              </w:rPr>
              <w:t>parturients</w:t>
            </w:r>
            <w:proofErr w:type="spellEnd"/>
            <w:r w:rsidRPr="00250E08">
              <w:rPr>
                <w:rFonts w:ascii="Arial" w:hAnsi="Arial" w:cs="Arial"/>
              </w:rPr>
              <w:t xml:space="preserve">: The Task Force members agree that monitoring using respiratory rate </w:t>
            </w:r>
            <w:r w:rsidRPr="00250E08">
              <w:rPr>
                <w:rFonts w:ascii="Arial" w:hAnsi="Arial" w:cs="Arial"/>
              </w:rPr>
              <w:lastRenderedPageBreak/>
              <w:t>and sedation assessments should be every 3 hours for 12 hours, in addition to routine institutional postoperative monitoring.</w:t>
            </w:r>
          </w:p>
          <w:p w14:paraId="6A68381C"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Strongly agree</w:t>
            </w:r>
          </w:p>
          <w:p w14:paraId="3B3D7B3D"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Agree</w:t>
            </w:r>
          </w:p>
          <w:p w14:paraId="40ADB0AC"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Neutral</w:t>
            </w:r>
          </w:p>
          <w:p w14:paraId="625F8455"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Disagree</w:t>
            </w:r>
          </w:p>
          <w:p w14:paraId="0564A685"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Strongly disagree</w:t>
            </w:r>
          </w:p>
        </w:tc>
        <w:tc>
          <w:tcPr>
            <w:tcW w:w="1553" w:type="dxa"/>
          </w:tcPr>
          <w:p w14:paraId="0154F68A"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lastRenderedPageBreak/>
              <w:t>N=27</w:t>
            </w:r>
          </w:p>
          <w:p w14:paraId="3382C4C8" w14:textId="77777777" w:rsidR="00334E8B" w:rsidRPr="00250E08" w:rsidRDefault="00334E8B" w:rsidP="005E080D">
            <w:pPr>
              <w:autoSpaceDE w:val="0"/>
              <w:autoSpaceDN w:val="0"/>
              <w:adjustRightInd w:val="0"/>
              <w:rPr>
                <w:rFonts w:ascii="Arial" w:hAnsi="Arial" w:cs="Arial"/>
              </w:rPr>
            </w:pPr>
          </w:p>
          <w:p w14:paraId="3AC3EC6C" w14:textId="77777777" w:rsidR="00334E8B" w:rsidRPr="00250E08" w:rsidRDefault="00334E8B" w:rsidP="005E080D">
            <w:pPr>
              <w:autoSpaceDE w:val="0"/>
              <w:autoSpaceDN w:val="0"/>
              <w:adjustRightInd w:val="0"/>
              <w:rPr>
                <w:rFonts w:ascii="Arial" w:hAnsi="Arial" w:cs="Arial"/>
              </w:rPr>
            </w:pPr>
          </w:p>
          <w:p w14:paraId="0951C052" w14:textId="77777777" w:rsidR="00334E8B" w:rsidRPr="00250E08" w:rsidRDefault="00334E8B" w:rsidP="005E080D">
            <w:pPr>
              <w:autoSpaceDE w:val="0"/>
              <w:autoSpaceDN w:val="0"/>
              <w:adjustRightInd w:val="0"/>
              <w:rPr>
                <w:rFonts w:ascii="Arial" w:hAnsi="Arial" w:cs="Arial"/>
              </w:rPr>
            </w:pPr>
          </w:p>
          <w:p w14:paraId="204BB3C0" w14:textId="77777777" w:rsidR="00334E8B" w:rsidRPr="00250E08" w:rsidRDefault="00334E8B" w:rsidP="005E080D">
            <w:pPr>
              <w:autoSpaceDE w:val="0"/>
              <w:autoSpaceDN w:val="0"/>
              <w:adjustRightInd w:val="0"/>
              <w:rPr>
                <w:rFonts w:ascii="Arial" w:hAnsi="Arial" w:cs="Arial"/>
              </w:rPr>
            </w:pPr>
          </w:p>
          <w:p w14:paraId="133B9BCD" w14:textId="77777777" w:rsidR="00334E8B" w:rsidRPr="00250E08" w:rsidRDefault="00334E8B" w:rsidP="005E080D">
            <w:pPr>
              <w:autoSpaceDE w:val="0"/>
              <w:autoSpaceDN w:val="0"/>
              <w:adjustRightInd w:val="0"/>
              <w:rPr>
                <w:rFonts w:ascii="Arial" w:hAnsi="Arial" w:cs="Arial"/>
              </w:rPr>
            </w:pPr>
          </w:p>
          <w:p w14:paraId="70D4D326"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4 (14.8)</w:t>
            </w:r>
          </w:p>
          <w:p w14:paraId="2FB5442E"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12 (44.44)</w:t>
            </w:r>
          </w:p>
          <w:p w14:paraId="5805576D"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 (3.7)</w:t>
            </w:r>
          </w:p>
          <w:p w14:paraId="5FF7CBB5"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8 (30)</w:t>
            </w:r>
          </w:p>
          <w:p w14:paraId="404EDA29"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2 (7.4)</w:t>
            </w:r>
          </w:p>
        </w:tc>
      </w:tr>
      <w:tr w:rsidR="00334E8B" w:rsidRPr="00250E08" w14:paraId="558D5C23" w14:textId="77777777" w:rsidTr="005E080D">
        <w:tc>
          <w:tcPr>
            <w:tcW w:w="7915" w:type="dxa"/>
          </w:tcPr>
          <w:p w14:paraId="1E8D033D"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lastRenderedPageBreak/>
              <w:t>If disagree, why do you disagree?</w:t>
            </w:r>
          </w:p>
          <w:p w14:paraId="22C1F169"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Too stringent</w:t>
            </w:r>
          </w:p>
          <w:p w14:paraId="0557101B"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Too lenient</w:t>
            </w:r>
          </w:p>
          <w:p w14:paraId="78118FCE"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Clinician judgement should be used</w:t>
            </w:r>
          </w:p>
        </w:tc>
        <w:tc>
          <w:tcPr>
            <w:tcW w:w="1553" w:type="dxa"/>
          </w:tcPr>
          <w:p w14:paraId="54C6D449"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N=10</w:t>
            </w:r>
          </w:p>
          <w:p w14:paraId="6ACAD77F"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5 (50)</w:t>
            </w:r>
          </w:p>
          <w:p w14:paraId="02BA2152"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4 (40)</w:t>
            </w:r>
          </w:p>
          <w:p w14:paraId="399CF5C5"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 (10)</w:t>
            </w:r>
          </w:p>
        </w:tc>
      </w:tr>
      <w:tr w:rsidR="00334E8B" w:rsidRPr="00250E08" w14:paraId="655F94EF" w14:textId="77777777" w:rsidTr="005E080D">
        <w:tc>
          <w:tcPr>
            <w:tcW w:w="7915" w:type="dxa"/>
          </w:tcPr>
          <w:p w14:paraId="2B1485D4"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When using higher dose of intrathecal morphine (&gt;0.15mg) or epidural morphine (&gt;3mg): The Task Force members agree that monitoring should be based on ASA or ASRA Practice Guidelines for the Prevention, Detection, and Management of Respiratory Depression Associated with Neuraxial Opioid Administration. (i.e.</w:t>
            </w:r>
            <w:r>
              <w:rPr>
                <w:rFonts w:ascii="Arial" w:hAnsi="Arial" w:cs="Arial"/>
              </w:rPr>
              <w:t>,</w:t>
            </w:r>
            <w:r w:rsidRPr="00250E08">
              <w:rPr>
                <w:rFonts w:ascii="Arial" w:hAnsi="Arial" w:cs="Arial"/>
              </w:rPr>
              <w:t xml:space="preserve"> clinical respiratory rate and sedation assessments with or without oximetry/capnography intermittently every hour for 0-12 hours and then every 2 hours for 12-24 hours)</w:t>
            </w:r>
          </w:p>
          <w:p w14:paraId="4D5EEB0F"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 xml:space="preserve">Strongly </w:t>
            </w:r>
            <w:r>
              <w:rPr>
                <w:rFonts w:ascii="Arial" w:hAnsi="Arial" w:cs="Arial"/>
              </w:rPr>
              <w:t>a</w:t>
            </w:r>
            <w:r w:rsidRPr="00250E08">
              <w:rPr>
                <w:rFonts w:ascii="Arial" w:hAnsi="Arial" w:cs="Arial"/>
              </w:rPr>
              <w:t>gree</w:t>
            </w:r>
          </w:p>
          <w:p w14:paraId="4D6C7E82"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Agree</w:t>
            </w:r>
          </w:p>
          <w:p w14:paraId="563E15D2"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 xml:space="preserve">Neutral </w:t>
            </w:r>
          </w:p>
          <w:p w14:paraId="26D7F5E7"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Disagree</w:t>
            </w:r>
          </w:p>
          <w:p w14:paraId="460165E0"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Strongly disagree</w:t>
            </w:r>
          </w:p>
        </w:tc>
        <w:tc>
          <w:tcPr>
            <w:tcW w:w="1553" w:type="dxa"/>
          </w:tcPr>
          <w:p w14:paraId="3EAE1CBD"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N=27</w:t>
            </w:r>
          </w:p>
          <w:p w14:paraId="38915ABF" w14:textId="77777777" w:rsidR="00334E8B" w:rsidRPr="00250E08" w:rsidRDefault="00334E8B" w:rsidP="005E080D">
            <w:pPr>
              <w:autoSpaceDE w:val="0"/>
              <w:autoSpaceDN w:val="0"/>
              <w:adjustRightInd w:val="0"/>
              <w:rPr>
                <w:rFonts w:ascii="Arial" w:hAnsi="Arial" w:cs="Arial"/>
              </w:rPr>
            </w:pPr>
          </w:p>
          <w:p w14:paraId="3B53344B" w14:textId="77777777" w:rsidR="00334E8B" w:rsidRPr="00250E08" w:rsidRDefault="00334E8B" w:rsidP="005E080D">
            <w:pPr>
              <w:autoSpaceDE w:val="0"/>
              <w:autoSpaceDN w:val="0"/>
              <w:adjustRightInd w:val="0"/>
              <w:rPr>
                <w:rFonts w:ascii="Arial" w:hAnsi="Arial" w:cs="Arial"/>
              </w:rPr>
            </w:pPr>
          </w:p>
          <w:p w14:paraId="0209F219" w14:textId="77777777" w:rsidR="00334E8B" w:rsidRPr="00250E08" w:rsidRDefault="00334E8B" w:rsidP="005E080D">
            <w:pPr>
              <w:autoSpaceDE w:val="0"/>
              <w:autoSpaceDN w:val="0"/>
              <w:adjustRightInd w:val="0"/>
              <w:rPr>
                <w:rFonts w:ascii="Arial" w:hAnsi="Arial" w:cs="Arial"/>
              </w:rPr>
            </w:pPr>
          </w:p>
          <w:p w14:paraId="52995C2F" w14:textId="77777777" w:rsidR="00334E8B" w:rsidRPr="00250E08" w:rsidRDefault="00334E8B" w:rsidP="005E080D">
            <w:pPr>
              <w:autoSpaceDE w:val="0"/>
              <w:autoSpaceDN w:val="0"/>
              <w:adjustRightInd w:val="0"/>
              <w:rPr>
                <w:rFonts w:ascii="Arial" w:hAnsi="Arial" w:cs="Arial"/>
              </w:rPr>
            </w:pPr>
          </w:p>
          <w:p w14:paraId="60724C45" w14:textId="77777777" w:rsidR="00334E8B" w:rsidRPr="00250E08" w:rsidRDefault="00334E8B" w:rsidP="005E080D">
            <w:pPr>
              <w:autoSpaceDE w:val="0"/>
              <w:autoSpaceDN w:val="0"/>
              <w:adjustRightInd w:val="0"/>
              <w:rPr>
                <w:rFonts w:ascii="Arial" w:hAnsi="Arial" w:cs="Arial"/>
              </w:rPr>
            </w:pPr>
          </w:p>
          <w:p w14:paraId="1BE4D1B4" w14:textId="77777777" w:rsidR="00334E8B" w:rsidRPr="00250E08" w:rsidRDefault="00334E8B" w:rsidP="005E080D">
            <w:pPr>
              <w:autoSpaceDE w:val="0"/>
              <w:autoSpaceDN w:val="0"/>
              <w:adjustRightInd w:val="0"/>
              <w:rPr>
                <w:rFonts w:ascii="Arial" w:hAnsi="Arial" w:cs="Arial"/>
              </w:rPr>
            </w:pPr>
          </w:p>
          <w:p w14:paraId="344DA9AD"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2 (7.4)</w:t>
            </w:r>
          </w:p>
          <w:p w14:paraId="22733009"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16 (59.3)</w:t>
            </w:r>
          </w:p>
          <w:p w14:paraId="3806891C"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5 (18.5)</w:t>
            </w:r>
          </w:p>
          <w:p w14:paraId="6DC6C7B8"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3 (11.1)</w:t>
            </w:r>
          </w:p>
          <w:p w14:paraId="7DE8C1CB"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 (3.7)</w:t>
            </w:r>
          </w:p>
        </w:tc>
      </w:tr>
      <w:tr w:rsidR="00334E8B" w:rsidRPr="00250E08" w14:paraId="790F011F" w14:textId="77777777" w:rsidTr="005E080D">
        <w:tc>
          <w:tcPr>
            <w:tcW w:w="7915" w:type="dxa"/>
          </w:tcPr>
          <w:p w14:paraId="1EE18F56"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If disagree, why do you disagree?</w:t>
            </w:r>
          </w:p>
          <w:p w14:paraId="4E44890B"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Too stringent</w:t>
            </w:r>
          </w:p>
          <w:p w14:paraId="364A4AAE"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Too lenient</w:t>
            </w:r>
          </w:p>
          <w:p w14:paraId="5B1FCD53"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Clinician judgement should be used</w:t>
            </w:r>
          </w:p>
        </w:tc>
        <w:tc>
          <w:tcPr>
            <w:tcW w:w="1553" w:type="dxa"/>
          </w:tcPr>
          <w:p w14:paraId="6E14DA5E"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N=3</w:t>
            </w:r>
          </w:p>
          <w:p w14:paraId="310A3399"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 (33.3)</w:t>
            </w:r>
          </w:p>
          <w:p w14:paraId="6F6A3A56"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 (33.3)</w:t>
            </w:r>
          </w:p>
          <w:p w14:paraId="594CF990"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 (33.3)</w:t>
            </w:r>
          </w:p>
        </w:tc>
      </w:tr>
      <w:tr w:rsidR="00334E8B" w:rsidRPr="00250E08" w14:paraId="344B9AA3" w14:textId="77777777" w:rsidTr="005E080D">
        <w:tc>
          <w:tcPr>
            <w:tcW w:w="7915" w:type="dxa"/>
          </w:tcPr>
          <w:p w14:paraId="4FAAED1C"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When usi</w:t>
            </w:r>
            <w:r>
              <w:rPr>
                <w:rFonts w:ascii="Arial" w:hAnsi="Arial" w:cs="Arial"/>
              </w:rPr>
              <w:t>ng ultra low-</w:t>
            </w:r>
            <w:r w:rsidRPr="00250E08">
              <w:rPr>
                <w:rFonts w:ascii="Arial" w:hAnsi="Arial" w:cs="Arial"/>
              </w:rPr>
              <w:t xml:space="preserve">dose </w:t>
            </w:r>
            <w:r>
              <w:rPr>
                <w:rFonts w:ascii="Arial" w:hAnsi="Arial" w:cs="Arial"/>
              </w:rPr>
              <w:t>≤</w:t>
            </w:r>
            <w:r w:rsidRPr="00250E08">
              <w:rPr>
                <w:rFonts w:ascii="Arial" w:hAnsi="Arial" w:cs="Arial"/>
              </w:rPr>
              <w:t xml:space="preserve">0.05mg of intrathecal morphine or </w:t>
            </w:r>
            <w:r>
              <w:rPr>
                <w:rFonts w:ascii="Arial" w:hAnsi="Arial" w:cs="Arial"/>
              </w:rPr>
              <w:t>≤</w:t>
            </w:r>
            <w:r w:rsidRPr="00250E08">
              <w:rPr>
                <w:rFonts w:ascii="Arial" w:hAnsi="Arial" w:cs="Arial"/>
              </w:rPr>
              <w:t>1mg of epidural</w:t>
            </w:r>
            <w:r>
              <w:rPr>
                <w:rFonts w:ascii="Arial" w:hAnsi="Arial" w:cs="Arial"/>
              </w:rPr>
              <w:t xml:space="preserve"> morphine in low-</w:t>
            </w:r>
            <w:r w:rsidRPr="00250E08">
              <w:rPr>
                <w:rFonts w:ascii="Arial" w:hAnsi="Arial" w:cs="Arial"/>
              </w:rPr>
              <w:t xml:space="preserve">risk, healthy </w:t>
            </w:r>
            <w:proofErr w:type="spellStart"/>
            <w:r w:rsidRPr="00250E08">
              <w:rPr>
                <w:rFonts w:ascii="Arial" w:hAnsi="Arial" w:cs="Arial"/>
              </w:rPr>
              <w:t>parturients</w:t>
            </w:r>
            <w:proofErr w:type="spellEnd"/>
            <w:r w:rsidRPr="00250E08">
              <w:rPr>
                <w:rFonts w:ascii="Arial" w:hAnsi="Arial" w:cs="Arial"/>
              </w:rPr>
              <w:t>: The Task Force members agree that additional respiratory monitoring beyond routine institutional postoperative cesarean monitoring is not needed. Although ultra-low neuraxial doses do not provide as optimal analgesia compared to larger doses, when used in combination with a nonopioid multimodal analgesic regimen is a reasonable option in low resource settings with limitations for postoperative monitoring.</w:t>
            </w:r>
          </w:p>
          <w:p w14:paraId="6B5725E8" w14:textId="77777777" w:rsidR="00334E8B" w:rsidRPr="00250E08" w:rsidRDefault="00334E8B" w:rsidP="005E080D">
            <w:pPr>
              <w:autoSpaceDE w:val="0"/>
              <w:autoSpaceDN w:val="0"/>
              <w:adjustRightInd w:val="0"/>
              <w:jc w:val="right"/>
              <w:rPr>
                <w:rFonts w:ascii="Arial" w:hAnsi="Arial" w:cs="Arial"/>
              </w:rPr>
            </w:pPr>
          </w:p>
          <w:p w14:paraId="09563437"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Strongly agree</w:t>
            </w:r>
          </w:p>
          <w:p w14:paraId="4B1DCA11"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Agree</w:t>
            </w:r>
          </w:p>
          <w:p w14:paraId="50DDCED5"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Neutral</w:t>
            </w:r>
          </w:p>
          <w:p w14:paraId="6854A75B"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 xml:space="preserve">Disagree </w:t>
            </w:r>
          </w:p>
          <w:p w14:paraId="12A53011"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Strongly disagree</w:t>
            </w:r>
          </w:p>
        </w:tc>
        <w:tc>
          <w:tcPr>
            <w:tcW w:w="1553" w:type="dxa"/>
          </w:tcPr>
          <w:p w14:paraId="6631C621"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N=26</w:t>
            </w:r>
          </w:p>
          <w:p w14:paraId="1E8AC48B" w14:textId="77777777" w:rsidR="00334E8B" w:rsidRPr="00250E08" w:rsidRDefault="00334E8B" w:rsidP="005E080D">
            <w:pPr>
              <w:autoSpaceDE w:val="0"/>
              <w:autoSpaceDN w:val="0"/>
              <w:adjustRightInd w:val="0"/>
              <w:rPr>
                <w:rFonts w:ascii="Arial" w:hAnsi="Arial" w:cs="Arial"/>
              </w:rPr>
            </w:pPr>
          </w:p>
          <w:p w14:paraId="4CA2D932" w14:textId="77777777" w:rsidR="00334E8B" w:rsidRPr="00250E08" w:rsidRDefault="00334E8B" w:rsidP="005E080D">
            <w:pPr>
              <w:autoSpaceDE w:val="0"/>
              <w:autoSpaceDN w:val="0"/>
              <w:adjustRightInd w:val="0"/>
              <w:rPr>
                <w:rFonts w:ascii="Arial" w:hAnsi="Arial" w:cs="Arial"/>
              </w:rPr>
            </w:pPr>
          </w:p>
          <w:p w14:paraId="1E731EB2" w14:textId="77777777" w:rsidR="00334E8B" w:rsidRPr="00250E08" w:rsidRDefault="00334E8B" w:rsidP="005E080D">
            <w:pPr>
              <w:autoSpaceDE w:val="0"/>
              <w:autoSpaceDN w:val="0"/>
              <w:adjustRightInd w:val="0"/>
              <w:rPr>
                <w:rFonts w:ascii="Arial" w:hAnsi="Arial" w:cs="Arial"/>
              </w:rPr>
            </w:pPr>
          </w:p>
          <w:p w14:paraId="416D49BD" w14:textId="77777777" w:rsidR="00334E8B" w:rsidRPr="00250E08" w:rsidRDefault="00334E8B" w:rsidP="005E080D">
            <w:pPr>
              <w:autoSpaceDE w:val="0"/>
              <w:autoSpaceDN w:val="0"/>
              <w:adjustRightInd w:val="0"/>
              <w:rPr>
                <w:rFonts w:ascii="Arial" w:hAnsi="Arial" w:cs="Arial"/>
              </w:rPr>
            </w:pPr>
          </w:p>
          <w:p w14:paraId="18B29E8C" w14:textId="77777777" w:rsidR="00334E8B" w:rsidRPr="00250E08" w:rsidRDefault="00334E8B" w:rsidP="005E080D">
            <w:pPr>
              <w:autoSpaceDE w:val="0"/>
              <w:autoSpaceDN w:val="0"/>
              <w:adjustRightInd w:val="0"/>
              <w:rPr>
                <w:rFonts w:ascii="Arial" w:hAnsi="Arial" w:cs="Arial"/>
              </w:rPr>
            </w:pPr>
          </w:p>
          <w:p w14:paraId="17790DE5" w14:textId="77777777" w:rsidR="00334E8B" w:rsidRPr="00250E08" w:rsidRDefault="00334E8B" w:rsidP="005E080D">
            <w:pPr>
              <w:autoSpaceDE w:val="0"/>
              <w:autoSpaceDN w:val="0"/>
              <w:adjustRightInd w:val="0"/>
              <w:rPr>
                <w:rFonts w:ascii="Arial" w:hAnsi="Arial" w:cs="Arial"/>
              </w:rPr>
            </w:pPr>
          </w:p>
          <w:p w14:paraId="1A16C40A" w14:textId="77777777" w:rsidR="00334E8B" w:rsidRPr="00250E08" w:rsidRDefault="00334E8B" w:rsidP="005E080D">
            <w:pPr>
              <w:autoSpaceDE w:val="0"/>
              <w:autoSpaceDN w:val="0"/>
              <w:adjustRightInd w:val="0"/>
              <w:rPr>
                <w:rFonts w:ascii="Arial" w:hAnsi="Arial" w:cs="Arial"/>
              </w:rPr>
            </w:pPr>
          </w:p>
          <w:p w14:paraId="766B6FCC" w14:textId="77777777" w:rsidR="00334E8B" w:rsidRPr="00250E08" w:rsidRDefault="00334E8B" w:rsidP="005E080D">
            <w:pPr>
              <w:autoSpaceDE w:val="0"/>
              <w:autoSpaceDN w:val="0"/>
              <w:adjustRightInd w:val="0"/>
              <w:rPr>
                <w:rFonts w:ascii="Arial" w:hAnsi="Arial" w:cs="Arial"/>
              </w:rPr>
            </w:pPr>
          </w:p>
          <w:p w14:paraId="12ACDFD8"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7 (26.9)</w:t>
            </w:r>
          </w:p>
          <w:p w14:paraId="0D142954"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12 (46.1)</w:t>
            </w:r>
          </w:p>
          <w:p w14:paraId="59823668"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2 (7.7)</w:t>
            </w:r>
          </w:p>
          <w:p w14:paraId="736E2B24"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3 (11.5)</w:t>
            </w:r>
          </w:p>
          <w:p w14:paraId="6479EB7A"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2 (7.7)</w:t>
            </w:r>
          </w:p>
        </w:tc>
      </w:tr>
      <w:tr w:rsidR="00334E8B" w:rsidRPr="00250E08" w14:paraId="381B4F56" w14:textId="77777777" w:rsidTr="005E080D">
        <w:tc>
          <w:tcPr>
            <w:tcW w:w="7915" w:type="dxa"/>
          </w:tcPr>
          <w:p w14:paraId="53782798"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If disagree, why do you disagree?</w:t>
            </w:r>
          </w:p>
          <w:p w14:paraId="4393DDE4"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Dose too low</w:t>
            </w:r>
          </w:p>
          <w:p w14:paraId="1AB44E58"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Clinical judgement should be used</w:t>
            </w:r>
          </w:p>
          <w:p w14:paraId="122E49A2"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Other problems arise with postoperative monitoring</w:t>
            </w:r>
          </w:p>
        </w:tc>
        <w:tc>
          <w:tcPr>
            <w:tcW w:w="1553" w:type="dxa"/>
          </w:tcPr>
          <w:p w14:paraId="14CB8028"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N=5</w:t>
            </w:r>
          </w:p>
          <w:p w14:paraId="5E0029C3"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3 (60)</w:t>
            </w:r>
          </w:p>
          <w:p w14:paraId="474F16A0"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 (20)</w:t>
            </w:r>
          </w:p>
          <w:p w14:paraId="4023CA79"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 (20)</w:t>
            </w:r>
          </w:p>
        </w:tc>
      </w:tr>
      <w:tr w:rsidR="00334E8B" w:rsidRPr="00250E08" w14:paraId="05DC8F6D" w14:textId="77777777" w:rsidTr="005E080D">
        <w:tc>
          <w:tcPr>
            <w:tcW w:w="7915" w:type="dxa"/>
          </w:tcPr>
          <w:p w14:paraId="0ABF65BF"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 xml:space="preserve">The Task Force Members strongly agree or agree that in higher risk women with </w:t>
            </w:r>
            <w:bookmarkStart w:id="1" w:name="_Hlk495836569"/>
            <w:r w:rsidRPr="00250E08">
              <w:rPr>
                <w:rFonts w:ascii="Arial" w:hAnsi="Arial" w:cs="Arial"/>
              </w:rPr>
              <w:t>co-morbidities and other perioperative circumstances that place them at higher risk of respiratory depression</w:t>
            </w:r>
            <w:bookmarkEnd w:id="1"/>
            <w:r w:rsidRPr="00250E08">
              <w:rPr>
                <w:rFonts w:ascii="Arial" w:hAnsi="Arial" w:cs="Arial"/>
              </w:rPr>
              <w:t xml:space="preserve">, monitoring should align with the ASA and ASRA Practice Guidelines for the Prevention, Detection, and Management of Respiratory Depression Associated with </w:t>
            </w:r>
            <w:r w:rsidRPr="00250E08">
              <w:rPr>
                <w:rFonts w:ascii="Arial" w:hAnsi="Arial" w:cs="Arial"/>
              </w:rPr>
              <w:lastRenderedPageBreak/>
              <w:t>Neuraxial Opioid Administration with ANY dose of neuraxial morphine. (i.e.</w:t>
            </w:r>
            <w:r>
              <w:rPr>
                <w:rFonts w:ascii="Arial" w:hAnsi="Arial" w:cs="Arial"/>
              </w:rPr>
              <w:t>,</w:t>
            </w:r>
            <w:r w:rsidRPr="00250E08">
              <w:rPr>
                <w:rFonts w:ascii="Arial" w:hAnsi="Arial" w:cs="Arial"/>
              </w:rPr>
              <w:t xml:space="preserve"> clinical respiratory rate and sedation assessments with or without oximetry/capnography intermittently every hour for 0-12 hours and then every 2 hours for 12-24 hours)</w:t>
            </w:r>
          </w:p>
          <w:p w14:paraId="6BAEF925"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Strongly Agree</w:t>
            </w:r>
          </w:p>
          <w:p w14:paraId="3298F974"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Agree</w:t>
            </w:r>
          </w:p>
          <w:p w14:paraId="31A6981B"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Neutral</w:t>
            </w:r>
          </w:p>
          <w:p w14:paraId="5F2609CA"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Disagree</w:t>
            </w:r>
          </w:p>
          <w:p w14:paraId="51527D3F"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Strongly Disagree</w:t>
            </w:r>
          </w:p>
        </w:tc>
        <w:tc>
          <w:tcPr>
            <w:tcW w:w="1553" w:type="dxa"/>
          </w:tcPr>
          <w:p w14:paraId="649BC52F"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lastRenderedPageBreak/>
              <w:t>N=26</w:t>
            </w:r>
          </w:p>
          <w:p w14:paraId="46E87A1C" w14:textId="77777777" w:rsidR="00334E8B" w:rsidRPr="00250E08" w:rsidRDefault="00334E8B" w:rsidP="005E080D">
            <w:pPr>
              <w:autoSpaceDE w:val="0"/>
              <w:autoSpaceDN w:val="0"/>
              <w:adjustRightInd w:val="0"/>
              <w:rPr>
                <w:rFonts w:ascii="Arial" w:hAnsi="Arial" w:cs="Arial"/>
              </w:rPr>
            </w:pPr>
          </w:p>
          <w:p w14:paraId="5FA15C70" w14:textId="77777777" w:rsidR="00334E8B" w:rsidRPr="00250E08" w:rsidRDefault="00334E8B" w:rsidP="005E080D">
            <w:pPr>
              <w:autoSpaceDE w:val="0"/>
              <w:autoSpaceDN w:val="0"/>
              <w:adjustRightInd w:val="0"/>
              <w:rPr>
                <w:rFonts w:ascii="Arial" w:hAnsi="Arial" w:cs="Arial"/>
              </w:rPr>
            </w:pPr>
          </w:p>
          <w:p w14:paraId="4C640D7A" w14:textId="77777777" w:rsidR="00334E8B" w:rsidRPr="00250E08" w:rsidRDefault="00334E8B" w:rsidP="005E080D">
            <w:pPr>
              <w:autoSpaceDE w:val="0"/>
              <w:autoSpaceDN w:val="0"/>
              <w:adjustRightInd w:val="0"/>
              <w:rPr>
                <w:rFonts w:ascii="Arial" w:hAnsi="Arial" w:cs="Arial"/>
              </w:rPr>
            </w:pPr>
          </w:p>
          <w:p w14:paraId="3565E487" w14:textId="77777777" w:rsidR="00334E8B" w:rsidRPr="00250E08" w:rsidRDefault="00334E8B" w:rsidP="005E080D">
            <w:pPr>
              <w:autoSpaceDE w:val="0"/>
              <w:autoSpaceDN w:val="0"/>
              <w:adjustRightInd w:val="0"/>
              <w:rPr>
                <w:rFonts w:ascii="Arial" w:hAnsi="Arial" w:cs="Arial"/>
              </w:rPr>
            </w:pPr>
          </w:p>
          <w:p w14:paraId="20FCD567" w14:textId="77777777" w:rsidR="00334E8B" w:rsidRPr="00250E08" w:rsidRDefault="00334E8B" w:rsidP="005E080D">
            <w:pPr>
              <w:autoSpaceDE w:val="0"/>
              <w:autoSpaceDN w:val="0"/>
              <w:adjustRightInd w:val="0"/>
              <w:rPr>
                <w:rFonts w:ascii="Arial" w:hAnsi="Arial" w:cs="Arial"/>
              </w:rPr>
            </w:pPr>
          </w:p>
          <w:p w14:paraId="1E939967" w14:textId="77777777" w:rsidR="00334E8B" w:rsidRPr="00250E08" w:rsidRDefault="00334E8B" w:rsidP="005E080D">
            <w:pPr>
              <w:autoSpaceDE w:val="0"/>
              <w:autoSpaceDN w:val="0"/>
              <w:adjustRightInd w:val="0"/>
              <w:rPr>
                <w:rFonts w:ascii="Arial" w:hAnsi="Arial" w:cs="Arial"/>
              </w:rPr>
            </w:pPr>
          </w:p>
          <w:p w14:paraId="1F70B4C0" w14:textId="77777777" w:rsidR="00334E8B" w:rsidRDefault="00334E8B" w:rsidP="005E080D">
            <w:pPr>
              <w:autoSpaceDE w:val="0"/>
              <w:autoSpaceDN w:val="0"/>
              <w:adjustRightInd w:val="0"/>
              <w:rPr>
                <w:rFonts w:ascii="Arial" w:hAnsi="Arial" w:cs="Arial"/>
              </w:rPr>
            </w:pPr>
          </w:p>
          <w:p w14:paraId="41D2E34C" w14:textId="77777777" w:rsidR="00334E8B" w:rsidRPr="00250E08" w:rsidRDefault="00334E8B" w:rsidP="005E080D">
            <w:pPr>
              <w:autoSpaceDE w:val="0"/>
              <w:autoSpaceDN w:val="0"/>
              <w:adjustRightInd w:val="0"/>
              <w:rPr>
                <w:rFonts w:ascii="Arial" w:hAnsi="Arial" w:cs="Arial"/>
              </w:rPr>
            </w:pPr>
          </w:p>
          <w:p w14:paraId="5266A144"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14 (53.9)</w:t>
            </w:r>
          </w:p>
          <w:p w14:paraId="4645928E"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9 (34.6)</w:t>
            </w:r>
          </w:p>
          <w:p w14:paraId="76143E27"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 (3.9)</w:t>
            </w:r>
          </w:p>
          <w:p w14:paraId="01A165F1"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 (3.9)</w:t>
            </w:r>
          </w:p>
          <w:p w14:paraId="27D08720"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 (3.9)</w:t>
            </w:r>
          </w:p>
        </w:tc>
      </w:tr>
      <w:tr w:rsidR="00334E8B" w:rsidRPr="00250E08" w14:paraId="782B7B16" w14:textId="77777777" w:rsidTr="005E080D">
        <w:tc>
          <w:tcPr>
            <w:tcW w:w="7915" w:type="dxa"/>
          </w:tcPr>
          <w:p w14:paraId="7976FB6F"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lastRenderedPageBreak/>
              <w:t>Do you think these SOAP recommendations have the potential to change practice in your country?</w:t>
            </w:r>
          </w:p>
          <w:p w14:paraId="6498C7AC"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Yes</w:t>
            </w:r>
          </w:p>
          <w:p w14:paraId="5430FAC2"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Maybe</w:t>
            </w:r>
          </w:p>
          <w:p w14:paraId="7610C62E"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 xml:space="preserve">No </w:t>
            </w:r>
          </w:p>
          <w:p w14:paraId="7C8FCD84"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Don’t know</w:t>
            </w:r>
          </w:p>
        </w:tc>
        <w:tc>
          <w:tcPr>
            <w:tcW w:w="1553" w:type="dxa"/>
          </w:tcPr>
          <w:p w14:paraId="33CC3611"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N=26</w:t>
            </w:r>
          </w:p>
          <w:p w14:paraId="3C43006B" w14:textId="77777777" w:rsidR="00334E8B" w:rsidRPr="00250E08" w:rsidRDefault="00334E8B" w:rsidP="005E080D">
            <w:pPr>
              <w:autoSpaceDE w:val="0"/>
              <w:autoSpaceDN w:val="0"/>
              <w:adjustRightInd w:val="0"/>
              <w:rPr>
                <w:rFonts w:ascii="Arial" w:hAnsi="Arial" w:cs="Arial"/>
              </w:rPr>
            </w:pPr>
          </w:p>
          <w:p w14:paraId="7173E554"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11 (42.3)</w:t>
            </w:r>
          </w:p>
          <w:p w14:paraId="0631CD44"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7 (26.9)</w:t>
            </w:r>
          </w:p>
          <w:p w14:paraId="3F9C6605"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6 (23)</w:t>
            </w:r>
          </w:p>
          <w:p w14:paraId="6E02B01F"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2 (7.7)</w:t>
            </w:r>
          </w:p>
        </w:tc>
      </w:tr>
      <w:tr w:rsidR="00334E8B" w:rsidRPr="00250E08" w14:paraId="55B56328" w14:textId="77777777" w:rsidTr="005E080D">
        <w:tc>
          <w:tcPr>
            <w:tcW w:w="7915" w:type="dxa"/>
          </w:tcPr>
          <w:p w14:paraId="371DF580"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If yes, why?</w:t>
            </w:r>
          </w:p>
          <w:p w14:paraId="136008BE"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Increase safety with these recommendations</w:t>
            </w:r>
          </w:p>
          <w:p w14:paraId="663C214F"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No current recommendations to follow (evidence based, expert opinion)</w:t>
            </w:r>
          </w:p>
          <w:p w14:paraId="2BD6CE0F"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Recommendations will increase use of neuraxial morphine</w:t>
            </w:r>
          </w:p>
        </w:tc>
        <w:tc>
          <w:tcPr>
            <w:tcW w:w="1553" w:type="dxa"/>
          </w:tcPr>
          <w:p w14:paraId="6AABE0AD"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N=11</w:t>
            </w:r>
          </w:p>
          <w:p w14:paraId="5ED734C6"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2 (18.2)</w:t>
            </w:r>
          </w:p>
          <w:p w14:paraId="0110674D"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5 (45.5)</w:t>
            </w:r>
          </w:p>
          <w:p w14:paraId="6D57A081"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4 (36.4)</w:t>
            </w:r>
          </w:p>
        </w:tc>
      </w:tr>
      <w:tr w:rsidR="00334E8B" w:rsidRPr="00250E08" w14:paraId="143B2222" w14:textId="77777777" w:rsidTr="005E080D">
        <w:tc>
          <w:tcPr>
            <w:tcW w:w="7915" w:type="dxa"/>
          </w:tcPr>
          <w:p w14:paraId="2AA9E94C"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If no, why?</w:t>
            </w:r>
          </w:p>
          <w:p w14:paraId="5367D470"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Guidelines already exist (national or institutional)</w:t>
            </w:r>
          </w:p>
          <w:p w14:paraId="514D9FA2"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Lack of Interest by anesthesiologists</w:t>
            </w:r>
          </w:p>
          <w:p w14:paraId="29F1E69D"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Guidelines are not needed because neuraxial morphine is so safe</w:t>
            </w:r>
          </w:p>
          <w:p w14:paraId="4028E9EE"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Not applicable</w:t>
            </w:r>
          </w:p>
        </w:tc>
        <w:tc>
          <w:tcPr>
            <w:tcW w:w="1553" w:type="dxa"/>
          </w:tcPr>
          <w:p w14:paraId="7CA32194"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N=9</w:t>
            </w:r>
          </w:p>
          <w:p w14:paraId="194C2DF8"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3 (33.3)</w:t>
            </w:r>
          </w:p>
          <w:p w14:paraId="1A8C38AC"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2 (22.2)</w:t>
            </w:r>
          </w:p>
          <w:p w14:paraId="1066CD18"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2 (22.2)</w:t>
            </w:r>
          </w:p>
          <w:p w14:paraId="52D6C472"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2 (22.2)</w:t>
            </w:r>
          </w:p>
        </w:tc>
      </w:tr>
      <w:tr w:rsidR="00334E8B" w:rsidRPr="00250E08" w14:paraId="6185D6F1" w14:textId="77777777" w:rsidTr="005E080D">
        <w:tc>
          <w:tcPr>
            <w:tcW w:w="7915" w:type="dxa"/>
          </w:tcPr>
          <w:p w14:paraId="3B99283A"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Are there national guidelines in your country for respiratory monitoring following neuraxial morphine administration?</w:t>
            </w:r>
          </w:p>
          <w:p w14:paraId="7DA9038C"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Yes</w:t>
            </w:r>
          </w:p>
          <w:p w14:paraId="57FA00D4"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 xml:space="preserve">No </w:t>
            </w:r>
          </w:p>
          <w:p w14:paraId="2CFE9F4E"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Don’t know</w:t>
            </w:r>
          </w:p>
          <w:p w14:paraId="3F324874" w14:textId="77777777" w:rsidR="00334E8B" w:rsidRPr="00250E08" w:rsidRDefault="00334E8B" w:rsidP="005E080D">
            <w:pPr>
              <w:autoSpaceDE w:val="0"/>
              <w:autoSpaceDN w:val="0"/>
              <w:adjustRightInd w:val="0"/>
              <w:jc w:val="right"/>
              <w:rPr>
                <w:rFonts w:ascii="Arial" w:hAnsi="Arial" w:cs="Arial"/>
              </w:rPr>
            </w:pPr>
            <w:r w:rsidRPr="00250E08">
              <w:rPr>
                <w:rFonts w:ascii="Arial" w:hAnsi="Arial" w:cs="Arial"/>
              </w:rPr>
              <w:t>I follow ASA Guidelines</w:t>
            </w:r>
          </w:p>
        </w:tc>
        <w:tc>
          <w:tcPr>
            <w:tcW w:w="1553" w:type="dxa"/>
          </w:tcPr>
          <w:p w14:paraId="0712712C"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N=26</w:t>
            </w:r>
          </w:p>
          <w:p w14:paraId="698C4F18" w14:textId="77777777" w:rsidR="00334E8B" w:rsidRPr="00250E08" w:rsidRDefault="00334E8B" w:rsidP="005E080D">
            <w:pPr>
              <w:autoSpaceDE w:val="0"/>
              <w:autoSpaceDN w:val="0"/>
              <w:adjustRightInd w:val="0"/>
              <w:rPr>
                <w:rFonts w:ascii="Arial" w:hAnsi="Arial" w:cs="Arial"/>
              </w:rPr>
            </w:pPr>
          </w:p>
          <w:p w14:paraId="46C328B4"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4 (15.4)</w:t>
            </w:r>
          </w:p>
          <w:p w14:paraId="47FD6B30"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17 (65.4)</w:t>
            </w:r>
          </w:p>
          <w:p w14:paraId="6005FC8F"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1 (3.9)</w:t>
            </w:r>
          </w:p>
          <w:p w14:paraId="60B6D7E8" w14:textId="77777777" w:rsidR="00334E8B" w:rsidRPr="00250E08" w:rsidRDefault="00334E8B" w:rsidP="005E080D">
            <w:pPr>
              <w:autoSpaceDE w:val="0"/>
              <w:autoSpaceDN w:val="0"/>
              <w:adjustRightInd w:val="0"/>
              <w:rPr>
                <w:rFonts w:ascii="Arial" w:hAnsi="Arial" w:cs="Arial"/>
              </w:rPr>
            </w:pPr>
            <w:r w:rsidRPr="00250E08">
              <w:rPr>
                <w:rFonts w:ascii="Arial" w:hAnsi="Arial" w:cs="Arial"/>
              </w:rPr>
              <w:t>4 (15.4)</w:t>
            </w:r>
          </w:p>
        </w:tc>
      </w:tr>
    </w:tbl>
    <w:p w14:paraId="673CE321" w14:textId="77777777" w:rsidR="00C02757" w:rsidRDefault="00C02757" w:rsidP="00334E8B">
      <w:pPr>
        <w:spacing w:line="240" w:lineRule="auto"/>
        <w:contextualSpacing/>
      </w:pPr>
      <w:bookmarkStart w:id="2" w:name="_GoBack"/>
      <w:bookmarkEnd w:id="0"/>
      <w:bookmarkEnd w:id="2"/>
    </w:p>
    <w:sectPr w:rsidR="00C02757" w:rsidSect="00DA42A3">
      <w:endnotePr>
        <w:numFmt w:val="decimal"/>
      </w:endnotePr>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12574"/>
    <w:multiLevelType w:val="hybridMultilevel"/>
    <w:tmpl w:val="B8EA7F44"/>
    <w:lvl w:ilvl="0" w:tplc="0D887942">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A3723"/>
    <w:multiLevelType w:val="hybridMultilevel"/>
    <w:tmpl w:val="F8A8FA54"/>
    <w:lvl w:ilvl="0" w:tplc="0D8879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8B"/>
    <w:rsid w:val="00334E8B"/>
    <w:rsid w:val="00780C1A"/>
    <w:rsid w:val="009C6A69"/>
    <w:rsid w:val="00C0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4A46"/>
  <w15:chartTrackingRefBased/>
  <w15:docId w15:val="{D441E7E9-EDC5-4A5D-AEDD-6A1DDFC6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8B"/>
    <w:pPr>
      <w:spacing w:after="200" w:line="276" w:lineRule="auto"/>
      <w:ind w:left="720"/>
      <w:contextualSpacing/>
    </w:pPr>
  </w:style>
  <w:style w:type="table" w:styleId="TableGrid">
    <w:name w:val="Table Grid"/>
    <w:basedOn w:val="TableNormal"/>
    <w:uiPriority w:val="59"/>
    <w:rsid w:val="00334E8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Bauchat</dc:creator>
  <cp:keywords/>
  <dc:description/>
  <cp:lastModifiedBy>Jeanette Bauchat</cp:lastModifiedBy>
  <cp:revision>3</cp:revision>
  <dcterms:created xsi:type="dcterms:W3CDTF">2018-11-13T02:40:00Z</dcterms:created>
  <dcterms:modified xsi:type="dcterms:W3CDTF">2019-01-20T16:25:00Z</dcterms:modified>
</cp:coreProperties>
</file>