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0FBF3" w14:textId="77777777" w:rsidR="00C4402E" w:rsidRDefault="00C4402E" w:rsidP="00C4402E">
      <w:pPr>
        <w:spacing w:line="480" w:lineRule="auto"/>
        <w:rPr>
          <w:rFonts w:ascii="Arial" w:hAnsi="Arial"/>
          <w:b/>
        </w:rPr>
      </w:pPr>
      <w:bookmarkStart w:id="0" w:name="_GoBack"/>
      <w:bookmarkEnd w:id="0"/>
      <w:r>
        <w:rPr>
          <w:rFonts w:ascii="Arial" w:hAnsi="Arial"/>
          <w:b/>
        </w:rPr>
        <w:t>SUPPLEMENTAL MATERIALS AND METHODS</w:t>
      </w:r>
    </w:p>
    <w:p w14:paraId="3B8E6900" w14:textId="77777777" w:rsidR="00C4402E" w:rsidRDefault="00C4402E" w:rsidP="00C4402E">
      <w:pPr>
        <w:spacing w:line="480" w:lineRule="auto"/>
        <w:rPr>
          <w:rFonts w:ascii="Arial" w:hAnsi="Arial"/>
          <w:b/>
        </w:rPr>
      </w:pPr>
      <w:r>
        <w:rPr>
          <w:rFonts w:ascii="Arial" w:hAnsi="Arial" w:cs="Arial"/>
          <w:b/>
        </w:rPr>
        <w:t>Supplemental Figure 1.</w:t>
      </w:r>
      <w:r>
        <w:rPr>
          <w:rFonts w:ascii="Arial" w:hAnsi="Arial" w:cs="Arial"/>
        </w:rPr>
        <w:t xml:space="preserve"> Quantum</w:t>
      </w:r>
      <w:r w:rsidRPr="00F275ED">
        <w:rPr>
          <w:rFonts w:ascii="Arial" w:hAnsi="Arial" w:cs="Arial"/>
          <w:vertAlign w:val="superscript"/>
        </w:rPr>
        <w:t>TM</w:t>
      </w:r>
      <w:r>
        <w:rPr>
          <w:rFonts w:ascii="Arial" w:hAnsi="Arial" w:cs="Arial"/>
        </w:rPr>
        <w:t xml:space="preserve"> Clinical Navigation System Quality Assurance Sheet</w:t>
      </w:r>
    </w:p>
    <w:p w14:paraId="615F0907" w14:textId="77777777" w:rsidR="00C4402E" w:rsidRDefault="00C4402E">
      <w:pPr>
        <w:rPr>
          <w:rFonts w:ascii="Arial" w:hAnsi="Arial"/>
          <w:b/>
        </w:rPr>
      </w:pPr>
      <w:r>
        <w:rPr>
          <w:rFonts w:ascii="Arial" w:hAnsi="Arial"/>
          <w:b/>
          <w:noProof/>
        </w:rPr>
        <w:drawing>
          <wp:inline distT="0" distB="0" distL="0" distR="0" wp14:anchorId="7DACDA99" wp14:editId="6B4B2D0B">
            <wp:extent cx="5943600" cy="76975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697526"/>
                    </a:xfrm>
                    <a:prstGeom prst="rect">
                      <a:avLst/>
                    </a:prstGeom>
                    <a:noFill/>
                    <a:ln>
                      <a:noFill/>
                    </a:ln>
                  </pic:spPr>
                </pic:pic>
              </a:graphicData>
            </a:graphic>
          </wp:inline>
        </w:drawing>
      </w:r>
    </w:p>
    <w:p w14:paraId="15EA3E31" w14:textId="77777777" w:rsidR="00C4402E" w:rsidRDefault="00C4402E">
      <w:pPr>
        <w:rPr>
          <w:rFonts w:ascii="Arial" w:hAnsi="Arial"/>
          <w:b/>
        </w:rPr>
        <w:sectPr w:rsidR="00C4402E" w:rsidSect="00C4402E">
          <w:footerReference w:type="even" r:id="rId8"/>
          <w:footerReference w:type="default" r:id="rId9"/>
          <w:pgSz w:w="12240" w:h="15840"/>
          <w:pgMar w:top="540" w:right="1440" w:bottom="540" w:left="1440" w:header="720" w:footer="720" w:gutter="0"/>
          <w:cols w:space="720"/>
        </w:sectPr>
      </w:pPr>
      <w:r w:rsidRPr="00C4402E">
        <w:rPr>
          <w:rFonts w:ascii="Arial" w:hAnsi="Arial"/>
          <w:b/>
        </w:rPr>
        <w:lastRenderedPageBreak/>
        <w:t xml:space="preserve"> </w:t>
      </w:r>
      <w:r>
        <w:rPr>
          <w:rFonts w:ascii="Arial" w:hAnsi="Arial"/>
          <w:b/>
          <w:noProof/>
        </w:rPr>
        <w:drawing>
          <wp:inline distT="0" distB="0" distL="0" distR="0" wp14:anchorId="3E0BFCCD" wp14:editId="6CEE1D69">
            <wp:extent cx="5943600" cy="784729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847296"/>
                    </a:xfrm>
                    <a:prstGeom prst="rect">
                      <a:avLst/>
                    </a:prstGeom>
                    <a:noFill/>
                    <a:ln>
                      <a:noFill/>
                    </a:ln>
                  </pic:spPr>
                </pic:pic>
              </a:graphicData>
            </a:graphic>
          </wp:inline>
        </w:drawing>
      </w:r>
    </w:p>
    <w:p w14:paraId="56609FD0" w14:textId="21D37D13" w:rsidR="00DA4A3E" w:rsidRDefault="002A1EFC" w:rsidP="00C4402E">
      <w:pPr>
        <w:spacing w:line="480" w:lineRule="auto"/>
        <w:ind w:left="-90"/>
        <w:rPr>
          <w:rFonts w:ascii="Arial" w:hAnsi="Arial"/>
        </w:rPr>
      </w:pPr>
      <w:r>
        <w:rPr>
          <w:rFonts w:ascii="Arial" w:hAnsi="Arial"/>
          <w:b/>
        </w:rPr>
        <w:t>Supplemental Table 1.</w:t>
      </w:r>
      <w:r>
        <w:rPr>
          <w:rFonts w:ascii="Arial" w:hAnsi="Arial"/>
        </w:rPr>
        <w:t xml:space="preserve"> Definition of Individual </w:t>
      </w:r>
      <w:r w:rsidR="00E76A72">
        <w:rPr>
          <w:rFonts w:ascii="Arial" w:hAnsi="Arial"/>
        </w:rPr>
        <w:t>Cardiovascular Related Critical Quality Indicators</w:t>
      </w:r>
      <w:r w:rsidR="00ED17A3">
        <w:rPr>
          <w:rFonts w:ascii="Arial" w:hAnsi="Arial"/>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5508"/>
        <w:gridCol w:w="7668"/>
      </w:tblGrid>
      <w:tr w:rsidR="002A1EFC" w:rsidRPr="002A1EFC" w14:paraId="08E95154" w14:textId="77777777" w:rsidTr="00ED17A3">
        <w:tc>
          <w:tcPr>
            <w:tcW w:w="5508" w:type="dxa"/>
          </w:tcPr>
          <w:p w14:paraId="53DFC960" w14:textId="77777777" w:rsidR="002A1EFC" w:rsidRPr="002A1EFC" w:rsidRDefault="002A1EFC" w:rsidP="002A1EFC">
            <w:pPr>
              <w:spacing w:line="480" w:lineRule="auto"/>
              <w:rPr>
                <w:rFonts w:ascii="Arial" w:hAnsi="Arial"/>
                <w:b/>
              </w:rPr>
            </w:pPr>
            <w:r w:rsidRPr="002A1EFC">
              <w:rPr>
                <w:rFonts w:ascii="Arial" w:hAnsi="Arial"/>
                <w:b/>
              </w:rPr>
              <w:t>Term</w:t>
            </w:r>
          </w:p>
        </w:tc>
        <w:tc>
          <w:tcPr>
            <w:tcW w:w="7668" w:type="dxa"/>
          </w:tcPr>
          <w:p w14:paraId="4B3D4769" w14:textId="77777777" w:rsidR="002A1EFC" w:rsidRPr="002A1EFC" w:rsidRDefault="002A1EFC" w:rsidP="002A1EFC">
            <w:pPr>
              <w:spacing w:line="480" w:lineRule="auto"/>
              <w:rPr>
                <w:rFonts w:ascii="Arial" w:hAnsi="Arial"/>
                <w:b/>
              </w:rPr>
            </w:pPr>
            <w:r w:rsidRPr="002A1EFC">
              <w:rPr>
                <w:rFonts w:ascii="Arial" w:hAnsi="Arial"/>
                <w:b/>
              </w:rPr>
              <w:t>Defin</w:t>
            </w:r>
            <w:r>
              <w:rPr>
                <w:rFonts w:ascii="Arial" w:hAnsi="Arial"/>
                <w:b/>
              </w:rPr>
              <w:t>i</w:t>
            </w:r>
            <w:r w:rsidRPr="002A1EFC">
              <w:rPr>
                <w:rFonts w:ascii="Arial" w:hAnsi="Arial"/>
                <w:b/>
              </w:rPr>
              <w:t>tion</w:t>
            </w:r>
          </w:p>
        </w:tc>
      </w:tr>
      <w:tr w:rsidR="00FA5A88" w14:paraId="630565E1" w14:textId="77777777" w:rsidTr="00ED17A3">
        <w:tc>
          <w:tcPr>
            <w:tcW w:w="5508" w:type="dxa"/>
          </w:tcPr>
          <w:p w14:paraId="49ADE3C6" w14:textId="612259BA" w:rsidR="00FA5A88" w:rsidRDefault="00FA5A88" w:rsidP="002A1EFC">
            <w:pPr>
              <w:spacing w:line="480" w:lineRule="auto"/>
              <w:rPr>
                <w:rFonts w:ascii="Arial" w:hAnsi="Arial"/>
              </w:rPr>
            </w:pPr>
            <w:r>
              <w:rPr>
                <w:rFonts w:ascii="Arial" w:hAnsi="Arial"/>
              </w:rPr>
              <w:t>Death</w:t>
            </w:r>
          </w:p>
        </w:tc>
        <w:tc>
          <w:tcPr>
            <w:tcW w:w="7668" w:type="dxa"/>
          </w:tcPr>
          <w:p w14:paraId="2F080DC7" w14:textId="6DE0C37F" w:rsidR="00FA5A88" w:rsidRPr="00ED17A3" w:rsidRDefault="00FA5A88" w:rsidP="00ED17A3">
            <w:pPr>
              <w:widowControl w:val="0"/>
              <w:autoSpaceDE w:val="0"/>
              <w:autoSpaceDN w:val="0"/>
              <w:adjustRightInd w:val="0"/>
              <w:rPr>
                <w:rFonts w:ascii="Arial" w:hAnsi="Arial" w:cs="Arial"/>
              </w:rPr>
            </w:pPr>
            <w:r>
              <w:rPr>
                <w:rFonts w:ascii="Arial" w:hAnsi="Arial" w:cs="Arial"/>
              </w:rPr>
              <w:t>All deaths within 24 hours of receiving an anesthetic (This indicator will be measured within 24 hours, but may be reported up to 48 hours post</w:t>
            </w:r>
            <w:r w:rsidR="00C470D5">
              <w:rPr>
                <w:rFonts w:ascii="Arial" w:hAnsi="Arial" w:cs="Arial"/>
              </w:rPr>
              <w:t xml:space="preserve"> </w:t>
            </w:r>
            <w:r>
              <w:rPr>
                <w:rFonts w:ascii="Arial" w:hAnsi="Arial" w:cs="Arial"/>
              </w:rPr>
              <w:t>anesthetic</w:t>
            </w:r>
            <w:r w:rsidR="00D00894">
              <w:rPr>
                <w:rFonts w:ascii="Arial" w:hAnsi="Arial" w:cs="Arial"/>
              </w:rPr>
              <w:t>.</w:t>
            </w:r>
            <w:r>
              <w:rPr>
                <w:rFonts w:ascii="Arial" w:hAnsi="Arial" w:cs="Arial"/>
              </w:rPr>
              <w:t>)</w:t>
            </w:r>
          </w:p>
        </w:tc>
      </w:tr>
      <w:tr w:rsidR="00FA5A88" w14:paraId="1BCC58D6" w14:textId="77777777" w:rsidTr="00ED17A3">
        <w:tc>
          <w:tcPr>
            <w:tcW w:w="5508" w:type="dxa"/>
          </w:tcPr>
          <w:p w14:paraId="32BFEA4A" w14:textId="0978B787" w:rsidR="00FA5A88" w:rsidRDefault="00FA5A88" w:rsidP="002A1EFC">
            <w:pPr>
              <w:spacing w:line="480" w:lineRule="auto"/>
              <w:rPr>
                <w:rFonts w:ascii="Arial" w:hAnsi="Arial"/>
              </w:rPr>
            </w:pPr>
            <w:r>
              <w:rPr>
                <w:rFonts w:ascii="Arial" w:hAnsi="Arial"/>
              </w:rPr>
              <w:t>Death related to anesthesia</w:t>
            </w:r>
          </w:p>
        </w:tc>
        <w:tc>
          <w:tcPr>
            <w:tcW w:w="7668" w:type="dxa"/>
          </w:tcPr>
          <w:p w14:paraId="078BDDE5" w14:textId="691221B6" w:rsidR="00FA5A88" w:rsidRPr="00ED17A3" w:rsidRDefault="00FA5A88" w:rsidP="00D00894">
            <w:pPr>
              <w:widowControl w:val="0"/>
              <w:autoSpaceDE w:val="0"/>
              <w:autoSpaceDN w:val="0"/>
              <w:adjustRightInd w:val="0"/>
              <w:rPr>
                <w:rFonts w:ascii="Arial" w:hAnsi="Arial" w:cs="Arial"/>
              </w:rPr>
            </w:pPr>
            <w:r>
              <w:rPr>
                <w:rFonts w:ascii="Arial" w:hAnsi="Arial" w:cs="Arial"/>
              </w:rPr>
              <w:t xml:space="preserve">All deaths within 24 hours of receiving an anesthetic </w:t>
            </w:r>
            <w:r w:rsidR="00D00894">
              <w:rPr>
                <w:rFonts w:ascii="Arial" w:hAnsi="Arial" w:cs="Arial"/>
              </w:rPr>
              <w:t xml:space="preserve">that </w:t>
            </w:r>
            <w:r>
              <w:rPr>
                <w:rFonts w:ascii="Arial" w:hAnsi="Arial" w:cs="Arial"/>
              </w:rPr>
              <w:t>would necessitate evaluation by the peer review committee (This indicator will be measured at 24 hours</w:t>
            </w:r>
            <w:r w:rsidR="00D00894">
              <w:rPr>
                <w:rFonts w:ascii="Arial" w:hAnsi="Arial" w:cs="Arial"/>
              </w:rPr>
              <w:t>,</w:t>
            </w:r>
            <w:r>
              <w:rPr>
                <w:rFonts w:ascii="Arial" w:hAnsi="Arial" w:cs="Arial"/>
              </w:rPr>
              <w:t xml:space="preserve"> but may be reported up to 48 hours post</w:t>
            </w:r>
            <w:r w:rsidR="00C470D5">
              <w:rPr>
                <w:rFonts w:ascii="Arial" w:hAnsi="Arial" w:cs="Arial"/>
              </w:rPr>
              <w:t xml:space="preserve"> </w:t>
            </w:r>
            <w:r>
              <w:rPr>
                <w:rFonts w:ascii="Arial" w:hAnsi="Arial" w:cs="Arial"/>
              </w:rPr>
              <w:t>anesthetic</w:t>
            </w:r>
            <w:r w:rsidR="00D00894">
              <w:rPr>
                <w:rFonts w:ascii="Arial" w:hAnsi="Arial" w:cs="Arial"/>
              </w:rPr>
              <w:t>.</w:t>
            </w:r>
            <w:r>
              <w:rPr>
                <w:rFonts w:ascii="Arial" w:hAnsi="Arial" w:cs="Arial"/>
              </w:rPr>
              <w:t>)</w:t>
            </w:r>
          </w:p>
        </w:tc>
      </w:tr>
      <w:tr w:rsidR="002A1EFC" w14:paraId="64E78624" w14:textId="77777777" w:rsidTr="00ED17A3">
        <w:tc>
          <w:tcPr>
            <w:tcW w:w="5508" w:type="dxa"/>
          </w:tcPr>
          <w:p w14:paraId="79E1B03F" w14:textId="77777777" w:rsidR="002A1EFC" w:rsidRDefault="002A1EFC" w:rsidP="00C248E6">
            <w:pPr>
              <w:rPr>
                <w:rFonts w:ascii="Arial" w:hAnsi="Arial"/>
              </w:rPr>
            </w:pPr>
            <w:r>
              <w:rPr>
                <w:rFonts w:ascii="Arial" w:hAnsi="Arial"/>
              </w:rPr>
              <w:t>Blood pressure support requiring vasopressor infusion</w:t>
            </w:r>
          </w:p>
        </w:tc>
        <w:tc>
          <w:tcPr>
            <w:tcW w:w="7668" w:type="dxa"/>
          </w:tcPr>
          <w:p w14:paraId="62334B95" w14:textId="30751669" w:rsidR="002A1EFC" w:rsidRPr="00EC7C80" w:rsidRDefault="00ED17A3" w:rsidP="00807AAF">
            <w:pPr>
              <w:widowControl w:val="0"/>
              <w:autoSpaceDE w:val="0"/>
              <w:autoSpaceDN w:val="0"/>
              <w:adjustRightInd w:val="0"/>
              <w:rPr>
                <w:rFonts w:ascii="Arial" w:hAnsi="Arial" w:cs="Arial"/>
              </w:rPr>
            </w:pPr>
            <w:r w:rsidRPr="00EC7C80">
              <w:rPr>
                <w:rFonts w:ascii="Arial" w:hAnsi="Arial" w:cs="Arial"/>
              </w:rPr>
              <w:t>Patient was started on "pressor" infusion to maintain blood pressure within =/- 20% of pre</w:t>
            </w:r>
            <w:r w:rsidR="00D00894">
              <w:rPr>
                <w:rFonts w:ascii="Arial" w:hAnsi="Arial" w:cs="Arial"/>
              </w:rPr>
              <w:t>-</w:t>
            </w:r>
            <w:r w:rsidRPr="00EC7C80">
              <w:rPr>
                <w:rFonts w:ascii="Arial" w:hAnsi="Arial" w:cs="Arial"/>
              </w:rPr>
              <w:t xml:space="preserve">anesthesia care </w:t>
            </w:r>
            <w:r w:rsidR="002F7C59" w:rsidRPr="00EC7C80">
              <w:rPr>
                <w:rFonts w:ascii="Arial" w:hAnsi="Arial" w:cs="Arial"/>
              </w:rPr>
              <w:t xml:space="preserve">documented </w:t>
            </w:r>
            <w:r w:rsidRPr="00EC7C80">
              <w:rPr>
                <w:rFonts w:ascii="Arial" w:hAnsi="Arial" w:cs="Arial"/>
              </w:rPr>
              <w:t>blood pressure. Infusion started after Anesthesia Care Team assumed care of the patient.</w:t>
            </w:r>
          </w:p>
        </w:tc>
      </w:tr>
      <w:tr w:rsidR="00EC7C80" w14:paraId="7B4F1B9C" w14:textId="77777777" w:rsidTr="00ED17A3">
        <w:tc>
          <w:tcPr>
            <w:tcW w:w="5508" w:type="dxa"/>
          </w:tcPr>
          <w:p w14:paraId="7165956C" w14:textId="24E332A6" w:rsidR="00EC7C80" w:rsidRDefault="00EC7C80" w:rsidP="002A1EFC">
            <w:pPr>
              <w:spacing w:line="480" w:lineRule="auto"/>
              <w:rPr>
                <w:rFonts w:ascii="Arial" w:hAnsi="Arial"/>
              </w:rPr>
            </w:pPr>
            <w:r>
              <w:rPr>
                <w:rFonts w:ascii="Arial" w:hAnsi="Arial"/>
              </w:rPr>
              <w:t>EKG changes requiring treatment</w:t>
            </w:r>
          </w:p>
        </w:tc>
        <w:tc>
          <w:tcPr>
            <w:tcW w:w="7668" w:type="dxa"/>
          </w:tcPr>
          <w:p w14:paraId="612248C8" w14:textId="4A772F69" w:rsidR="00EC7C80" w:rsidRPr="00EC7C80" w:rsidRDefault="00EC7C80" w:rsidP="00EC7C80">
            <w:pPr>
              <w:widowControl w:val="0"/>
              <w:autoSpaceDE w:val="0"/>
              <w:autoSpaceDN w:val="0"/>
              <w:adjustRightInd w:val="0"/>
              <w:rPr>
                <w:rFonts w:ascii="Arial" w:hAnsi="Arial" w:cs="Arial"/>
              </w:rPr>
            </w:pPr>
            <w:r w:rsidRPr="00EC7C80">
              <w:rPr>
                <w:rFonts w:ascii="Arial" w:hAnsi="Arial" w:cs="Arial"/>
              </w:rPr>
              <w:t>Electrocardiogram changes during the perioperative period including ST segment changes, new conduction delays, tachydysrhythmias, asystole or other, bradydysrhythmias</w:t>
            </w:r>
            <w:r w:rsidR="00AB5AEF">
              <w:rPr>
                <w:rFonts w:ascii="Arial" w:hAnsi="Arial" w:cs="Arial"/>
              </w:rPr>
              <w:t>,</w:t>
            </w:r>
            <w:r w:rsidRPr="00EC7C80">
              <w:rPr>
                <w:rFonts w:ascii="Arial" w:hAnsi="Arial" w:cs="Arial"/>
              </w:rPr>
              <w:t xml:space="preserve"> and ventricular ectopy resulting in an intervention by the anesthesia provider</w:t>
            </w:r>
          </w:p>
        </w:tc>
      </w:tr>
      <w:tr w:rsidR="002A1EFC" w14:paraId="60656092" w14:textId="77777777" w:rsidTr="00ED17A3">
        <w:tc>
          <w:tcPr>
            <w:tcW w:w="5508" w:type="dxa"/>
          </w:tcPr>
          <w:p w14:paraId="21120C50" w14:textId="77777777" w:rsidR="002A1EFC" w:rsidRDefault="002A1EFC" w:rsidP="002A1EFC">
            <w:pPr>
              <w:spacing w:line="480" w:lineRule="auto"/>
              <w:rPr>
                <w:rFonts w:ascii="Arial" w:hAnsi="Arial"/>
              </w:rPr>
            </w:pPr>
            <w:r>
              <w:rPr>
                <w:rFonts w:ascii="Arial" w:hAnsi="Arial"/>
              </w:rPr>
              <w:t>Unplanned admission to the intensive care unit</w:t>
            </w:r>
          </w:p>
        </w:tc>
        <w:tc>
          <w:tcPr>
            <w:tcW w:w="7668" w:type="dxa"/>
          </w:tcPr>
          <w:p w14:paraId="4C6F2EDB" w14:textId="679642CA" w:rsidR="002A1EFC" w:rsidRPr="00ED17A3" w:rsidRDefault="00ED17A3" w:rsidP="004B1D72">
            <w:pPr>
              <w:widowControl w:val="0"/>
              <w:autoSpaceDE w:val="0"/>
              <w:autoSpaceDN w:val="0"/>
              <w:adjustRightInd w:val="0"/>
              <w:rPr>
                <w:rFonts w:ascii="Arial" w:hAnsi="Arial" w:cs="Arial"/>
              </w:rPr>
            </w:pPr>
            <w:r w:rsidRPr="00ED17A3">
              <w:rPr>
                <w:rFonts w:ascii="Arial" w:hAnsi="Arial" w:cs="Arial"/>
              </w:rPr>
              <w:t>Any patient who requires an unanticipated escalation in care related to the provision of anesthesia care</w:t>
            </w:r>
            <w:r w:rsidR="004B1D72">
              <w:rPr>
                <w:rFonts w:ascii="Arial" w:hAnsi="Arial" w:cs="Arial"/>
              </w:rPr>
              <w:t xml:space="preserve"> and</w:t>
            </w:r>
            <w:r w:rsidRPr="00ED17A3">
              <w:rPr>
                <w:rFonts w:ascii="Arial" w:hAnsi="Arial" w:cs="Arial"/>
              </w:rPr>
              <w:t xml:space="preserve"> </w:t>
            </w:r>
            <w:r w:rsidR="004B1D72" w:rsidRPr="00ED17A3">
              <w:rPr>
                <w:rFonts w:ascii="Arial" w:hAnsi="Arial" w:cs="Arial"/>
              </w:rPr>
              <w:t xml:space="preserve">necessitating a transfer to an ICU </w:t>
            </w:r>
            <w:r w:rsidRPr="00ED17A3">
              <w:rPr>
                <w:rFonts w:ascii="Arial" w:hAnsi="Arial" w:cs="Arial"/>
              </w:rPr>
              <w:t>within 24 hours of induction of anesthesia or start of monitored anesthesia care. Reasons for admission may include: need for postoperative ventilation, need for ongoing vasopressor support, unanticipated unstable airway, unanticipated potential for apnea,</w:t>
            </w:r>
            <w:r w:rsidR="00C470D5">
              <w:rPr>
                <w:rFonts w:ascii="Arial" w:hAnsi="Arial" w:cs="Arial"/>
              </w:rPr>
              <w:t xml:space="preserve"> and</w:t>
            </w:r>
            <w:r w:rsidRPr="00ED17A3">
              <w:rPr>
                <w:rFonts w:ascii="Arial" w:hAnsi="Arial" w:cs="Arial"/>
              </w:rPr>
              <w:t xml:space="preserve"> unplanned prolonged anesthetic action or neuromuscular blockade. (This indicator will be measured within 24 hours, but may be reported up to 48 hours post</w:t>
            </w:r>
            <w:r w:rsidR="00C470D5">
              <w:rPr>
                <w:rFonts w:ascii="Arial" w:hAnsi="Arial" w:cs="Arial"/>
              </w:rPr>
              <w:t xml:space="preserve"> </w:t>
            </w:r>
            <w:r w:rsidRPr="00ED17A3">
              <w:rPr>
                <w:rFonts w:ascii="Arial" w:hAnsi="Arial" w:cs="Arial"/>
              </w:rPr>
              <w:t>induction.)</w:t>
            </w:r>
          </w:p>
        </w:tc>
      </w:tr>
      <w:tr w:rsidR="002A1EFC" w14:paraId="570A605C" w14:textId="77777777" w:rsidTr="00ED17A3">
        <w:tc>
          <w:tcPr>
            <w:tcW w:w="5508" w:type="dxa"/>
          </w:tcPr>
          <w:p w14:paraId="2C36B927" w14:textId="0A8D1FE5" w:rsidR="002A1EFC" w:rsidRDefault="002A1EFC" w:rsidP="00C470D5">
            <w:pPr>
              <w:spacing w:line="480" w:lineRule="auto"/>
              <w:rPr>
                <w:rFonts w:ascii="Arial" w:hAnsi="Arial"/>
              </w:rPr>
            </w:pPr>
            <w:r>
              <w:rPr>
                <w:rFonts w:ascii="Arial" w:hAnsi="Arial"/>
              </w:rPr>
              <w:t xml:space="preserve">Post-anesthesia care unit stay </w:t>
            </w:r>
            <w:r w:rsidR="00C470D5">
              <w:rPr>
                <w:rFonts w:ascii="Arial" w:hAnsi="Arial"/>
              </w:rPr>
              <w:t>&gt;</w:t>
            </w:r>
            <w:r>
              <w:rPr>
                <w:rFonts w:ascii="Arial" w:hAnsi="Arial"/>
              </w:rPr>
              <w:t xml:space="preserve"> 2 hours</w:t>
            </w:r>
          </w:p>
        </w:tc>
        <w:tc>
          <w:tcPr>
            <w:tcW w:w="7668" w:type="dxa"/>
          </w:tcPr>
          <w:p w14:paraId="4A69C72A" w14:textId="630D45DE" w:rsidR="002A1EFC" w:rsidRPr="00ED17A3" w:rsidRDefault="00ED17A3" w:rsidP="00ED17A3">
            <w:pPr>
              <w:widowControl w:val="0"/>
              <w:autoSpaceDE w:val="0"/>
              <w:autoSpaceDN w:val="0"/>
              <w:adjustRightInd w:val="0"/>
              <w:rPr>
                <w:rFonts w:ascii="Arial" w:hAnsi="Arial" w:cs="Arial"/>
              </w:rPr>
            </w:pPr>
            <w:r w:rsidRPr="00ED17A3">
              <w:rPr>
                <w:rFonts w:ascii="Arial" w:hAnsi="Arial" w:cs="Arial"/>
              </w:rPr>
              <w:t xml:space="preserve">A stay in the recovery room longer than 2 hours due to clinical complications </w:t>
            </w:r>
            <w:r w:rsidR="00C470D5">
              <w:rPr>
                <w:rFonts w:ascii="Arial" w:hAnsi="Arial" w:cs="Arial"/>
              </w:rPr>
              <w:t>(</w:t>
            </w:r>
            <w:r w:rsidRPr="00ED17A3">
              <w:rPr>
                <w:rFonts w:ascii="Arial" w:hAnsi="Arial" w:cs="Arial"/>
              </w:rPr>
              <w:t>Examples include, but are not limited to, nausea/vomiting and oversedation.</w:t>
            </w:r>
            <w:r w:rsidR="00C470D5">
              <w:rPr>
                <w:rFonts w:ascii="Arial" w:hAnsi="Arial" w:cs="Arial"/>
              </w:rPr>
              <w:t>)</w:t>
            </w:r>
          </w:p>
        </w:tc>
      </w:tr>
      <w:tr w:rsidR="002A1EFC" w14:paraId="0CF62983" w14:textId="77777777" w:rsidTr="00ED17A3">
        <w:tc>
          <w:tcPr>
            <w:tcW w:w="5508" w:type="dxa"/>
          </w:tcPr>
          <w:p w14:paraId="441F9BEA" w14:textId="77777777" w:rsidR="002A1EFC" w:rsidRDefault="002A1EFC" w:rsidP="002A1EFC">
            <w:pPr>
              <w:spacing w:line="480" w:lineRule="auto"/>
              <w:rPr>
                <w:rFonts w:ascii="Arial" w:hAnsi="Arial"/>
              </w:rPr>
            </w:pPr>
            <w:r>
              <w:rPr>
                <w:rFonts w:ascii="Arial" w:hAnsi="Arial"/>
              </w:rPr>
              <w:t>Cardiac arrest</w:t>
            </w:r>
          </w:p>
        </w:tc>
        <w:tc>
          <w:tcPr>
            <w:tcW w:w="7668" w:type="dxa"/>
          </w:tcPr>
          <w:p w14:paraId="0BAD2878" w14:textId="622623C2" w:rsidR="002A1EFC" w:rsidRPr="00ED17A3" w:rsidRDefault="00ED17A3" w:rsidP="00C470D5">
            <w:pPr>
              <w:spacing w:line="480" w:lineRule="auto"/>
              <w:rPr>
                <w:rFonts w:ascii="Arial" w:hAnsi="Arial" w:cs="Arial"/>
              </w:rPr>
            </w:pPr>
            <w:r w:rsidRPr="00ED17A3">
              <w:rPr>
                <w:rFonts w:ascii="Arial" w:hAnsi="Arial" w:cs="Arial"/>
              </w:rPr>
              <w:t>CPR required within 24 hours of receiving an anesthetic</w:t>
            </w:r>
          </w:p>
        </w:tc>
      </w:tr>
      <w:tr w:rsidR="002A1EFC" w14:paraId="58E3AA40" w14:textId="77777777" w:rsidTr="00ED17A3">
        <w:tc>
          <w:tcPr>
            <w:tcW w:w="5508" w:type="dxa"/>
          </w:tcPr>
          <w:p w14:paraId="5AA3369E" w14:textId="77777777" w:rsidR="002A1EFC" w:rsidRDefault="002A1EFC" w:rsidP="002A1EFC">
            <w:pPr>
              <w:spacing w:line="480" w:lineRule="auto"/>
              <w:rPr>
                <w:rFonts w:ascii="Arial" w:hAnsi="Arial"/>
              </w:rPr>
            </w:pPr>
            <w:r>
              <w:rPr>
                <w:rFonts w:ascii="Arial" w:hAnsi="Arial"/>
              </w:rPr>
              <w:t>Myocardial infarction</w:t>
            </w:r>
          </w:p>
        </w:tc>
        <w:tc>
          <w:tcPr>
            <w:tcW w:w="7668" w:type="dxa"/>
          </w:tcPr>
          <w:p w14:paraId="427335CC" w14:textId="77777777" w:rsidR="002A1EFC" w:rsidRPr="00ED17A3" w:rsidRDefault="00ED17A3" w:rsidP="00ED17A3">
            <w:pPr>
              <w:widowControl w:val="0"/>
              <w:autoSpaceDE w:val="0"/>
              <w:autoSpaceDN w:val="0"/>
              <w:adjustRightInd w:val="0"/>
              <w:rPr>
                <w:rFonts w:ascii="Arial" w:hAnsi="Arial" w:cs="Arial"/>
              </w:rPr>
            </w:pPr>
            <w:r w:rsidRPr="00ED17A3">
              <w:rPr>
                <w:rFonts w:ascii="Arial" w:hAnsi="Arial" w:cs="Arial"/>
              </w:rPr>
              <w:t>Patients that have myocardial infarction diagnosed by a qualified physician during the perioperative period up to 24 hours following surgery. Diagnosis may be supported by evidence obtained by physical or laboratory examination. Patients who present to the OR with an evolving MI are excluded.</w:t>
            </w:r>
          </w:p>
        </w:tc>
      </w:tr>
    </w:tbl>
    <w:p w14:paraId="31073C9B" w14:textId="77777777" w:rsidR="002A1EFC" w:rsidRPr="002A1EFC" w:rsidRDefault="00ED17A3" w:rsidP="002A1EFC">
      <w:pPr>
        <w:spacing w:line="480" w:lineRule="auto"/>
        <w:rPr>
          <w:rFonts w:ascii="Arial" w:hAnsi="Arial"/>
        </w:rPr>
      </w:pPr>
      <w:r>
        <w:rPr>
          <w:rFonts w:ascii="Arial" w:hAnsi="Arial"/>
        </w:rPr>
        <w:t>*Definitions used by the</w:t>
      </w:r>
      <w:r>
        <w:rPr>
          <w:rFonts w:ascii="Arial" w:hAnsi="Arial" w:cs="Arial"/>
        </w:rPr>
        <w:t xml:space="preserve"> Quantum</w:t>
      </w:r>
      <w:r w:rsidRPr="00F275ED">
        <w:rPr>
          <w:rFonts w:ascii="Arial" w:hAnsi="Arial" w:cs="Arial"/>
          <w:vertAlign w:val="superscript"/>
        </w:rPr>
        <w:t>TM</w:t>
      </w:r>
      <w:r>
        <w:rPr>
          <w:rFonts w:ascii="Arial" w:hAnsi="Arial" w:cs="Arial"/>
        </w:rPr>
        <w:t xml:space="preserve"> Clinical Navigation System q</w:t>
      </w:r>
      <w:r w:rsidR="0094696B">
        <w:rPr>
          <w:rFonts w:ascii="Arial" w:hAnsi="Arial" w:cs="Arial"/>
        </w:rPr>
        <w:t>uality improvement program of</w:t>
      </w:r>
      <w:r w:rsidR="0094696B" w:rsidRPr="0094696B">
        <w:rPr>
          <w:rFonts w:ascii="Arial" w:hAnsi="Arial" w:cs="Arial"/>
        </w:rPr>
        <w:t xml:space="preserve"> </w:t>
      </w:r>
      <w:r w:rsidR="0094696B">
        <w:rPr>
          <w:rFonts w:ascii="Arial" w:hAnsi="Arial" w:cs="Arial"/>
        </w:rPr>
        <w:t>American Anesthesiology Inc. within the MEDNAX National Medical Group</w:t>
      </w:r>
    </w:p>
    <w:sectPr w:rsidR="002A1EFC" w:rsidRPr="002A1EFC" w:rsidSect="00ED17A3">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DB4FB" w14:textId="77777777" w:rsidR="0037518D" w:rsidRDefault="0037518D" w:rsidP="00C4402E">
      <w:r>
        <w:separator/>
      </w:r>
    </w:p>
  </w:endnote>
  <w:endnote w:type="continuationSeparator" w:id="0">
    <w:p w14:paraId="7479C96F" w14:textId="77777777" w:rsidR="0037518D" w:rsidRDefault="0037518D" w:rsidP="00C44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465E2" w14:textId="77777777" w:rsidR="00C4402E" w:rsidRDefault="00C4402E" w:rsidP="00C440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E5492C" w14:textId="77777777" w:rsidR="00C4402E" w:rsidRDefault="00C4402E" w:rsidP="00C440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D88F5" w14:textId="77777777" w:rsidR="00C4402E" w:rsidRPr="00C4402E" w:rsidRDefault="00C4402E" w:rsidP="00C4402E">
    <w:pPr>
      <w:pStyle w:val="Footer"/>
      <w:framePr w:wrap="around" w:vAnchor="text" w:hAnchor="margin" w:xAlign="right" w:y="1"/>
      <w:rPr>
        <w:rStyle w:val="PageNumber"/>
        <w:rFonts w:ascii="Arial" w:hAnsi="Arial" w:cs="Arial"/>
      </w:rPr>
    </w:pPr>
    <w:r w:rsidRPr="00C4402E">
      <w:rPr>
        <w:rStyle w:val="PageNumber"/>
        <w:rFonts w:ascii="Arial" w:hAnsi="Arial" w:cs="Arial"/>
      </w:rPr>
      <w:fldChar w:fldCharType="begin"/>
    </w:r>
    <w:r w:rsidRPr="00C4402E">
      <w:rPr>
        <w:rStyle w:val="PageNumber"/>
        <w:rFonts w:ascii="Arial" w:hAnsi="Arial" w:cs="Arial"/>
      </w:rPr>
      <w:instrText xml:space="preserve">PAGE  </w:instrText>
    </w:r>
    <w:r w:rsidRPr="00C4402E">
      <w:rPr>
        <w:rStyle w:val="PageNumber"/>
        <w:rFonts w:ascii="Arial" w:hAnsi="Arial" w:cs="Arial"/>
      </w:rPr>
      <w:fldChar w:fldCharType="separate"/>
    </w:r>
    <w:r w:rsidR="00C248E6">
      <w:rPr>
        <w:rStyle w:val="PageNumber"/>
        <w:rFonts w:ascii="Arial" w:hAnsi="Arial" w:cs="Arial"/>
        <w:noProof/>
      </w:rPr>
      <w:t>1</w:t>
    </w:r>
    <w:r w:rsidRPr="00C4402E">
      <w:rPr>
        <w:rStyle w:val="PageNumber"/>
        <w:rFonts w:ascii="Arial" w:hAnsi="Arial" w:cs="Arial"/>
      </w:rPr>
      <w:fldChar w:fldCharType="end"/>
    </w:r>
  </w:p>
  <w:p w14:paraId="6C9BF685" w14:textId="77777777" w:rsidR="00C4402E" w:rsidRDefault="00C4402E" w:rsidP="00C440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15FFC" w14:textId="77777777" w:rsidR="0037518D" w:rsidRDefault="0037518D" w:rsidP="00C4402E">
      <w:r>
        <w:separator/>
      </w:r>
    </w:p>
  </w:footnote>
  <w:footnote w:type="continuationSeparator" w:id="0">
    <w:p w14:paraId="383A721D" w14:textId="77777777" w:rsidR="0037518D" w:rsidRDefault="0037518D" w:rsidP="00C4402E">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EFC"/>
    <w:rsid w:val="000346DB"/>
    <w:rsid w:val="00141FD1"/>
    <w:rsid w:val="00210D38"/>
    <w:rsid w:val="002A1EFC"/>
    <w:rsid w:val="002C1FD7"/>
    <w:rsid w:val="002E254F"/>
    <w:rsid w:val="002F7C59"/>
    <w:rsid w:val="0037518D"/>
    <w:rsid w:val="003E496F"/>
    <w:rsid w:val="004B018F"/>
    <w:rsid w:val="004B1D72"/>
    <w:rsid w:val="00666D06"/>
    <w:rsid w:val="006D5D6E"/>
    <w:rsid w:val="006F24BC"/>
    <w:rsid w:val="00807AAF"/>
    <w:rsid w:val="0094696B"/>
    <w:rsid w:val="00993224"/>
    <w:rsid w:val="00AB5AEF"/>
    <w:rsid w:val="00AE7017"/>
    <w:rsid w:val="00AF3B4D"/>
    <w:rsid w:val="00BC1C2E"/>
    <w:rsid w:val="00C248E6"/>
    <w:rsid w:val="00C4402E"/>
    <w:rsid w:val="00C470D5"/>
    <w:rsid w:val="00C63DDC"/>
    <w:rsid w:val="00D00894"/>
    <w:rsid w:val="00D14ACF"/>
    <w:rsid w:val="00D37809"/>
    <w:rsid w:val="00D9623B"/>
    <w:rsid w:val="00DA4A3E"/>
    <w:rsid w:val="00DA6E1C"/>
    <w:rsid w:val="00DB64E6"/>
    <w:rsid w:val="00E76A72"/>
    <w:rsid w:val="00EC7C80"/>
    <w:rsid w:val="00ED17A3"/>
    <w:rsid w:val="00FA5A8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95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1E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40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402E"/>
    <w:rPr>
      <w:rFonts w:ascii="Lucida Grande" w:hAnsi="Lucida Grande" w:cs="Lucida Grande"/>
      <w:sz w:val="18"/>
      <w:szCs w:val="18"/>
    </w:rPr>
  </w:style>
  <w:style w:type="paragraph" w:styleId="Footer">
    <w:name w:val="footer"/>
    <w:basedOn w:val="Normal"/>
    <w:link w:val="FooterChar"/>
    <w:uiPriority w:val="99"/>
    <w:unhideWhenUsed/>
    <w:rsid w:val="00C4402E"/>
    <w:pPr>
      <w:tabs>
        <w:tab w:val="center" w:pos="4320"/>
        <w:tab w:val="right" w:pos="8640"/>
      </w:tabs>
    </w:pPr>
  </w:style>
  <w:style w:type="character" w:customStyle="1" w:styleId="FooterChar">
    <w:name w:val="Footer Char"/>
    <w:basedOn w:val="DefaultParagraphFont"/>
    <w:link w:val="Footer"/>
    <w:uiPriority w:val="99"/>
    <w:rsid w:val="00C4402E"/>
  </w:style>
  <w:style w:type="character" w:styleId="PageNumber">
    <w:name w:val="page number"/>
    <w:basedOn w:val="DefaultParagraphFont"/>
    <w:uiPriority w:val="99"/>
    <w:semiHidden/>
    <w:unhideWhenUsed/>
    <w:rsid w:val="00C4402E"/>
  </w:style>
  <w:style w:type="paragraph" w:styleId="Header">
    <w:name w:val="header"/>
    <w:basedOn w:val="Normal"/>
    <w:link w:val="HeaderChar"/>
    <w:uiPriority w:val="99"/>
    <w:unhideWhenUsed/>
    <w:rsid w:val="00C4402E"/>
    <w:pPr>
      <w:tabs>
        <w:tab w:val="center" w:pos="4320"/>
        <w:tab w:val="right" w:pos="8640"/>
      </w:tabs>
    </w:pPr>
  </w:style>
  <w:style w:type="character" w:customStyle="1" w:styleId="HeaderChar">
    <w:name w:val="Header Char"/>
    <w:basedOn w:val="DefaultParagraphFont"/>
    <w:link w:val="Header"/>
    <w:uiPriority w:val="99"/>
    <w:rsid w:val="00C440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1E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40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402E"/>
    <w:rPr>
      <w:rFonts w:ascii="Lucida Grande" w:hAnsi="Lucida Grande" w:cs="Lucida Grande"/>
      <w:sz w:val="18"/>
      <w:szCs w:val="18"/>
    </w:rPr>
  </w:style>
  <w:style w:type="paragraph" w:styleId="Footer">
    <w:name w:val="footer"/>
    <w:basedOn w:val="Normal"/>
    <w:link w:val="FooterChar"/>
    <w:uiPriority w:val="99"/>
    <w:unhideWhenUsed/>
    <w:rsid w:val="00C4402E"/>
    <w:pPr>
      <w:tabs>
        <w:tab w:val="center" w:pos="4320"/>
        <w:tab w:val="right" w:pos="8640"/>
      </w:tabs>
    </w:pPr>
  </w:style>
  <w:style w:type="character" w:customStyle="1" w:styleId="FooterChar">
    <w:name w:val="Footer Char"/>
    <w:basedOn w:val="DefaultParagraphFont"/>
    <w:link w:val="Footer"/>
    <w:uiPriority w:val="99"/>
    <w:rsid w:val="00C4402E"/>
  </w:style>
  <w:style w:type="character" w:styleId="PageNumber">
    <w:name w:val="page number"/>
    <w:basedOn w:val="DefaultParagraphFont"/>
    <w:uiPriority w:val="99"/>
    <w:semiHidden/>
    <w:unhideWhenUsed/>
    <w:rsid w:val="00C4402E"/>
  </w:style>
  <w:style w:type="paragraph" w:styleId="Header">
    <w:name w:val="header"/>
    <w:basedOn w:val="Normal"/>
    <w:link w:val="HeaderChar"/>
    <w:uiPriority w:val="99"/>
    <w:unhideWhenUsed/>
    <w:rsid w:val="00C4402E"/>
    <w:pPr>
      <w:tabs>
        <w:tab w:val="center" w:pos="4320"/>
        <w:tab w:val="right" w:pos="8640"/>
      </w:tabs>
    </w:pPr>
  </w:style>
  <w:style w:type="character" w:customStyle="1" w:styleId="HeaderChar">
    <w:name w:val="Header Char"/>
    <w:basedOn w:val="DefaultParagraphFont"/>
    <w:link w:val="Header"/>
    <w:uiPriority w:val="99"/>
    <w:rsid w:val="00C44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382</Words>
  <Characters>2179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Duke University Medical Center</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Miklos Kertai, M.D.</dc:creator>
  <cp:keywords/>
  <dc:description/>
  <cp:lastModifiedBy>Miklos Kertai, M.D.</cp:lastModifiedBy>
  <cp:revision>2</cp:revision>
  <dcterms:created xsi:type="dcterms:W3CDTF">2017-07-26T01:31:00Z</dcterms:created>
  <dcterms:modified xsi:type="dcterms:W3CDTF">2017-07-26T01:31:00Z</dcterms:modified>
</cp:coreProperties>
</file>