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EB236" w14:textId="45DA0D1E" w:rsidR="00CC3338" w:rsidRDefault="00CC3338" w:rsidP="00687CC5">
      <w:pPr>
        <w:jc w:val="both"/>
        <w:rPr>
          <w:b/>
          <w:bCs/>
          <w:color w:val="000000" w:themeColor="text1"/>
        </w:rPr>
      </w:pPr>
      <w:r>
        <w:rPr>
          <w:b/>
          <w:bCs/>
          <w:color w:val="000000" w:themeColor="text1"/>
        </w:rPr>
        <w:t>Supplementa</w:t>
      </w:r>
      <w:r w:rsidR="00CA0F67">
        <w:rPr>
          <w:b/>
          <w:bCs/>
          <w:color w:val="000000" w:themeColor="text1"/>
        </w:rPr>
        <w:t>l</w:t>
      </w:r>
      <w:r>
        <w:rPr>
          <w:b/>
          <w:bCs/>
          <w:color w:val="000000" w:themeColor="text1"/>
        </w:rPr>
        <w:t xml:space="preserve"> Digital Content</w:t>
      </w:r>
    </w:p>
    <w:p w14:paraId="23132402" w14:textId="77777777" w:rsidR="00CC3338" w:rsidRDefault="00CC3338" w:rsidP="00687CC5">
      <w:pPr>
        <w:jc w:val="both"/>
        <w:rPr>
          <w:b/>
          <w:bCs/>
          <w:color w:val="000000" w:themeColor="text1"/>
        </w:rPr>
      </w:pPr>
    </w:p>
    <w:p w14:paraId="1725188D" w14:textId="4D239A8C" w:rsidR="00687CC5" w:rsidRDefault="00687CC5" w:rsidP="00687CC5">
      <w:pPr>
        <w:jc w:val="both"/>
        <w:rPr>
          <w:b/>
          <w:bCs/>
          <w:color w:val="000000" w:themeColor="text1"/>
        </w:rPr>
      </w:pPr>
      <w:r w:rsidRPr="00A777A2">
        <w:rPr>
          <w:b/>
          <w:bCs/>
          <w:color w:val="000000" w:themeColor="text1"/>
        </w:rPr>
        <w:t>Supplementa</w:t>
      </w:r>
      <w:r w:rsidR="00CA0F67">
        <w:rPr>
          <w:b/>
          <w:bCs/>
          <w:color w:val="000000" w:themeColor="text1"/>
        </w:rPr>
        <w:t>l</w:t>
      </w:r>
      <w:bookmarkStart w:id="0" w:name="_GoBack"/>
      <w:bookmarkEnd w:id="0"/>
      <w:r w:rsidR="00CC3338">
        <w:rPr>
          <w:b/>
          <w:bCs/>
          <w:color w:val="000000" w:themeColor="text1"/>
        </w:rPr>
        <w:t xml:space="preserve"> </w:t>
      </w:r>
      <w:r w:rsidRPr="00A777A2">
        <w:rPr>
          <w:b/>
          <w:bCs/>
          <w:color w:val="000000" w:themeColor="text1"/>
        </w:rPr>
        <w:t>Statistical Appendix</w:t>
      </w:r>
    </w:p>
    <w:p w14:paraId="052BA13C" w14:textId="77777777" w:rsidR="00687CC5" w:rsidRDefault="00687CC5" w:rsidP="00687CC5">
      <w:pPr>
        <w:jc w:val="both"/>
        <w:rPr>
          <w:b/>
          <w:bCs/>
          <w:color w:val="000000" w:themeColor="text1"/>
        </w:rPr>
      </w:pPr>
    </w:p>
    <w:p w14:paraId="75D51D43" w14:textId="77777777" w:rsidR="00687CC5" w:rsidRDefault="00687CC5" w:rsidP="00687CC5">
      <w:pPr>
        <w:jc w:val="both"/>
        <w:rPr>
          <w:b/>
          <w:bCs/>
          <w:color w:val="000000" w:themeColor="text1"/>
        </w:rPr>
      </w:pPr>
      <w:r w:rsidRPr="00E855A6">
        <w:rPr>
          <w:b/>
          <w:bCs/>
          <w:color w:val="000000" w:themeColor="text1"/>
        </w:rPr>
        <w:t>Methodology for calculating inverse probability of treatment weights to estimate the average treatment effect on the treated</w:t>
      </w:r>
    </w:p>
    <w:p w14:paraId="0BD08276" w14:textId="77777777" w:rsidR="00687CC5" w:rsidRPr="00E855A6" w:rsidRDefault="00687CC5" w:rsidP="00687CC5">
      <w:pPr>
        <w:jc w:val="both"/>
        <w:rPr>
          <w:b/>
          <w:bCs/>
          <w:color w:val="000000" w:themeColor="text1"/>
          <w:vertAlign w:val="superscript"/>
        </w:rPr>
      </w:pPr>
    </w:p>
    <w:p w14:paraId="5929AABA" w14:textId="60B0F4F1" w:rsidR="00687CC5" w:rsidRPr="001D6465" w:rsidRDefault="00CC3338" w:rsidP="00687CC5">
      <w:pPr>
        <w:jc w:val="both"/>
        <w:rPr>
          <w:color w:val="000000" w:themeColor="text1"/>
        </w:rPr>
      </w:pPr>
      <w:r w:rsidRPr="001D6465">
        <w:rPr>
          <w:color w:val="000000" w:themeColor="text1"/>
        </w:rPr>
        <w:t xml:space="preserve">To account for variability between time periods </w:t>
      </w:r>
      <w:r>
        <w:rPr>
          <w:color w:val="000000" w:themeColor="text1"/>
        </w:rPr>
        <w:t>(post- versus pre</w:t>
      </w:r>
      <w:r>
        <w:rPr>
          <w:color w:val="000000" w:themeColor="text1"/>
        </w:rPr>
        <w:t>-</w:t>
      </w:r>
      <w:r>
        <w:rPr>
          <w:color w:val="000000" w:themeColor="text1"/>
        </w:rPr>
        <w:t xml:space="preserve">implementation) </w:t>
      </w:r>
      <w:r w:rsidRPr="001D6465">
        <w:rPr>
          <w:color w:val="000000" w:themeColor="text1"/>
        </w:rPr>
        <w:t xml:space="preserve">and delivery types </w:t>
      </w:r>
      <w:r>
        <w:rPr>
          <w:color w:val="000000" w:themeColor="text1"/>
        </w:rPr>
        <w:t xml:space="preserve">(vaginal versus cesarean delivery [CD]) </w:t>
      </w:r>
      <w:r w:rsidRPr="001D6465">
        <w:rPr>
          <w:color w:val="000000" w:themeColor="text1"/>
        </w:rPr>
        <w:t xml:space="preserve">with respect to the distribution of mother characteristics, baby characteristics, and delivering clinicians that could be associated with </w:t>
      </w:r>
      <w:r>
        <w:rPr>
          <w:color w:val="000000" w:themeColor="text1"/>
        </w:rPr>
        <w:t xml:space="preserve">postdelivery </w:t>
      </w:r>
      <w:r w:rsidRPr="001D6465">
        <w:rPr>
          <w:color w:val="000000" w:themeColor="text1"/>
        </w:rPr>
        <w:t>outcomes, all regression models were weighted by inverse probability of treatment weights to estimate the average treatment effect on the treated (IPTW-ATT).</w:t>
      </w:r>
      <w:r w:rsidRPr="00AD33C1">
        <w:rPr>
          <w:iCs/>
          <w:color w:val="000000" w:themeColor="text1"/>
          <w:vertAlign w:val="superscript"/>
        </w:rPr>
        <w:t>23,24</w:t>
      </w:r>
      <w:r w:rsidRPr="001D6465">
        <w:rPr>
          <w:color w:val="000000" w:themeColor="text1"/>
        </w:rPr>
        <w:t xml:space="preserve"> IPTW-ATT were used to estimate the average effect of device implementation on deliveries with the distribution of </w:t>
      </w:r>
      <w:r>
        <w:rPr>
          <w:color w:val="000000" w:themeColor="text1"/>
        </w:rPr>
        <w:t>characteristics</w:t>
      </w:r>
      <w:r w:rsidRPr="001D6465">
        <w:rPr>
          <w:color w:val="000000" w:themeColor="text1"/>
        </w:rPr>
        <w:t xml:space="preserve"> observed </w:t>
      </w:r>
      <w:r>
        <w:rPr>
          <w:color w:val="000000" w:themeColor="text1"/>
        </w:rPr>
        <w:t xml:space="preserve">in patients who delivered vaginally </w:t>
      </w:r>
      <w:r w:rsidRPr="001D6465">
        <w:rPr>
          <w:color w:val="000000" w:themeColor="text1"/>
        </w:rPr>
        <w:t>prior to the transition period (i.e., the “treated”). For immediate postdelivery blood loss outcome analyses, multilevel multinomial logistic regression was used to estimate the probability of each patient being in group 1 (vaginal delivery pre</w:t>
      </w:r>
      <w:r>
        <w:rPr>
          <w:color w:val="000000" w:themeColor="text1"/>
        </w:rPr>
        <w:t>-</w:t>
      </w:r>
      <w:r w:rsidRPr="001D6465">
        <w:rPr>
          <w:color w:val="000000" w:themeColor="text1"/>
        </w:rPr>
        <w:t>implementation), group 2 (vaginal delivery postimplementation), group 3 (</w:t>
      </w:r>
      <w:r>
        <w:rPr>
          <w:color w:val="000000" w:themeColor="text1"/>
        </w:rPr>
        <w:t xml:space="preserve">CD </w:t>
      </w:r>
      <w:r w:rsidRPr="001D6465">
        <w:rPr>
          <w:color w:val="000000" w:themeColor="text1"/>
        </w:rPr>
        <w:t>pre</w:t>
      </w:r>
      <w:r>
        <w:rPr>
          <w:color w:val="000000" w:themeColor="text1"/>
        </w:rPr>
        <w:t>-</w:t>
      </w:r>
      <w:r w:rsidRPr="001D6465">
        <w:rPr>
          <w:color w:val="000000" w:themeColor="text1"/>
        </w:rPr>
        <w:t xml:space="preserve">implementation), or group 4 (CD postimplementation) conditional upon mother characteristics (age, </w:t>
      </w:r>
      <w:r>
        <w:rPr>
          <w:color w:val="000000" w:themeColor="text1"/>
        </w:rPr>
        <w:t>body mass index,</w:t>
      </w:r>
      <w:r w:rsidRPr="001D6465">
        <w:rPr>
          <w:color w:val="000000" w:themeColor="text1"/>
        </w:rPr>
        <w:t xml:space="preserve"> pre-delivery </w:t>
      </w:r>
      <w:r>
        <w:rPr>
          <w:color w:val="000000" w:themeColor="text1"/>
        </w:rPr>
        <w:t>hematocrit</w:t>
      </w:r>
      <w:r w:rsidRPr="001D6465">
        <w:rPr>
          <w:color w:val="000000" w:themeColor="text1"/>
        </w:rPr>
        <w:t xml:space="preserve">, parity, race), baby characteristics (gestational age, birth weight), and delivering clinician. </w:t>
      </w:r>
      <w:r w:rsidR="00687CC5" w:rsidRPr="001D6465">
        <w:rPr>
          <w:color w:val="000000" w:themeColor="text1"/>
        </w:rPr>
        <w:t xml:space="preserve">Mother and baby characteristics were included in the model as fixed effects and delivering clinician was included as a random effect with a compound symmetric covariance structure. For postdelivery intervention and hematocrit-based outcomes, multilevel binary logistic regression was used to estimate the probability of each </w:t>
      </w:r>
      <w:r w:rsidR="00687CC5">
        <w:rPr>
          <w:color w:val="000000" w:themeColor="text1"/>
        </w:rPr>
        <w:t>delivery</w:t>
      </w:r>
      <w:r w:rsidR="00687CC5" w:rsidRPr="001D6465">
        <w:rPr>
          <w:color w:val="000000" w:themeColor="text1"/>
        </w:rPr>
        <w:t xml:space="preserve"> being in group 1 or 2 conditional upon the aforementioned list of covariates. If e</w:t>
      </w:r>
      <w:r w:rsidR="00687CC5" w:rsidRPr="001D6465">
        <w:rPr>
          <w:color w:val="000000" w:themeColor="text1"/>
          <w:vertAlign w:val="subscript"/>
        </w:rPr>
        <w:t>k</w:t>
      </w:r>
      <w:r w:rsidR="00687CC5" w:rsidRPr="001D6465">
        <w:rPr>
          <w:color w:val="000000" w:themeColor="text1"/>
        </w:rPr>
        <w:t>(X</w:t>
      </w:r>
      <w:r w:rsidR="00687CC5" w:rsidRPr="001D6465">
        <w:rPr>
          <w:color w:val="000000" w:themeColor="text1"/>
          <w:vertAlign w:val="subscript"/>
        </w:rPr>
        <w:t>i</w:t>
      </w:r>
      <w:r w:rsidR="00687CC5" w:rsidRPr="001D6465">
        <w:rPr>
          <w:color w:val="000000" w:themeColor="text1"/>
        </w:rPr>
        <w:t xml:space="preserve">) is the probability of </w:t>
      </w:r>
      <w:r w:rsidR="00687CC5">
        <w:rPr>
          <w:color w:val="000000" w:themeColor="text1"/>
        </w:rPr>
        <w:t>a delivery</w:t>
      </w:r>
      <w:r w:rsidR="00687CC5" w:rsidRPr="001D6465">
        <w:rPr>
          <w:color w:val="000000" w:themeColor="text1"/>
        </w:rPr>
        <w:t xml:space="preserve"> i being in group k (where k=1, 2, 3, or 4 for immediate postdelivery blood loss outcomes and 1 or 2 for postdelivery intervention and hematocrit-based outcomes) </w:t>
      </w:r>
      <w:r w:rsidR="00687CC5">
        <w:rPr>
          <w:color w:val="000000" w:themeColor="text1"/>
        </w:rPr>
        <w:t>given</w:t>
      </w:r>
      <w:r w:rsidR="00687CC5" w:rsidRPr="001D6465">
        <w:rPr>
          <w:color w:val="000000" w:themeColor="text1"/>
        </w:rPr>
        <w:t xml:space="preserve"> a set of observed characteristics X, </w:t>
      </w:r>
      <w:r w:rsidR="00687CC5">
        <w:rPr>
          <w:color w:val="000000" w:themeColor="text1"/>
        </w:rPr>
        <w:t xml:space="preserve">and g is the group the delivery i actually belonged to, </w:t>
      </w:r>
      <w:r w:rsidR="00687CC5" w:rsidRPr="001D6465">
        <w:rPr>
          <w:color w:val="000000" w:themeColor="text1"/>
        </w:rPr>
        <w:t xml:space="preserve">then the IPTW-ATT weight w for </w:t>
      </w:r>
      <w:r w:rsidR="00687CC5">
        <w:rPr>
          <w:color w:val="000000" w:themeColor="text1"/>
        </w:rPr>
        <w:t xml:space="preserve">each delivery </w:t>
      </w:r>
      <w:r w:rsidR="00687CC5" w:rsidRPr="001D6465">
        <w:rPr>
          <w:color w:val="000000" w:themeColor="text1"/>
        </w:rPr>
        <w:t>i was calculated as</w:t>
      </w:r>
      <w:r w:rsidR="00687CC5">
        <w:rPr>
          <w:color w:val="000000" w:themeColor="text1"/>
        </w:rPr>
        <w:t xml:space="preserve"> follows</w:t>
      </w:r>
      <w:r w:rsidR="00687CC5" w:rsidRPr="00AD33C1">
        <w:rPr>
          <w:iCs/>
          <w:color w:val="000000" w:themeColor="text1"/>
          <w:vertAlign w:val="superscript"/>
        </w:rPr>
        <w:t>23</w:t>
      </w:r>
      <w:r w:rsidR="00687CC5" w:rsidRPr="001D6465">
        <w:rPr>
          <w:color w:val="000000" w:themeColor="text1"/>
        </w:rPr>
        <w:t>:</w:t>
      </w:r>
    </w:p>
    <w:p w14:paraId="2E8794D0" w14:textId="77777777" w:rsidR="00687CC5" w:rsidRPr="00AD33C1" w:rsidRDefault="00687CC5" w:rsidP="00687CC5">
      <w:pPr>
        <w:jc w:val="center"/>
        <w:rPr>
          <w:rFonts w:eastAsiaTheme="minorEastAsia"/>
          <w:vertAlign w:val="superscript"/>
        </w:rPr>
      </w:pPr>
      <m:oMathPara>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oMath>
      </m:oMathPara>
    </w:p>
    <w:p w14:paraId="2264B0FA" w14:textId="77777777" w:rsidR="00687CC5" w:rsidRPr="001D6465" w:rsidRDefault="00687CC5" w:rsidP="00687CC5">
      <w:pPr>
        <w:rPr>
          <w:rFonts w:eastAsiaTheme="minorEastAsia"/>
        </w:rPr>
      </w:pPr>
      <w:r w:rsidRPr="001D6465">
        <w:rPr>
          <w:color w:val="000000" w:themeColor="text1"/>
        </w:rPr>
        <w:t xml:space="preserve">Therefore, deliveries in group 1 were assigned a weight of </w:t>
      </w:r>
      <w:r>
        <w:rPr>
          <w:color w:val="000000" w:themeColor="text1"/>
        </w:rPr>
        <w:t>1</w:t>
      </w:r>
      <w:r w:rsidRPr="001D6465">
        <w:rPr>
          <w:color w:val="000000" w:themeColor="text1"/>
        </w:rPr>
        <w:t>, while all other deliveries were assigned weights based on the similarity of their characteristics to deliveries in group 1.</w:t>
      </w:r>
    </w:p>
    <w:p w14:paraId="0BE63041" w14:textId="77777777" w:rsidR="00687CC5" w:rsidRDefault="00687CC5" w:rsidP="00687CC5">
      <w:pPr>
        <w:sectPr w:rsidR="00687CC5" w:rsidSect="00A777A2">
          <w:pgSz w:w="12240" w:h="15840"/>
          <w:pgMar w:top="1440" w:right="1440" w:bottom="1440" w:left="1440" w:header="708" w:footer="708" w:gutter="0"/>
          <w:cols w:space="708"/>
          <w:docGrid w:linePitch="360"/>
        </w:sectPr>
      </w:pPr>
      <w:r>
        <w:br w:type="page"/>
      </w:r>
    </w:p>
    <w:p w14:paraId="61B5659F" w14:textId="77777777" w:rsidR="00687CC5" w:rsidRDefault="00687CC5" w:rsidP="00687CC5"/>
    <w:p w14:paraId="070876E2" w14:textId="761F317F" w:rsidR="00687CC5" w:rsidRPr="00784303" w:rsidRDefault="00687CC5" w:rsidP="00687CC5">
      <w:pPr>
        <w:jc w:val="both"/>
        <w:rPr>
          <w:rFonts w:ascii="Times New Roman" w:hAnsi="Times New Roman" w:cs="Times New Roman"/>
          <w:sz w:val="20"/>
          <w:szCs w:val="20"/>
        </w:rPr>
      </w:pPr>
      <w:r w:rsidRPr="00784303">
        <w:rPr>
          <w:rFonts w:ascii="Times New Roman" w:hAnsi="Times New Roman" w:cs="Times New Roman"/>
          <w:b/>
          <w:bCs/>
          <w:sz w:val="20"/>
          <w:szCs w:val="20"/>
        </w:rPr>
        <w:t>Supplementa</w:t>
      </w:r>
      <w:r w:rsidR="00CA0F67">
        <w:rPr>
          <w:rFonts w:ascii="Times New Roman" w:hAnsi="Times New Roman" w:cs="Times New Roman"/>
          <w:b/>
          <w:bCs/>
          <w:sz w:val="20"/>
          <w:szCs w:val="20"/>
        </w:rPr>
        <w:t>l</w:t>
      </w:r>
      <w:r w:rsidRPr="00784303">
        <w:rPr>
          <w:rFonts w:ascii="Times New Roman" w:hAnsi="Times New Roman" w:cs="Times New Roman"/>
          <w:b/>
          <w:bCs/>
          <w:sz w:val="20"/>
          <w:szCs w:val="20"/>
        </w:rPr>
        <w:t xml:space="preserve"> Table 1.</w:t>
      </w:r>
      <w:r w:rsidRPr="00784303">
        <w:rPr>
          <w:rFonts w:ascii="Times New Roman" w:hAnsi="Times New Roman" w:cs="Times New Roman"/>
          <w:sz w:val="20"/>
          <w:szCs w:val="20"/>
        </w:rPr>
        <w:t xml:space="preserve"> Weighted</w:t>
      </w:r>
      <w:r w:rsidRPr="00784303">
        <w:rPr>
          <w:rFonts w:ascii="Times New Roman" w:hAnsi="Times New Roman" w:cs="Times New Roman"/>
          <w:iCs/>
          <w:sz w:val="20"/>
          <w:szCs w:val="20"/>
          <w:vertAlign w:val="superscript"/>
        </w:rPr>
        <w:t>a</w:t>
      </w:r>
      <w:r w:rsidRPr="00784303">
        <w:rPr>
          <w:rFonts w:ascii="Times New Roman" w:hAnsi="Times New Roman" w:cs="Times New Roman"/>
          <w:sz w:val="20"/>
          <w:szCs w:val="20"/>
        </w:rPr>
        <w:t xml:space="preserve"> Mother, Baby, and Delivery characteristics </w:t>
      </w:r>
      <w:r w:rsidRPr="00784303">
        <w:rPr>
          <w:rFonts w:ascii="Times New Roman" w:hAnsi="Times New Roman" w:cs="Times New Roman"/>
          <w:color w:val="000000" w:themeColor="text1"/>
          <w:sz w:val="20"/>
          <w:szCs w:val="20"/>
        </w:rPr>
        <w:t>for VD (Intervention Series) and CD (Control Series) Before and After Transition From Visual to Quantitative Blood Loss Estimation for Vaginal Births</w:t>
      </w:r>
    </w:p>
    <w:p w14:paraId="6AC561B7" w14:textId="77777777" w:rsidR="00687CC5" w:rsidRPr="00784303" w:rsidRDefault="00687CC5" w:rsidP="00687CC5">
      <w:pPr>
        <w:jc w:val="both"/>
        <w:rPr>
          <w:rFonts w:ascii="Times New Roman" w:hAnsi="Times New Roman" w:cs="Times New Roman"/>
          <w:sz w:val="20"/>
          <w:szCs w:val="20"/>
        </w:rPr>
      </w:pPr>
    </w:p>
    <w:tbl>
      <w:tblPr>
        <w:tblW w:w="13467" w:type="dxa"/>
        <w:jc w:val="center"/>
        <w:tblLayout w:type="fixed"/>
        <w:tblLook w:val="04A0" w:firstRow="1" w:lastRow="0" w:firstColumn="1" w:lastColumn="0" w:noHBand="0" w:noVBand="1"/>
      </w:tblPr>
      <w:tblGrid>
        <w:gridCol w:w="3146"/>
        <w:gridCol w:w="1589"/>
        <w:gridCol w:w="1720"/>
        <w:gridCol w:w="237"/>
        <w:gridCol w:w="1530"/>
        <w:gridCol w:w="1417"/>
        <w:gridCol w:w="993"/>
        <w:gridCol w:w="1553"/>
        <w:gridCol w:w="1282"/>
      </w:tblGrid>
      <w:tr w:rsidR="00687CC5" w:rsidRPr="0098303E" w14:paraId="7D0386D5" w14:textId="77777777" w:rsidTr="003C1120">
        <w:trPr>
          <w:trHeight w:val="390"/>
          <w:jc w:val="center"/>
        </w:trPr>
        <w:tc>
          <w:tcPr>
            <w:tcW w:w="3146" w:type="dxa"/>
            <w:tcBorders>
              <w:top w:val="single" w:sz="12" w:space="0" w:color="auto"/>
              <w:left w:val="nil"/>
              <w:bottom w:val="nil"/>
              <w:right w:val="nil"/>
            </w:tcBorders>
            <w:shd w:val="clear" w:color="auto" w:fill="auto"/>
            <w:noWrap/>
            <w:vAlign w:val="center"/>
            <w:hideMark/>
          </w:tcPr>
          <w:p w14:paraId="31428A5D"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 </w:t>
            </w:r>
          </w:p>
        </w:tc>
        <w:tc>
          <w:tcPr>
            <w:tcW w:w="3309" w:type="dxa"/>
            <w:gridSpan w:val="2"/>
            <w:tcBorders>
              <w:top w:val="single" w:sz="12" w:space="0" w:color="auto"/>
              <w:left w:val="nil"/>
              <w:bottom w:val="single" w:sz="8" w:space="0" w:color="auto"/>
              <w:right w:val="nil"/>
            </w:tcBorders>
            <w:shd w:val="clear" w:color="auto" w:fill="auto"/>
            <w:noWrap/>
            <w:vAlign w:val="center"/>
            <w:hideMark/>
          </w:tcPr>
          <w:p w14:paraId="60C2E661"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VD</w:t>
            </w:r>
          </w:p>
        </w:tc>
        <w:tc>
          <w:tcPr>
            <w:tcW w:w="237" w:type="dxa"/>
            <w:tcBorders>
              <w:top w:val="single" w:sz="12" w:space="0" w:color="auto"/>
              <w:left w:val="nil"/>
              <w:bottom w:val="nil"/>
              <w:right w:val="nil"/>
            </w:tcBorders>
            <w:shd w:val="clear" w:color="auto" w:fill="auto"/>
            <w:vAlign w:val="center"/>
            <w:hideMark/>
          </w:tcPr>
          <w:p w14:paraId="300CF3DA"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 </w:t>
            </w:r>
          </w:p>
        </w:tc>
        <w:tc>
          <w:tcPr>
            <w:tcW w:w="2947" w:type="dxa"/>
            <w:gridSpan w:val="2"/>
            <w:tcBorders>
              <w:top w:val="single" w:sz="12" w:space="0" w:color="auto"/>
              <w:left w:val="nil"/>
              <w:bottom w:val="single" w:sz="8" w:space="0" w:color="auto"/>
              <w:right w:val="single" w:sz="4" w:space="0" w:color="000000" w:themeColor="text1"/>
            </w:tcBorders>
            <w:shd w:val="clear" w:color="auto" w:fill="auto"/>
            <w:vAlign w:val="center"/>
            <w:hideMark/>
          </w:tcPr>
          <w:p w14:paraId="7BF3B926"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CD</w:t>
            </w:r>
          </w:p>
        </w:tc>
        <w:tc>
          <w:tcPr>
            <w:tcW w:w="993" w:type="dxa"/>
            <w:tcBorders>
              <w:top w:val="single" w:sz="12" w:space="0" w:color="auto"/>
              <w:left w:val="single" w:sz="4" w:space="0" w:color="000000" w:themeColor="text1"/>
              <w:bottom w:val="nil"/>
              <w:right w:val="single" w:sz="4" w:space="0" w:color="000000" w:themeColor="text1"/>
            </w:tcBorders>
            <w:shd w:val="clear" w:color="auto" w:fill="auto"/>
            <w:vAlign w:val="center"/>
            <w:hideMark/>
          </w:tcPr>
          <w:p w14:paraId="5012E788"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 xml:space="preserve">All </w:t>
            </w:r>
            <w:r w:rsidRPr="0098303E">
              <w:rPr>
                <w:rFonts w:ascii="Times New Roman" w:eastAsia="Times New Roman" w:hAnsi="Times New Roman" w:cs="Times New Roman"/>
                <w:b/>
                <w:bCs/>
                <w:color w:val="000000"/>
                <w:sz w:val="20"/>
                <w:szCs w:val="20"/>
              </w:rPr>
              <w:t>G</w:t>
            </w:r>
            <w:r w:rsidRPr="00784303">
              <w:rPr>
                <w:rFonts w:ascii="Times New Roman" w:eastAsia="Times New Roman" w:hAnsi="Times New Roman" w:cs="Times New Roman"/>
                <w:b/>
                <w:bCs/>
                <w:color w:val="000000"/>
                <w:sz w:val="20"/>
                <w:szCs w:val="20"/>
              </w:rPr>
              <w:t>roups</w:t>
            </w:r>
          </w:p>
        </w:tc>
        <w:tc>
          <w:tcPr>
            <w:tcW w:w="1553" w:type="dxa"/>
            <w:tcBorders>
              <w:top w:val="single" w:sz="12" w:space="0" w:color="auto"/>
              <w:left w:val="single" w:sz="4" w:space="0" w:color="000000" w:themeColor="text1"/>
              <w:bottom w:val="nil"/>
              <w:right w:val="single" w:sz="4" w:space="0" w:color="000000" w:themeColor="text1"/>
            </w:tcBorders>
            <w:shd w:val="clear" w:color="auto" w:fill="auto"/>
            <w:noWrap/>
            <w:vAlign w:val="center"/>
            <w:hideMark/>
          </w:tcPr>
          <w:p w14:paraId="004928A6"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 xml:space="preserve">VD tBL </w:t>
            </w:r>
            <w:r w:rsidRPr="0098303E">
              <w:rPr>
                <w:rFonts w:ascii="Times New Roman" w:eastAsia="Times New Roman" w:hAnsi="Times New Roman" w:cs="Times New Roman"/>
                <w:b/>
                <w:bCs/>
                <w:color w:val="000000"/>
                <w:sz w:val="20"/>
                <w:szCs w:val="20"/>
              </w:rPr>
              <w:t>After</w:t>
            </w:r>
            <w:r w:rsidRPr="00784303">
              <w:rPr>
                <w:rFonts w:ascii="Times New Roman" w:eastAsia="Times New Roman" w:hAnsi="Times New Roman" w:cs="Times New Roman"/>
                <w:b/>
                <w:bCs/>
                <w:color w:val="000000"/>
                <w:sz w:val="20"/>
                <w:szCs w:val="20"/>
              </w:rPr>
              <w:t xml:space="preserve"> </w:t>
            </w:r>
          </w:p>
          <w:p w14:paraId="11A90C6C"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 xml:space="preserve">vs. </w:t>
            </w:r>
          </w:p>
          <w:p w14:paraId="1D4E53D8"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 xml:space="preserve">VD vBL </w:t>
            </w:r>
            <w:r w:rsidRPr="0098303E">
              <w:rPr>
                <w:rFonts w:ascii="Times New Roman" w:eastAsia="Times New Roman" w:hAnsi="Times New Roman" w:cs="Times New Roman"/>
                <w:b/>
                <w:bCs/>
                <w:color w:val="000000"/>
                <w:sz w:val="20"/>
                <w:szCs w:val="20"/>
              </w:rPr>
              <w:t>Before</w:t>
            </w:r>
            <w:r w:rsidRPr="00784303">
              <w:rPr>
                <w:rFonts w:ascii="Times New Roman" w:eastAsia="Times New Roman" w:hAnsi="Times New Roman" w:cs="Times New Roman"/>
                <w:b/>
                <w:bCs/>
                <w:color w:val="000000"/>
                <w:sz w:val="20"/>
                <w:szCs w:val="20"/>
              </w:rPr>
              <w:t xml:space="preserve"> </w:t>
            </w:r>
          </w:p>
        </w:tc>
        <w:tc>
          <w:tcPr>
            <w:tcW w:w="1282" w:type="dxa"/>
            <w:tcBorders>
              <w:top w:val="single" w:sz="12" w:space="0" w:color="auto"/>
              <w:left w:val="single" w:sz="4" w:space="0" w:color="000000" w:themeColor="text1"/>
              <w:bottom w:val="nil"/>
              <w:right w:val="nil"/>
            </w:tcBorders>
            <w:shd w:val="clear" w:color="auto" w:fill="auto"/>
            <w:vAlign w:val="center"/>
            <w:hideMark/>
          </w:tcPr>
          <w:p w14:paraId="60F347AF"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 xml:space="preserve">CD vBL </w:t>
            </w:r>
            <w:r w:rsidRPr="0098303E">
              <w:rPr>
                <w:rFonts w:ascii="Times New Roman" w:eastAsia="Times New Roman" w:hAnsi="Times New Roman" w:cs="Times New Roman"/>
                <w:b/>
                <w:bCs/>
                <w:color w:val="000000"/>
                <w:sz w:val="20"/>
                <w:szCs w:val="20"/>
              </w:rPr>
              <w:t>After</w:t>
            </w:r>
            <w:r w:rsidRPr="00784303">
              <w:rPr>
                <w:rFonts w:ascii="Times New Roman" w:eastAsia="Times New Roman" w:hAnsi="Times New Roman" w:cs="Times New Roman"/>
                <w:b/>
                <w:bCs/>
                <w:color w:val="000000"/>
                <w:sz w:val="20"/>
                <w:szCs w:val="20"/>
              </w:rPr>
              <w:t xml:space="preserve"> vs. </w:t>
            </w:r>
          </w:p>
          <w:p w14:paraId="7011FC28"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 xml:space="preserve">CD vBL </w:t>
            </w:r>
            <w:r w:rsidRPr="0098303E">
              <w:rPr>
                <w:rFonts w:ascii="Times New Roman" w:eastAsia="Times New Roman" w:hAnsi="Times New Roman" w:cs="Times New Roman"/>
                <w:b/>
                <w:bCs/>
                <w:color w:val="000000"/>
                <w:sz w:val="20"/>
                <w:szCs w:val="20"/>
              </w:rPr>
              <w:t>Before</w:t>
            </w:r>
            <w:r w:rsidRPr="00784303">
              <w:rPr>
                <w:rFonts w:ascii="Times New Roman" w:eastAsia="Times New Roman" w:hAnsi="Times New Roman" w:cs="Times New Roman"/>
                <w:b/>
                <w:bCs/>
                <w:color w:val="000000"/>
                <w:sz w:val="20"/>
                <w:szCs w:val="20"/>
              </w:rPr>
              <w:t xml:space="preserve">  </w:t>
            </w:r>
          </w:p>
        </w:tc>
      </w:tr>
      <w:tr w:rsidR="00687CC5" w:rsidRPr="0098303E" w14:paraId="3FDEF0B2" w14:textId="77777777" w:rsidTr="003C1120">
        <w:trPr>
          <w:trHeight w:val="320"/>
          <w:jc w:val="center"/>
        </w:trPr>
        <w:tc>
          <w:tcPr>
            <w:tcW w:w="3146" w:type="dxa"/>
            <w:tcBorders>
              <w:top w:val="nil"/>
              <w:left w:val="nil"/>
              <w:bottom w:val="nil"/>
              <w:right w:val="nil"/>
            </w:tcBorders>
            <w:shd w:val="clear" w:color="auto" w:fill="auto"/>
            <w:noWrap/>
            <w:vAlign w:val="center"/>
            <w:hideMark/>
          </w:tcPr>
          <w:p w14:paraId="0B58A6C6" w14:textId="77777777" w:rsidR="00687CC5" w:rsidRPr="0098303E" w:rsidRDefault="00687CC5" w:rsidP="003C1120">
            <w:pPr>
              <w:jc w:val="center"/>
              <w:rPr>
                <w:rFonts w:ascii="Times New Roman" w:eastAsia="Times New Roman" w:hAnsi="Times New Roman" w:cs="Times New Roman"/>
                <w:i/>
                <w:iCs/>
                <w:color w:val="000000"/>
                <w:sz w:val="20"/>
                <w:szCs w:val="20"/>
              </w:rPr>
            </w:pPr>
          </w:p>
        </w:tc>
        <w:tc>
          <w:tcPr>
            <w:tcW w:w="1589" w:type="dxa"/>
            <w:tcBorders>
              <w:top w:val="nil"/>
              <w:left w:val="nil"/>
              <w:bottom w:val="nil"/>
              <w:right w:val="nil"/>
            </w:tcBorders>
            <w:shd w:val="clear" w:color="auto" w:fill="auto"/>
            <w:noWrap/>
            <w:vAlign w:val="center"/>
            <w:hideMark/>
          </w:tcPr>
          <w:p w14:paraId="6302A41D"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vBL Before</w:t>
            </w:r>
          </w:p>
        </w:tc>
        <w:tc>
          <w:tcPr>
            <w:tcW w:w="1720" w:type="dxa"/>
            <w:tcBorders>
              <w:top w:val="nil"/>
              <w:left w:val="nil"/>
              <w:bottom w:val="nil"/>
              <w:right w:val="nil"/>
            </w:tcBorders>
            <w:shd w:val="clear" w:color="auto" w:fill="auto"/>
            <w:vAlign w:val="center"/>
            <w:hideMark/>
          </w:tcPr>
          <w:p w14:paraId="775ED07D"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tBL After</w:t>
            </w:r>
          </w:p>
        </w:tc>
        <w:tc>
          <w:tcPr>
            <w:tcW w:w="237" w:type="dxa"/>
            <w:tcBorders>
              <w:top w:val="nil"/>
              <w:left w:val="nil"/>
              <w:bottom w:val="nil"/>
              <w:right w:val="nil"/>
            </w:tcBorders>
            <w:shd w:val="clear" w:color="auto" w:fill="auto"/>
            <w:vAlign w:val="center"/>
            <w:hideMark/>
          </w:tcPr>
          <w:p w14:paraId="0B713117" w14:textId="77777777" w:rsidR="00687CC5" w:rsidRPr="00784303" w:rsidRDefault="00687CC5" w:rsidP="003C1120">
            <w:pPr>
              <w:jc w:val="center"/>
              <w:rPr>
                <w:rFonts w:ascii="Times New Roman" w:eastAsia="Times New Roman" w:hAnsi="Times New Roman" w:cs="Times New Roman"/>
                <w:b/>
                <w:bCs/>
                <w:color w:val="000000"/>
                <w:sz w:val="20"/>
                <w:szCs w:val="20"/>
              </w:rPr>
            </w:pPr>
          </w:p>
        </w:tc>
        <w:tc>
          <w:tcPr>
            <w:tcW w:w="1530" w:type="dxa"/>
            <w:tcBorders>
              <w:top w:val="nil"/>
              <w:left w:val="nil"/>
              <w:bottom w:val="nil"/>
              <w:right w:val="nil"/>
            </w:tcBorders>
            <w:shd w:val="clear" w:color="auto" w:fill="auto"/>
            <w:vAlign w:val="center"/>
            <w:hideMark/>
          </w:tcPr>
          <w:p w14:paraId="10750591"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vBL Before</w:t>
            </w:r>
          </w:p>
        </w:tc>
        <w:tc>
          <w:tcPr>
            <w:tcW w:w="1417" w:type="dxa"/>
            <w:tcBorders>
              <w:top w:val="nil"/>
              <w:left w:val="nil"/>
              <w:bottom w:val="nil"/>
              <w:right w:val="single" w:sz="4" w:space="0" w:color="000000" w:themeColor="text1"/>
            </w:tcBorders>
            <w:shd w:val="clear" w:color="auto" w:fill="auto"/>
            <w:vAlign w:val="center"/>
            <w:hideMark/>
          </w:tcPr>
          <w:p w14:paraId="746346B7"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vBL After</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1F9CDFC8"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i/>
                <w:iCs/>
                <w:color w:val="000000"/>
                <w:sz w:val="20"/>
                <w:szCs w:val="20"/>
              </w:rPr>
              <w:t>P</w:t>
            </w:r>
            <w:r w:rsidRPr="00784303">
              <w:rPr>
                <w:rFonts w:ascii="Times New Roman" w:eastAsia="Times New Roman" w:hAnsi="Times New Roman" w:cs="Times New Roman"/>
                <w:color w:val="000000"/>
                <w:sz w:val="20"/>
                <w:szCs w:val="20"/>
                <w:vertAlign w:val="superscript"/>
              </w:rPr>
              <w:t>c</w:t>
            </w: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6041B486"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98303E">
              <w:rPr>
                <w:rFonts w:ascii="Times New Roman" w:eastAsia="Times New Roman" w:hAnsi="Times New Roman" w:cs="Times New Roman"/>
                <w:b/>
                <w:bCs/>
                <w:i/>
                <w:iCs/>
                <w:color w:val="000000"/>
                <w:sz w:val="20"/>
                <w:szCs w:val="20"/>
              </w:rPr>
              <w:t>P</w:t>
            </w:r>
            <w:r w:rsidRPr="00784303">
              <w:rPr>
                <w:rFonts w:ascii="Times New Roman" w:eastAsia="Times New Roman" w:hAnsi="Times New Roman" w:cs="Times New Roman"/>
                <w:color w:val="000000"/>
                <w:sz w:val="20"/>
                <w:szCs w:val="20"/>
                <w:vertAlign w:val="superscript"/>
              </w:rPr>
              <w:t>c</w:t>
            </w:r>
          </w:p>
        </w:tc>
        <w:tc>
          <w:tcPr>
            <w:tcW w:w="1282" w:type="dxa"/>
            <w:tcBorders>
              <w:top w:val="nil"/>
              <w:left w:val="single" w:sz="4" w:space="0" w:color="000000" w:themeColor="text1"/>
              <w:bottom w:val="nil"/>
              <w:right w:val="nil"/>
            </w:tcBorders>
            <w:shd w:val="clear" w:color="auto" w:fill="auto"/>
            <w:vAlign w:val="center"/>
            <w:hideMark/>
          </w:tcPr>
          <w:p w14:paraId="53B773B6"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98303E">
              <w:rPr>
                <w:rFonts w:ascii="Times New Roman" w:eastAsia="Times New Roman" w:hAnsi="Times New Roman" w:cs="Times New Roman"/>
                <w:b/>
                <w:bCs/>
                <w:i/>
                <w:iCs/>
                <w:color w:val="000000"/>
                <w:sz w:val="20"/>
                <w:szCs w:val="20"/>
              </w:rPr>
              <w:t>P</w:t>
            </w:r>
            <w:r w:rsidRPr="00784303">
              <w:rPr>
                <w:rFonts w:ascii="Times New Roman" w:eastAsia="Times New Roman" w:hAnsi="Times New Roman" w:cs="Times New Roman"/>
                <w:color w:val="000000"/>
                <w:sz w:val="20"/>
                <w:szCs w:val="20"/>
                <w:vertAlign w:val="superscript"/>
              </w:rPr>
              <w:t>c</w:t>
            </w:r>
          </w:p>
        </w:tc>
      </w:tr>
      <w:tr w:rsidR="00687CC5" w:rsidRPr="0098303E" w14:paraId="50D5C720" w14:textId="77777777" w:rsidTr="003C1120">
        <w:trPr>
          <w:trHeight w:val="620"/>
          <w:jc w:val="center"/>
        </w:trPr>
        <w:tc>
          <w:tcPr>
            <w:tcW w:w="3146" w:type="dxa"/>
            <w:tcBorders>
              <w:top w:val="nil"/>
              <w:left w:val="nil"/>
              <w:bottom w:val="single" w:sz="12" w:space="0" w:color="auto"/>
              <w:right w:val="nil"/>
            </w:tcBorders>
            <w:shd w:val="clear" w:color="auto" w:fill="auto"/>
            <w:noWrap/>
            <w:vAlign w:val="center"/>
            <w:hideMark/>
          </w:tcPr>
          <w:p w14:paraId="66C4C5DD" w14:textId="77777777" w:rsidR="00687CC5" w:rsidRPr="0098303E" w:rsidRDefault="00687CC5" w:rsidP="003C1120">
            <w:pPr>
              <w:jc w:val="both"/>
              <w:rPr>
                <w:rFonts w:ascii="Times New Roman" w:eastAsia="Times New Roman" w:hAnsi="Times New Roman" w:cs="Times New Roman"/>
                <w:i/>
                <w:iCs/>
                <w:color w:val="000000"/>
                <w:sz w:val="20"/>
                <w:szCs w:val="20"/>
              </w:rPr>
            </w:pPr>
            <w:r w:rsidRPr="0098303E">
              <w:rPr>
                <w:rFonts w:ascii="Times New Roman" w:eastAsia="Times New Roman" w:hAnsi="Times New Roman" w:cs="Times New Roman"/>
                <w:i/>
                <w:iCs/>
                <w:color w:val="000000"/>
                <w:sz w:val="20"/>
                <w:szCs w:val="20"/>
              </w:rPr>
              <w:t> </w:t>
            </w:r>
          </w:p>
        </w:tc>
        <w:tc>
          <w:tcPr>
            <w:tcW w:w="1589" w:type="dxa"/>
            <w:tcBorders>
              <w:top w:val="nil"/>
              <w:left w:val="nil"/>
              <w:bottom w:val="single" w:sz="12" w:space="0" w:color="auto"/>
              <w:right w:val="nil"/>
            </w:tcBorders>
            <w:shd w:val="clear" w:color="auto" w:fill="auto"/>
            <w:noWrap/>
            <w:vAlign w:val="center"/>
            <w:hideMark/>
          </w:tcPr>
          <w:p w14:paraId="25E78A06"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n = 967 (967)</w:t>
            </w:r>
            <w:r w:rsidRPr="00784303">
              <w:rPr>
                <w:rFonts w:ascii="Times New Roman" w:eastAsia="Times New Roman" w:hAnsi="Times New Roman" w:cs="Times New Roman"/>
                <w:color w:val="000000"/>
                <w:sz w:val="20"/>
                <w:szCs w:val="20"/>
                <w:vertAlign w:val="superscript"/>
              </w:rPr>
              <w:t>b</w:t>
            </w:r>
          </w:p>
        </w:tc>
        <w:tc>
          <w:tcPr>
            <w:tcW w:w="1720" w:type="dxa"/>
            <w:tcBorders>
              <w:top w:val="nil"/>
              <w:left w:val="nil"/>
              <w:bottom w:val="single" w:sz="12" w:space="0" w:color="auto"/>
              <w:right w:val="nil"/>
            </w:tcBorders>
            <w:shd w:val="clear" w:color="auto" w:fill="auto"/>
            <w:vAlign w:val="center"/>
            <w:hideMark/>
          </w:tcPr>
          <w:p w14:paraId="3EA6E0BF"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n = 645 (939)</w:t>
            </w:r>
            <w:r w:rsidRPr="00784303">
              <w:rPr>
                <w:rFonts w:ascii="Times New Roman" w:eastAsia="Times New Roman" w:hAnsi="Times New Roman" w:cs="Times New Roman"/>
                <w:color w:val="000000"/>
                <w:sz w:val="20"/>
                <w:szCs w:val="20"/>
                <w:vertAlign w:val="superscript"/>
              </w:rPr>
              <w:t>b</w:t>
            </w:r>
          </w:p>
        </w:tc>
        <w:tc>
          <w:tcPr>
            <w:tcW w:w="237" w:type="dxa"/>
            <w:tcBorders>
              <w:top w:val="nil"/>
              <w:left w:val="nil"/>
              <w:bottom w:val="single" w:sz="12" w:space="0" w:color="auto"/>
              <w:right w:val="nil"/>
            </w:tcBorders>
            <w:shd w:val="clear" w:color="auto" w:fill="auto"/>
            <w:vAlign w:val="center"/>
            <w:hideMark/>
          </w:tcPr>
          <w:p w14:paraId="2308CDB0"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 </w:t>
            </w:r>
          </w:p>
        </w:tc>
        <w:tc>
          <w:tcPr>
            <w:tcW w:w="1530" w:type="dxa"/>
            <w:tcBorders>
              <w:top w:val="nil"/>
              <w:left w:val="nil"/>
              <w:bottom w:val="single" w:sz="12" w:space="0" w:color="auto"/>
              <w:right w:val="nil"/>
            </w:tcBorders>
            <w:shd w:val="clear" w:color="auto" w:fill="auto"/>
            <w:vAlign w:val="center"/>
            <w:hideMark/>
          </w:tcPr>
          <w:p w14:paraId="23C7ABA9"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n = 456 (901)</w:t>
            </w:r>
            <w:r w:rsidRPr="00784303">
              <w:rPr>
                <w:rFonts w:ascii="Times New Roman" w:eastAsia="Times New Roman" w:hAnsi="Times New Roman" w:cs="Times New Roman"/>
                <w:color w:val="000000"/>
                <w:sz w:val="20"/>
                <w:szCs w:val="20"/>
                <w:vertAlign w:val="superscript"/>
              </w:rPr>
              <w:t>b</w:t>
            </w:r>
          </w:p>
        </w:tc>
        <w:tc>
          <w:tcPr>
            <w:tcW w:w="1417" w:type="dxa"/>
            <w:tcBorders>
              <w:top w:val="nil"/>
              <w:left w:val="nil"/>
              <w:bottom w:val="single" w:sz="12" w:space="0" w:color="auto"/>
              <w:right w:val="single" w:sz="4" w:space="0" w:color="000000" w:themeColor="text1"/>
            </w:tcBorders>
            <w:shd w:val="clear" w:color="auto" w:fill="auto"/>
            <w:vAlign w:val="center"/>
            <w:hideMark/>
          </w:tcPr>
          <w:p w14:paraId="3E113A40" w14:textId="77777777" w:rsidR="00687CC5" w:rsidRPr="00784303" w:rsidRDefault="00687CC5" w:rsidP="003C1120">
            <w:pPr>
              <w:jc w:val="cente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n = 418 (841)</w:t>
            </w:r>
            <w:r w:rsidRPr="00784303">
              <w:rPr>
                <w:rFonts w:ascii="Times New Roman" w:eastAsia="Times New Roman" w:hAnsi="Times New Roman" w:cs="Times New Roman"/>
                <w:color w:val="000000"/>
                <w:sz w:val="20"/>
                <w:szCs w:val="20"/>
                <w:vertAlign w:val="superscript"/>
              </w:rPr>
              <w:t>b</w:t>
            </w:r>
          </w:p>
        </w:tc>
        <w:tc>
          <w:tcPr>
            <w:tcW w:w="993" w:type="dxa"/>
            <w:tcBorders>
              <w:top w:val="nil"/>
              <w:left w:val="single" w:sz="4" w:space="0" w:color="000000" w:themeColor="text1"/>
              <w:bottom w:val="single" w:sz="12" w:space="0" w:color="auto"/>
              <w:right w:val="single" w:sz="4" w:space="0" w:color="000000" w:themeColor="text1"/>
            </w:tcBorders>
            <w:shd w:val="clear" w:color="auto" w:fill="auto"/>
            <w:vAlign w:val="bottom"/>
            <w:hideMark/>
          </w:tcPr>
          <w:p w14:paraId="35F48A82" w14:textId="77777777" w:rsidR="00687CC5" w:rsidRPr="00784303" w:rsidRDefault="00687CC5" w:rsidP="003C1120">
            <w:pP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 </w:t>
            </w:r>
          </w:p>
        </w:tc>
        <w:tc>
          <w:tcPr>
            <w:tcW w:w="1553" w:type="dxa"/>
            <w:tcBorders>
              <w:top w:val="nil"/>
              <w:left w:val="single" w:sz="4" w:space="0" w:color="000000" w:themeColor="text1"/>
              <w:bottom w:val="single" w:sz="12" w:space="0" w:color="auto"/>
              <w:right w:val="single" w:sz="4" w:space="0" w:color="000000" w:themeColor="text1"/>
            </w:tcBorders>
            <w:shd w:val="clear" w:color="auto" w:fill="auto"/>
            <w:noWrap/>
            <w:vAlign w:val="bottom"/>
            <w:hideMark/>
          </w:tcPr>
          <w:p w14:paraId="01726E3A" w14:textId="77777777" w:rsidR="00687CC5" w:rsidRPr="00784303" w:rsidRDefault="00687CC5" w:rsidP="003C1120">
            <w:pP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 </w:t>
            </w:r>
          </w:p>
        </w:tc>
        <w:tc>
          <w:tcPr>
            <w:tcW w:w="1282" w:type="dxa"/>
            <w:tcBorders>
              <w:top w:val="nil"/>
              <w:left w:val="single" w:sz="4" w:space="0" w:color="000000" w:themeColor="text1"/>
              <w:bottom w:val="single" w:sz="12" w:space="0" w:color="auto"/>
              <w:right w:val="nil"/>
            </w:tcBorders>
            <w:shd w:val="clear" w:color="auto" w:fill="auto"/>
            <w:vAlign w:val="bottom"/>
            <w:hideMark/>
          </w:tcPr>
          <w:p w14:paraId="1DFB681C" w14:textId="77777777" w:rsidR="00687CC5" w:rsidRPr="00784303" w:rsidRDefault="00687CC5" w:rsidP="003C1120">
            <w:pPr>
              <w:rPr>
                <w:rFonts w:ascii="Times New Roman" w:eastAsia="Times New Roman" w:hAnsi="Times New Roman" w:cs="Times New Roman"/>
                <w:b/>
                <w:bCs/>
                <w:color w:val="000000"/>
                <w:sz w:val="20"/>
                <w:szCs w:val="20"/>
              </w:rPr>
            </w:pPr>
            <w:r w:rsidRPr="00784303">
              <w:rPr>
                <w:rFonts w:ascii="Times New Roman" w:eastAsia="Times New Roman" w:hAnsi="Times New Roman" w:cs="Times New Roman"/>
                <w:b/>
                <w:bCs/>
                <w:color w:val="000000"/>
                <w:sz w:val="20"/>
                <w:szCs w:val="20"/>
              </w:rPr>
              <w:t> </w:t>
            </w:r>
          </w:p>
        </w:tc>
      </w:tr>
      <w:tr w:rsidR="00687CC5" w:rsidRPr="0098303E" w14:paraId="5A371B04" w14:textId="77777777" w:rsidTr="003C1120">
        <w:trPr>
          <w:trHeight w:val="320"/>
          <w:jc w:val="center"/>
        </w:trPr>
        <w:tc>
          <w:tcPr>
            <w:tcW w:w="3146" w:type="dxa"/>
            <w:tcBorders>
              <w:top w:val="nil"/>
              <w:left w:val="nil"/>
              <w:bottom w:val="nil"/>
              <w:right w:val="nil"/>
            </w:tcBorders>
            <w:shd w:val="clear" w:color="auto" w:fill="auto"/>
            <w:noWrap/>
            <w:vAlign w:val="center"/>
            <w:hideMark/>
          </w:tcPr>
          <w:p w14:paraId="3444EA82"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Age (years), mean (SD)</w:t>
            </w:r>
          </w:p>
        </w:tc>
        <w:tc>
          <w:tcPr>
            <w:tcW w:w="1589" w:type="dxa"/>
            <w:tcBorders>
              <w:top w:val="nil"/>
              <w:left w:val="nil"/>
              <w:bottom w:val="nil"/>
              <w:right w:val="nil"/>
            </w:tcBorders>
            <w:shd w:val="clear" w:color="auto" w:fill="auto"/>
            <w:noWrap/>
            <w:vAlign w:val="center"/>
            <w:hideMark/>
          </w:tcPr>
          <w:p w14:paraId="52E55125"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31.6 (4.9)</w:t>
            </w:r>
          </w:p>
        </w:tc>
        <w:tc>
          <w:tcPr>
            <w:tcW w:w="1720" w:type="dxa"/>
            <w:tcBorders>
              <w:top w:val="nil"/>
              <w:left w:val="nil"/>
              <w:bottom w:val="nil"/>
              <w:right w:val="nil"/>
            </w:tcBorders>
            <w:shd w:val="clear" w:color="auto" w:fill="auto"/>
            <w:vAlign w:val="center"/>
            <w:hideMark/>
          </w:tcPr>
          <w:p w14:paraId="4266E311"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31.7 (6.0)</w:t>
            </w:r>
          </w:p>
        </w:tc>
        <w:tc>
          <w:tcPr>
            <w:tcW w:w="237" w:type="dxa"/>
            <w:tcBorders>
              <w:top w:val="nil"/>
              <w:left w:val="nil"/>
              <w:bottom w:val="nil"/>
              <w:right w:val="nil"/>
            </w:tcBorders>
            <w:shd w:val="clear" w:color="auto" w:fill="auto"/>
            <w:vAlign w:val="center"/>
            <w:hideMark/>
          </w:tcPr>
          <w:p w14:paraId="0021C8DD"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2B2376EA"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31.8 (7.0)</w:t>
            </w:r>
          </w:p>
        </w:tc>
        <w:tc>
          <w:tcPr>
            <w:tcW w:w="1417" w:type="dxa"/>
            <w:tcBorders>
              <w:top w:val="nil"/>
              <w:left w:val="nil"/>
              <w:bottom w:val="nil"/>
              <w:right w:val="single" w:sz="4" w:space="0" w:color="000000" w:themeColor="text1"/>
            </w:tcBorders>
            <w:shd w:val="clear" w:color="auto" w:fill="auto"/>
            <w:vAlign w:val="center"/>
            <w:hideMark/>
          </w:tcPr>
          <w:p w14:paraId="0A95C46E"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32.1 (6.7)</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2E9D7486"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.456</w:t>
            </w: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698BF3DF"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.902</w:t>
            </w:r>
          </w:p>
        </w:tc>
        <w:tc>
          <w:tcPr>
            <w:tcW w:w="1282" w:type="dxa"/>
            <w:tcBorders>
              <w:top w:val="nil"/>
              <w:left w:val="single" w:sz="4" w:space="0" w:color="000000" w:themeColor="text1"/>
              <w:bottom w:val="nil"/>
              <w:right w:val="nil"/>
            </w:tcBorders>
            <w:shd w:val="clear" w:color="auto" w:fill="auto"/>
            <w:vAlign w:val="center"/>
            <w:hideMark/>
          </w:tcPr>
          <w:p w14:paraId="39179EE2"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.386</w:t>
            </w:r>
          </w:p>
        </w:tc>
      </w:tr>
      <w:tr w:rsidR="00687CC5" w:rsidRPr="0098303E" w14:paraId="43EFC672"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0F145D45"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Race, n (%)</w:t>
            </w:r>
          </w:p>
        </w:tc>
        <w:tc>
          <w:tcPr>
            <w:tcW w:w="1589" w:type="dxa"/>
            <w:tcBorders>
              <w:top w:val="nil"/>
              <w:left w:val="nil"/>
              <w:bottom w:val="nil"/>
              <w:right w:val="nil"/>
            </w:tcBorders>
            <w:shd w:val="clear" w:color="auto" w:fill="auto"/>
            <w:noWrap/>
            <w:vAlign w:val="center"/>
            <w:hideMark/>
          </w:tcPr>
          <w:p w14:paraId="1B4ADA5D" w14:textId="77777777" w:rsidR="00687CC5" w:rsidRPr="0098303E" w:rsidRDefault="00687CC5" w:rsidP="003C1120">
            <w:pPr>
              <w:jc w:val="both"/>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vAlign w:val="center"/>
            <w:hideMark/>
          </w:tcPr>
          <w:p w14:paraId="21A7E167" w14:textId="77777777" w:rsidR="00687CC5" w:rsidRPr="0098303E" w:rsidRDefault="00687CC5" w:rsidP="003C1120">
            <w:pPr>
              <w:jc w:val="center"/>
              <w:rPr>
                <w:rFonts w:ascii="Times New Roman" w:eastAsia="Times New Roman" w:hAnsi="Times New Roman" w:cs="Times New Roman"/>
                <w:sz w:val="20"/>
                <w:szCs w:val="20"/>
              </w:rPr>
            </w:pPr>
          </w:p>
        </w:tc>
        <w:tc>
          <w:tcPr>
            <w:tcW w:w="237" w:type="dxa"/>
            <w:tcBorders>
              <w:top w:val="nil"/>
              <w:left w:val="nil"/>
              <w:bottom w:val="nil"/>
              <w:right w:val="nil"/>
            </w:tcBorders>
            <w:shd w:val="clear" w:color="auto" w:fill="auto"/>
            <w:vAlign w:val="center"/>
            <w:hideMark/>
          </w:tcPr>
          <w:p w14:paraId="407EE810" w14:textId="77777777" w:rsidR="00687CC5" w:rsidRPr="0098303E" w:rsidRDefault="00687CC5" w:rsidP="003C1120">
            <w:pPr>
              <w:jc w:val="center"/>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vAlign w:val="center"/>
            <w:hideMark/>
          </w:tcPr>
          <w:p w14:paraId="5F9977C4" w14:textId="77777777" w:rsidR="00687CC5" w:rsidRPr="0098303E" w:rsidRDefault="00687CC5" w:rsidP="003C1120">
            <w:pPr>
              <w:jc w:val="center"/>
              <w:rPr>
                <w:rFonts w:ascii="Times New Roman" w:eastAsia="Times New Roman" w:hAnsi="Times New Roman" w:cs="Times New Roman"/>
                <w:sz w:val="20"/>
                <w:szCs w:val="20"/>
              </w:rPr>
            </w:pPr>
          </w:p>
        </w:tc>
        <w:tc>
          <w:tcPr>
            <w:tcW w:w="1417" w:type="dxa"/>
            <w:tcBorders>
              <w:top w:val="nil"/>
              <w:left w:val="nil"/>
              <w:bottom w:val="nil"/>
              <w:right w:val="single" w:sz="4" w:space="0" w:color="000000" w:themeColor="text1"/>
            </w:tcBorders>
            <w:shd w:val="clear" w:color="auto" w:fill="auto"/>
            <w:vAlign w:val="center"/>
            <w:hideMark/>
          </w:tcPr>
          <w:p w14:paraId="1D947EC2" w14:textId="77777777" w:rsidR="00687CC5" w:rsidRPr="0098303E" w:rsidRDefault="00687CC5" w:rsidP="003C1120">
            <w:pPr>
              <w:jc w:val="center"/>
              <w:rPr>
                <w:rFonts w:ascii="Times New Roman" w:eastAsia="Times New Roman" w:hAnsi="Times New Roman" w:cs="Times New Roman"/>
                <w:sz w:val="20"/>
                <w:szCs w:val="20"/>
              </w:rPr>
            </w:pP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64CFA92C"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.851</w:t>
            </w: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0D99EEE1"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.999</w:t>
            </w:r>
          </w:p>
        </w:tc>
        <w:tc>
          <w:tcPr>
            <w:tcW w:w="1282" w:type="dxa"/>
            <w:tcBorders>
              <w:top w:val="nil"/>
              <w:left w:val="single" w:sz="4" w:space="0" w:color="000000" w:themeColor="text1"/>
              <w:bottom w:val="nil"/>
              <w:right w:val="nil"/>
            </w:tcBorders>
            <w:shd w:val="clear" w:color="auto" w:fill="auto"/>
            <w:vAlign w:val="center"/>
            <w:hideMark/>
          </w:tcPr>
          <w:p w14:paraId="656DE4CF"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.183</w:t>
            </w:r>
          </w:p>
        </w:tc>
      </w:tr>
      <w:tr w:rsidR="00687CC5" w:rsidRPr="0098303E" w14:paraId="5B08CBB9"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609CD6CF"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 xml:space="preserve">   Asian</w:t>
            </w:r>
          </w:p>
        </w:tc>
        <w:tc>
          <w:tcPr>
            <w:tcW w:w="1589" w:type="dxa"/>
            <w:tcBorders>
              <w:top w:val="nil"/>
              <w:left w:val="nil"/>
              <w:bottom w:val="nil"/>
              <w:right w:val="nil"/>
            </w:tcBorders>
            <w:shd w:val="clear" w:color="auto" w:fill="auto"/>
            <w:noWrap/>
            <w:vAlign w:val="center"/>
            <w:hideMark/>
          </w:tcPr>
          <w:p w14:paraId="7BE9A367"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108 (11.2)</w:t>
            </w:r>
          </w:p>
        </w:tc>
        <w:tc>
          <w:tcPr>
            <w:tcW w:w="1720" w:type="dxa"/>
            <w:tcBorders>
              <w:top w:val="nil"/>
              <w:left w:val="nil"/>
              <w:bottom w:val="nil"/>
              <w:right w:val="nil"/>
            </w:tcBorders>
            <w:shd w:val="clear" w:color="auto" w:fill="auto"/>
            <w:vAlign w:val="center"/>
            <w:hideMark/>
          </w:tcPr>
          <w:p w14:paraId="4D2EAF50"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107 (11.4)</w:t>
            </w:r>
          </w:p>
        </w:tc>
        <w:tc>
          <w:tcPr>
            <w:tcW w:w="237" w:type="dxa"/>
            <w:tcBorders>
              <w:top w:val="nil"/>
              <w:left w:val="nil"/>
              <w:bottom w:val="nil"/>
              <w:right w:val="nil"/>
            </w:tcBorders>
            <w:shd w:val="clear" w:color="auto" w:fill="auto"/>
            <w:vAlign w:val="center"/>
            <w:hideMark/>
          </w:tcPr>
          <w:p w14:paraId="13086482"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44049DE7"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89 (9.8)</w:t>
            </w:r>
          </w:p>
        </w:tc>
        <w:tc>
          <w:tcPr>
            <w:tcW w:w="1417" w:type="dxa"/>
            <w:tcBorders>
              <w:top w:val="nil"/>
              <w:left w:val="nil"/>
              <w:bottom w:val="nil"/>
              <w:right w:val="single" w:sz="4" w:space="0" w:color="000000" w:themeColor="text1"/>
            </w:tcBorders>
            <w:shd w:val="clear" w:color="auto" w:fill="auto"/>
            <w:vAlign w:val="center"/>
            <w:hideMark/>
          </w:tcPr>
          <w:p w14:paraId="002A761F"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101 (12.0)</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78023682"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07F222BA" w14:textId="77777777" w:rsidR="00687CC5" w:rsidRPr="0098303E" w:rsidRDefault="00687CC5" w:rsidP="003C1120">
            <w:pPr>
              <w:jc w:val="center"/>
              <w:rPr>
                <w:rFonts w:ascii="Times New Roman" w:eastAsia="Times New Roman" w:hAnsi="Times New Roman" w:cs="Times New Roman"/>
                <w:sz w:val="20"/>
                <w:szCs w:val="20"/>
              </w:rPr>
            </w:pPr>
          </w:p>
        </w:tc>
        <w:tc>
          <w:tcPr>
            <w:tcW w:w="1282" w:type="dxa"/>
            <w:tcBorders>
              <w:top w:val="nil"/>
              <w:left w:val="single" w:sz="4" w:space="0" w:color="000000" w:themeColor="text1"/>
              <w:bottom w:val="nil"/>
              <w:right w:val="nil"/>
            </w:tcBorders>
            <w:shd w:val="clear" w:color="auto" w:fill="auto"/>
            <w:vAlign w:val="center"/>
            <w:hideMark/>
          </w:tcPr>
          <w:p w14:paraId="6F2AE10E" w14:textId="77777777" w:rsidR="00687CC5" w:rsidRPr="0098303E" w:rsidRDefault="00687CC5" w:rsidP="003C1120">
            <w:pPr>
              <w:jc w:val="center"/>
              <w:rPr>
                <w:rFonts w:ascii="Times New Roman" w:eastAsia="Times New Roman" w:hAnsi="Times New Roman" w:cs="Times New Roman"/>
                <w:sz w:val="20"/>
                <w:szCs w:val="20"/>
              </w:rPr>
            </w:pPr>
          </w:p>
        </w:tc>
      </w:tr>
      <w:tr w:rsidR="00687CC5" w:rsidRPr="0098303E" w14:paraId="7A3F1A45"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7B7C58F0"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 xml:space="preserve">   African American</w:t>
            </w:r>
          </w:p>
        </w:tc>
        <w:tc>
          <w:tcPr>
            <w:tcW w:w="1589" w:type="dxa"/>
            <w:tcBorders>
              <w:top w:val="nil"/>
              <w:left w:val="nil"/>
              <w:bottom w:val="nil"/>
              <w:right w:val="nil"/>
            </w:tcBorders>
            <w:shd w:val="clear" w:color="auto" w:fill="auto"/>
            <w:noWrap/>
            <w:vAlign w:val="center"/>
            <w:hideMark/>
          </w:tcPr>
          <w:p w14:paraId="6C6CDC22"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117 (12.1)</w:t>
            </w:r>
          </w:p>
        </w:tc>
        <w:tc>
          <w:tcPr>
            <w:tcW w:w="1720" w:type="dxa"/>
            <w:tcBorders>
              <w:top w:val="nil"/>
              <w:left w:val="nil"/>
              <w:bottom w:val="nil"/>
              <w:right w:val="nil"/>
            </w:tcBorders>
            <w:shd w:val="clear" w:color="auto" w:fill="auto"/>
            <w:vAlign w:val="center"/>
            <w:hideMark/>
          </w:tcPr>
          <w:p w14:paraId="2745E263"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111 (11.9)</w:t>
            </w:r>
          </w:p>
        </w:tc>
        <w:tc>
          <w:tcPr>
            <w:tcW w:w="237" w:type="dxa"/>
            <w:tcBorders>
              <w:top w:val="nil"/>
              <w:left w:val="nil"/>
              <w:bottom w:val="nil"/>
              <w:right w:val="nil"/>
            </w:tcBorders>
            <w:shd w:val="clear" w:color="auto" w:fill="auto"/>
            <w:vAlign w:val="center"/>
            <w:hideMark/>
          </w:tcPr>
          <w:p w14:paraId="3F0AC84E"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1BB33819"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94 (10.5)</w:t>
            </w:r>
          </w:p>
        </w:tc>
        <w:tc>
          <w:tcPr>
            <w:tcW w:w="1417" w:type="dxa"/>
            <w:tcBorders>
              <w:top w:val="nil"/>
              <w:left w:val="nil"/>
              <w:bottom w:val="nil"/>
              <w:right w:val="single" w:sz="4" w:space="0" w:color="000000" w:themeColor="text1"/>
            </w:tcBorders>
            <w:shd w:val="clear" w:color="auto" w:fill="auto"/>
            <w:vAlign w:val="center"/>
            <w:hideMark/>
          </w:tcPr>
          <w:p w14:paraId="457BCFCE"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106 (12.6)</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39DFD892"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5B841E7F" w14:textId="77777777" w:rsidR="00687CC5" w:rsidRPr="0098303E" w:rsidRDefault="00687CC5" w:rsidP="003C1120">
            <w:pPr>
              <w:jc w:val="center"/>
              <w:rPr>
                <w:rFonts w:ascii="Times New Roman" w:eastAsia="Times New Roman" w:hAnsi="Times New Roman" w:cs="Times New Roman"/>
                <w:sz w:val="20"/>
                <w:szCs w:val="20"/>
              </w:rPr>
            </w:pPr>
          </w:p>
        </w:tc>
        <w:tc>
          <w:tcPr>
            <w:tcW w:w="1282" w:type="dxa"/>
            <w:tcBorders>
              <w:top w:val="nil"/>
              <w:left w:val="single" w:sz="4" w:space="0" w:color="000000" w:themeColor="text1"/>
              <w:bottom w:val="nil"/>
              <w:right w:val="nil"/>
            </w:tcBorders>
            <w:shd w:val="clear" w:color="auto" w:fill="auto"/>
            <w:vAlign w:val="center"/>
            <w:hideMark/>
          </w:tcPr>
          <w:p w14:paraId="7692D695" w14:textId="77777777" w:rsidR="00687CC5" w:rsidRPr="0098303E" w:rsidRDefault="00687CC5" w:rsidP="003C1120">
            <w:pPr>
              <w:jc w:val="center"/>
              <w:rPr>
                <w:rFonts w:ascii="Times New Roman" w:eastAsia="Times New Roman" w:hAnsi="Times New Roman" w:cs="Times New Roman"/>
                <w:sz w:val="20"/>
                <w:szCs w:val="20"/>
              </w:rPr>
            </w:pPr>
          </w:p>
        </w:tc>
      </w:tr>
      <w:tr w:rsidR="00687CC5" w:rsidRPr="0098303E" w14:paraId="09209A50"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61DFCAEA"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 xml:space="preserve">   Hispanic</w:t>
            </w:r>
          </w:p>
        </w:tc>
        <w:tc>
          <w:tcPr>
            <w:tcW w:w="1589" w:type="dxa"/>
            <w:tcBorders>
              <w:top w:val="nil"/>
              <w:left w:val="nil"/>
              <w:bottom w:val="nil"/>
              <w:right w:val="nil"/>
            </w:tcBorders>
            <w:shd w:val="clear" w:color="auto" w:fill="auto"/>
            <w:noWrap/>
            <w:vAlign w:val="center"/>
            <w:hideMark/>
          </w:tcPr>
          <w:p w14:paraId="61786AF7"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62 (6.4)</w:t>
            </w:r>
          </w:p>
        </w:tc>
        <w:tc>
          <w:tcPr>
            <w:tcW w:w="1720" w:type="dxa"/>
            <w:tcBorders>
              <w:top w:val="nil"/>
              <w:left w:val="nil"/>
              <w:bottom w:val="nil"/>
              <w:right w:val="nil"/>
            </w:tcBorders>
            <w:shd w:val="clear" w:color="auto" w:fill="auto"/>
            <w:vAlign w:val="center"/>
            <w:hideMark/>
          </w:tcPr>
          <w:p w14:paraId="63AC7E83"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58 (6.2)</w:t>
            </w:r>
          </w:p>
        </w:tc>
        <w:tc>
          <w:tcPr>
            <w:tcW w:w="237" w:type="dxa"/>
            <w:tcBorders>
              <w:top w:val="nil"/>
              <w:left w:val="nil"/>
              <w:bottom w:val="nil"/>
              <w:right w:val="nil"/>
            </w:tcBorders>
            <w:shd w:val="clear" w:color="auto" w:fill="auto"/>
            <w:vAlign w:val="center"/>
            <w:hideMark/>
          </w:tcPr>
          <w:p w14:paraId="6B7E604C"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6A413559"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52 (5.8)</w:t>
            </w:r>
          </w:p>
        </w:tc>
        <w:tc>
          <w:tcPr>
            <w:tcW w:w="1417" w:type="dxa"/>
            <w:tcBorders>
              <w:top w:val="nil"/>
              <w:left w:val="nil"/>
              <w:bottom w:val="nil"/>
              <w:right w:val="single" w:sz="4" w:space="0" w:color="000000" w:themeColor="text1"/>
            </w:tcBorders>
            <w:shd w:val="clear" w:color="auto" w:fill="auto"/>
            <w:vAlign w:val="center"/>
            <w:hideMark/>
          </w:tcPr>
          <w:p w14:paraId="62A88D58"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47 (5.6)</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77434607"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6AE26B4F" w14:textId="77777777" w:rsidR="00687CC5" w:rsidRPr="0098303E" w:rsidRDefault="00687CC5" w:rsidP="003C1120">
            <w:pPr>
              <w:jc w:val="center"/>
              <w:rPr>
                <w:rFonts w:ascii="Times New Roman" w:eastAsia="Times New Roman" w:hAnsi="Times New Roman" w:cs="Times New Roman"/>
                <w:sz w:val="20"/>
                <w:szCs w:val="20"/>
              </w:rPr>
            </w:pPr>
          </w:p>
        </w:tc>
        <w:tc>
          <w:tcPr>
            <w:tcW w:w="1282" w:type="dxa"/>
            <w:tcBorders>
              <w:top w:val="nil"/>
              <w:left w:val="single" w:sz="4" w:space="0" w:color="000000" w:themeColor="text1"/>
              <w:bottom w:val="nil"/>
              <w:right w:val="nil"/>
            </w:tcBorders>
            <w:shd w:val="clear" w:color="auto" w:fill="auto"/>
            <w:vAlign w:val="center"/>
            <w:hideMark/>
          </w:tcPr>
          <w:p w14:paraId="0B3B9DC7" w14:textId="77777777" w:rsidR="00687CC5" w:rsidRPr="0098303E" w:rsidRDefault="00687CC5" w:rsidP="003C1120">
            <w:pPr>
              <w:jc w:val="center"/>
              <w:rPr>
                <w:rFonts w:ascii="Times New Roman" w:eastAsia="Times New Roman" w:hAnsi="Times New Roman" w:cs="Times New Roman"/>
                <w:sz w:val="20"/>
                <w:szCs w:val="20"/>
              </w:rPr>
            </w:pPr>
          </w:p>
        </w:tc>
      </w:tr>
      <w:tr w:rsidR="00687CC5" w:rsidRPr="0098303E" w14:paraId="2F5E6396"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42CC9952"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 xml:space="preserve">   White</w:t>
            </w:r>
          </w:p>
        </w:tc>
        <w:tc>
          <w:tcPr>
            <w:tcW w:w="1589" w:type="dxa"/>
            <w:tcBorders>
              <w:top w:val="nil"/>
              <w:left w:val="nil"/>
              <w:bottom w:val="nil"/>
              <w:right w:val="nil"/>
            </w:tcBorders>
            <w:shd w:val="clear" w:color="auto" w:fill="auto"/>
            <w:noWrap/>
            <w:vAlign w:val="center"/>
            <w:hideMark/>
          </w:tcPr>
          <w:p w14:paraId="3E22C9B6"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573 (59.3)</w:t>
            </w:r>
          </w:p>
        </w:tc>
        <w:tc>
          <w:tcPr>
            <w:tcW w:w="1720" w:type="dxa"/>
            <w:tcBorders>
              <w:top w:val="nil"/>
              <w:left w:val="nil"/>
              <w:bottom w:val="nil"/>
              <w:right w:val="nil"/>
            </w:tcBorders>
            <w:shd w:val="clear" w:color="auto" w:fill="auto"/>
            <w:vAlign w:val="center"/>
            <w:hideMark/>
          </w:tcPr>
          <w:p w14:paraId="57A12CAC"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558 (59.5)</w:t>
            </w:r>
          </w:p>
        </w:tc>
        <w:tc>
          <w:tcPr>
            <w:tcW w:w="237" w:type="dxa"/>
            <w:tcBorders>
              <w:top w:val="nil"/>
              <w:left w:val="nil"/>
              <w:bottom w:val="nil"/>
              <w:right w:val="nil"/>
            </w:tcBorders>
            <w:shd w:val="clear" w:color="auto" w:fill="auto"/>
            <w:vAlign w:val="center"/>
            <w:hideMark/>
          </w:tcPr>
          <w:p w14:paraId="5D3BAF5B"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55C30CF9"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569 (63.1)</w:t>
            </w:r>
          </w:p>
        </w:tc>
        <w:tc>
          <w:tcPr>
            <w:tcW w:w="1417" w:type="dxa"/>
            <w:tcBorders>
              <w:top w:val="nil"/>
              <w:left w:val="nil"/>
              <w:bottom w:val="nil"/>
              <w:right w:val="single" w:sz="4" w:space="0" w:color="000000" w:themeColor="text1"/>
            </w:tcBorders>
            <w:shd w:val="clear" w:color="auto" w:fill="auto"/>
            <w:vAlign w:val="center"/>
            <w:hideMark/>
          </w:tcPr>
          <w:p w14:paraId="36D5A145"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501 (59.6)</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3C98B4B9"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495A032F" w14:textId="77777777" w:rsidR="00687CC5" w:rsidRPr="0098303E" w:rsidRDefault="00687CC5" w:rsidP="003C1120">
            <w:pPr>
              <w:jc w:val="center"/>
              <w:rPr>
                <w:rFonts w:ascii="Times New Roman" w:eastAsia="Times New Roman" w:hAnsi="Times New Roman" w:cs="Times New Roman"/>
                <w:sz w:val="20"/>
                <w:szCs w:val="20"/>
              </w:rPr>
            </w:pPr>
          </w:p>
        </w:tc>
        <w:tc>
          <w:tcPr>
            <w:tcW w:w="1282" w:type="dxa"/>
            <w:tcBorders>
              <w:top w:val="nil"/>
              <w:left w:val="single" w:sz="4" w:space="0" w:color="000000" w:themeColor="text1"/>
              <w:bottom w:val="nil"/>
              <w:right w:val="nil"/>
            </w:tcBorders>
            <w:shd w:val="clear" w:color="auto" w:fill="auto"/>
            <w:vAlign w:val="center"/>
            <w:hideMark/>
          </w:tcPr>
          <w:p w14:paraId="1D390415" w14:textId="77777777" w:rsidR="00687CC5" w:rsidRPr="0098303E" w:rsidRDefault="00687CC5" w:rsidP="003C1120">
            <w:pPr>
              <w:jc w:val="center"/>
              <w:rPr>
                <w:rFonts w:ascii="Times New Roman" w:eastAsia="Times New Roman" w:hAnsi="Times New Roman" w:cs="Times New Roman"/>
                <w:sz w:val="20"/>
                <w:szCs w:val="20"/>
              </w:rPr>
            </w:pPr>
          </w:p>
        </w:tc>
      </w:tr>
      <w:tr w:rsidR="00687CC5" w:rsidRPr="0098303E" w14:paraId="52B5D9C1"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531F2FAF"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 xml:space="preserve">   Other</w:t>
            </w:r>
          </w:p>
        </w:tc>
        <w:tc>
          <w:tcPr>
            <w:tcW w:w="1589" w:type="dxa"/>
            <w:tcBorders>
              <w:top w:val="nil"/>
              <w:left w:val="nil"/>
              <w:bottom w:val="nil"/>
              <w:right w:val="nil"/>
            </w:tcBorders>
            <w:shd w:val="clear" w:color="auto" w:fill="auto"/>
            <w:noWrap/>
            <w:vAlign w:val="center"/>
            <w:hideMark/>
          </w:tcPr>
          <w:p w14:paraId="6E751D45"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89 (9.2)</w:t>
            </w:r>
          </w:p>
        </w:tc>
        <w:tc>
          <w:tcPr>
            <w:tcW w:w="1720" w:type="dxa"/>
            <w:tcBorders>
              <w:top w:val="nil"/>
              <w:left w:val="nil"/>
              <w:bottom w:val="nil"/>
              <w:right w:val="nil"/>
            </w:tcBorders>
            <w:shd w:val="clear" w:color="auto" w:fill="auto"/>
            <w:vAlign w:val="center"/>
            <w:hideMark/>
          </w:tcPr>
          <w:p w14:paraId="1DF0D1F6"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86 (9.2)</w:t>
            </w:r>
          </w:p>
        </w:tc>
        <w:tc>
          <w:tcPr>
            <w:tcW w:w="237" w:type="dxa"/>
            <w:tcBorders>
              <w:top w:val="nil"/>
              <w:left w:val="nil"/>
              <w:bottom w:val="nil"/>
              <w:right w:val="nil"/>
            </w:tcBorders>
            <w:shd w:val="clear" w:color="auto" w:fill="auto"/>
            <w:vAlign w:val="center"/>
            <w:hideMark/>
          </w:tcPr>
          <w:p w14:paraId="3AB38171"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137992F0"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84 (9.3)</w:t>
            </w:r>
          </w:p>
        </w:tc>
        <w:tc>
          <w:tcPr>
            <w:tcW w:w="1417" w:type="dxa"/>
            <w:tcBorders>
              <w:top w:val="nil"/>
              <w:left w:val="nil"/>
              <w:bottom w:val="nil"/>
              <w:right w:val="single" w:sz="4" w:space="0" w:color="000000" w:themeColor="text1"/>
            </w:tcBorders>
            <w:shd w:val="clear" w:color="auto" w:fill="auto"/>
            <w:vAlign w:val="center"/>
            <w:hideMark/>
          </w:tcPr>
          <w:p w14:paraId="3A06AE38"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66 (7.8)</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2D567A8E"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69A855C0" w14:textId="77777777" w:rsidR="00687CC5" w:rsidRPr="0098303E" w:rsidRDefault="00687CC5" w:rsidP="003C1120">
            <w:pPr>
              <w:jc w:val="center"/>
              <w:rPr>
                <w:rFonts w:ascii="Times New Roman" w:eastAsia="Times New Roman" w:hAnsi="Times New Roman" w:cs="Times New Roman"/>
                <w:sz w:val="20"/>
                <w:szCs w:val="20"/>
              </w:rPr>
            </w:pPr>
          </w:p>
        </w:tc>
        <w:tc>
          <w:tcPr>
            <w:tcW w:w="1282" w:type="dxa"/>
            <w:tcBorders>
              <w:top w:val="nil"/>
              <w:left w:val="single" w:sz="4" w:space="0" w:color="000000" w:themeColor="text1"/>
              <w:bottom w:val="nil"/>
              <w:right w:val="nil"/>
            </w:tcBorders>
            <w:shd w:val="clear" w:color="auto" w:fill="auto"/>
            <w:vAlign w:val="center"/>
            <w:hideMark/>
          </w:tcPr>
          <w:p w14:paraId="79EEA17B" w14:textId="77777777" w:rsidR="00687CC5" w:rsidRPr="0098303E" w:rsidRDefault="00687CC5" w:rsidP="003C1120">
            <w:pPr>
              <w:jc w:val="center"/>
              <w:rPr>
                <w:rFonts w:ascii="Times New Roman" w:eastAsia="Times New Roman" w:hAnsi="Times New Roman" w:cs="Times New Roman"/>
                <w:sz w:val="20"/>
                <w:szCs w:val="20"/>
              </w:rPr>
            </w:pPr>
          </w:p>
        </w:tc>
      </w:tr>
      <w:tr w:rsidR="00687CC5" w:rsidRPr="0098303E" w14:paraId="6058FC81"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256F9483"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 xml:space="preserve">   Unknown </w:t>
            </w:r>
          </w:p>
        </w:tc>
        <w:tc>
          <w:tcPr>
            <w:tcW w:w="1589" w:type="dxa"/>
            <w:tcBorders>
              <w:top w:val="nil"/>
              <w:left w:val="nil"/>
              <w:bottom w:val="nil"/>
              <w:right w:val="nil"/>
            </w:tcBorders>
            <w:shd w:val="clear" w:color="auto" w:fill="auto"/>
            <w:noWrap/>
            <w:vAlign w:val="center"/>
            <w:hideMark/>
          </w:tcPr>
          <w:p w14:paraId="44A11F6F"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18 (1.9)</w:t>
            </w:r>
          </w:p>
        </w:tc>
        <w:tc>
          <w:tcPr>
            <w:tcW w:w="1720" w:type="dxa"/>
            <w:tcBorders>
              <w:top w:val="nil"/>
              <w:left w:val="nil"/>
              <w:bottom w:val="nil"/>
              <w:right w:val="nil"/>
            </w:tcBorders>
            <w:shd w:val="clear" w:color="auto" w:fill="auto"/>
            <w:vAlign w:val="center"/>
            <w:hideMark/>
          </w:tcPr>
          <w:p w14:paraId="743FC7DA"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18 (1.9)</w:t>
            </w:r>
          </w:p>
        </w:tc>
        <w:tc>
          <w:tcPr>
            <w:tcW w:w="237" w:type="dxa"/>
            <w:tcBorders>
              <w:top w:val="nil"/>
              <w:left w:val="nil"/>
              <w:bottom w:val="nil"/>
              <w:right w:val="nil"/>
            </w:tcBorders>
            <w:shd w:val="clear" w:color="auto" w:fill="auto"/>
            <w:vAlign w:val="center"/>
            <w:hideMark/>
          </w:tcPr>
          <w:p w14:paraId="4DE2F0ED"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1641A252"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14 (1.5)</w:t>
            </w:r>
          </w:p>
        </w:tc>
        <w:tc>
          <w:tcPr>
            <w:tcW w:w="1417" w:type="dxa"/>
            <w:tcBorders>
              <w:top w:val="nil"/>
              <w:left w:val="nil"/>
              <w:bottom w:val="nil"/>
              <w:right w:val="single" w:sz="4" w:space="0" w:color="000000" w:themeColor="text1"/>
            </w:tcBorders>
            <w:shd w:val="clear" w:color="auto" w:fill="auto"/>
            <w:vAlign w:val="center"/>
            <w:hideMark/>
          </w:tcPr>
          <w:p w14:paraId="6EFCDEAE"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21 (2.4)</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75F7B092"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3A3DB884" w14:textId="77777777" w:rsidR="00687CC5" w:rsidRPr="0098303E" w:rsidRDefault="00687CC5" w:rsidP="003C1120">
            <w:pPr>
              <w:jc w:val="center"/>
              <w:rPr>
                <w:rFonts w:ascii="Times New Roman" w:eastAsia="Times New Roman" w:hAnsi="Times New Roman" w:cs="Times New Roman"/>
                <w:sz w:val="20"/>
                <w:szCs w:val="20"/>
              </w:rPr>
            </w:pPr>
          </w:p>
        </w:tc>
        <w:tc>
          <w:tcPr>
            <w:tcW w:w="1282" w:type="dxa"/>
            <w:tcBorders>
              <w:top w:val="nil"/>
              <w:left w:val="single" w:sz="4" w:space="0" w:color="000000" w:themeColor="text1"/>
              <w:bottom w:val="nil"/>
              <w:right w:val="nil"/>
            </w:tcBorders>
            <w:shd w:val="clear" w:color="auto" w:fill="auto"/>
            <w:vAlign w:val="center"/>
            <w:hideMark/>
          </w:tcPr>
          <w:p w14:paraId="6CDC73F2" w14:textId="77777777" w:rsidR="00687CC5" w:rsidRPr="0098303E" w:rsidRDefault="00687CC5" w:rsidP="003C1120">
            <w:pPr>
              <w:jc w:val="center"/>
              <w:rPr>
                <w:rFonts w:ascii="Times New Roman" w:eastAsia="Times New Roman" w:hAnsi="Times New Roman" w:cs="Times New Roman"/>
                <w:sz w:val="20"/>
                <w:szCs w:val="20"/>
              </w:rPr>
            </w:pPr>
          </w:p>
        </w:tc>
      </w:tr>
      <w:tr w:rsidR="00687CC5" w:rsidRPr="0098303E" w14:paraId="1D07E818" w14:textId="77777777" w:rsidTr="003C1120">
        <w:trPr>
          <w:trHeight w:val="320"/>
          <w:jc w:val="center"/>
        </w:trPr>
        <w:tc>
          <w:tcPr>
            <w:tcW w:w="3146" w:type="dxa"/>
            <w:tcBorders>
              <w:top w:val="nil"/>
              <w:left w:val="nil"/>
              <w:bottom w:val="nil"/>
              <w:right w:val="nil"/>
            </w:tcBorders>
            <w:shd w:val="clear" w:color="auto" w:fill="auto"/>
            <w:noWrap/>
            <w:vAlign w:val="center"/>
            <w:hideMark/>
          </w:tcPr>
          <w:p w14:paraId="50DBC8CA"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Delivery BMI (kg/m</w:t>
            </w:r>
            <w:r w:rsidRPr="0098303E">
              <w:rPr>
                <w:rFonts w:ascii="Times New Roman" w:eastAsia="Times New Roman" w:hAnsi="Times New Roman" w:cs="Times New Roman"/>
                <w:color w:val="000000"/>
                <w:sz w:val="20"/>
                <w:szCs w:val="20"/>
                <w:vertAlign w:val="superscript"/>
              </w:rPr>
              <w:t>2</w:t>
            </w:r>
            <w:r w:rsidRPr="0098303E">
              <w:rPr>
                <w:rFonts w:ascii="Times New Roman" w:eastAsia="Times New Roman" w:hAnsi="Times New Roman" w:cs="Times New Roman"/>
                <w:color w:val="000000"/>
                <w:sz w:val="20"/>
                <w:szCs w:val="20"/>
              </w:rPr>
              <w:t>), mean (SD)</w:t>
            </w:r>
          </w:p>
        </w:tc>
        <w:tc>
          <w:tcPr>
            <w:tcW w:w="1589" w:type="dxa"/>
            <w:tcBorders>
              <w:top w:val="nil"/>
              <w:left w:val="nil"/>
              <w:bottom w:val="nil"/>
              <w:right w:val="nil"/>
            </w:tcBorders>
            <w:shd w:val="clear" w:color="auto" w:fill="auto"/>
            <w:noWrap/>
            <w:vAlign w:val="center"/>
            <w:hideMark/>
          </w:tcPr>
          <w:p w14:paraId="1AB2C4C0"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26.6 (5.9)</w:t>
            </w:r>
          </w:p>
        </w:tc>
        <w:tc>
          <w:tcPr>
            <w:tcW w:w="1720" w:type="dxa"/>
            <w:tcBorders>
              <w:top w:val="nil"/>
              <w:left w:val="nil"/>
              <w:bottom w:val="nil"/>
              <w:right w:val="nil"/>
            </w:tcBorders>
            <w:shd w:val="clear" w:color="auto" w:fill="auto"/>
            <w:vAlign w:val="center"/>
            <w:hideMark/>
          </w:tcPr>
          <w:p w14:paraId="5732CBA5"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26.6 (7.1)</w:t>
            </w:r>
          </w:p>
        </w:tc>
        <w:tc>
          <w:tcPr>
            <w:tcW w:w="237" w:type="dxa"/>
            <w:tcBorders>
              <w:top w:val="nil"/>
              <w:left w:val="nil"/>
              <w:bottom w:val="nil"/>
              <w:right w:val="nil"/>
            </w:tcBorders>
            <w:shd w:val="clear" w:color="auto" w:fill="auto"/>
            <w:vAlign w:val="center"/>
            <w:hideMark/>
          </w:tcPr>
          <w:p w14:paraId="52BB673C"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7A745105"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26.3 (7.7)</w:t>
            </w:r>
          </w:p>
        </w:tc>
        <w:tc>
          <w:tcPr>
            <w:tcW w:w="1417" w:type="dxa"/>
            <w:tcBorders>
              <w:top w:val="nil"/>
              <w:left w:val="nil"/>
              <w:bottom w:val="nil"/>
              <w:right w:val="single" w:sz="4" w:space="0" w:color="000000" w:themeColor="text1"/>
            </w:tcBorders>
            <w:shd w:val="clear" w:color="auto" w:fill="auto"/>
            <w:vAlign w:val="center"/>
            <w:hideMark/>
          </w:tcPr>
          <w:p w14:paraId="5B55200E"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26.8 (8.1)</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6BBBA102"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.569</w:t>
            </w: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181CC776"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.986</w:t>
            </w:r>
          </w:p>
        </w:tc>
        <w:tc>
          <w:tcPr>
            <w:tcW w:w="1282" w:type="dxa"/>
            <w:tcBorders>
              <w:top w:val="nil"/>
              <w:left w:val="single" w:sz="4" w:space="0" w:color="000000" w:themeColor="text1"/>
              <w:bottom w:val="nil"/>
              <w:right w:val="nil"/>
            </w:tcBorders>
            <w:shd w:val="clear" w:color="auto" w:fill="auto"/>
            <w:vAlign w:val="center"/>
            <w:hideMark/>
          </w:tcPr>
          <w:p w14:paraId="231CA58D"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.214</w:t>
            </w:r>
          </w:p>
        </w:tc>
      </w:tr>
      <w:tr w:rsidR="00687CC5" w:rsidRPr="0098303E" w14:paraId="45D4E013"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535F9A56"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Spontaneous vaginal delivery, n (%)</w:t>
            </w:r>
          </w:p>
        </w:tc>
        <w:tc>
          <w:tcPr>
            <w:tcW w:w="1589" w:type="dxa"/>
            <w:tcBorders>
              <w:top w:val="nil"/>
              <w:left w:val="nil"/>
              <w:bottom w:val="nil"/>
              <w:right w:val="nil"/>
            </w:tcBorders>
            <w:shd w:val="clear" w:color="auto" w:fill="auto"/>
            <w:noWrap/>
            <w:vAlign w:val="center"/>
            <w:hideMark/>
          </w:tcPr>
          <w:p w14:paraId="15B0C93C"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883 (91.3)</w:t>
            </w:r>
          </w:p>
        </w:tc>
        <w:tc>
          <w:tcPr>
            <w:tcW w:w="1720" w:type="dxa"/>
            <w:tcBorders>
              <w:top w:val="nil"/>
              <w:left w:val="nil"/>
              <w:bottom w:val="nil"/>
              <w:right w:val="nil"/>
            </w:tcBorders>
            <w:shd w:val="clear" w:color="auto" w:fill="auto"/>
            <w:vAlign w:val="center"/>
            <w:hideMark/>
          </w:tcPr>
          <w:p w14:paraId="3A24BD2B"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879 (93.7)</w:t>
            </w:r>
          </w:p>
        </w:tc>
        <w:tc>
          <w:tcPr>
            <w:tcW w:w="237" w:type="dxa"/>
            <w:tcBorders>
              <w:top w:val="nil"/>
              <w:left w:val="nil"/>
              <w:bottom w:val="nil"/>
              <w:right w:val="nil"/>
            </w:tcBorders>
            <w:shd w:val="clear" w:color="auto" w:fill="auto"/>
            <w:vAlign w:val="center"/>
            <w:hideMark/>
          </w:tcPr>
          <w:p w14:paraId="2E79E134"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noWrap/>
            <w:vAlign w:val="center"/>
            <w:hideMark/>
          </w:tcPr>
          <w:p w14:paraId="14C165C7"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c>
          <w:tcPr>
            <w:tcW w:w="1417" w:type="dxa"/>
            <w:tcBorders>
              <w:top w:val="nil"/>
              <w:left w:val="nil"/>
              <w:bottom w:val="nil"/>
              <w:right w:val="single" w:sz="4" w:space="0" w:color="000000" w:themeColor="text1"/>
            </w:tcBorders>
            <w:shd w:val="clear" w:color="auto" w:fill="auto"/>
            <w:noWrap/>
            <w:vAlign w:val="center"/>
            <w:hideMark/>
          </w:tcPr>
          <w:p w14:paraId="5A6A4D9F"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c>
          <w:tcPr>
            <w:tcW w:w="993" w:type="dxa"/>
            <w:tcBorders>
              <w:top w:val="nil"/>
              <w:left w:val="single" w:sz="4" w:space="0" w:color="000000" w:themeColor="text1"/>
              <w:bottom w:val="nil"/>
              <w:right w:val="single" w:sz="4" w:space="0" w:color="000000" w:themeColor="text1"/>
            </w:tcBorders>
            <w:shd w:val="clear" w:color="auto" w:fill="auto"/>
            <w:noWrap/>
            <w:vAlign w:val="center"/>
            <w:hideMark/>
          </w:tcPr>
          <w:p w14:paraId="3B30ADCB"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55882733"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.048</w:t>
            </w:r>
          </w:p>
        </w:tc>
        <w:tc>
          <w:tcPr>
            <w:tcW w:w="1282" w:type="dxa"/>
            <w:tcBorders>
              <w:top w:val="nil"/>
              <w:left w:val="single" w:sz="4" w:space="0" w:color="000000" w:themeColor="text1"/>
              <w:bottom w:val="nil"/>
              <w:right w:val="nil"/>
            </w:tcBorders>
            <w:shd w:val="clear" w:color="auto" w:fill="auto"/>
            <w:noWrap/>
            <w:vAlign w:val="center"/>
            <w:hideMark/>
          </w:tcPr>
          <w:p w14:paraId="6354C34A"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r>
      <w:tr w:rsidR="00687CC5" w:rsidRPr="0098303E" w14:paraId="1385CFB7"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12A50BDA"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Manual removal of placenta, n (%)</w:t>
            </w:r>
          </w:p>
        </w:tc>
        <w:tc>
          <w:tcPr>
            <w:tcW w:w="1589" w:type="dxa"/>
            <w:tcBorders>
              <w:top w:val="nil"/>
              <w:left w:val="nil"/>
              <w:bottom w:val="nil"/>
              <w:right w:val="nil"/>
            </w:tcBorders>
            <w:shd w:val="clear" w:color="auto" w:fill="auto"/>
            <w:noWrap/>
            <w:vAlign w:val="center"/>
            <w:hideMark/>
          </w:tcPr>
          <w:p w14:paraId="60C46097"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16 (1.7)</w:t>
            </w:r>
          </w:p>
        </w:tc>
        <w:tc>
          <w:tcPr>
            <w:tcW w:w="1720" w:type="dxa"/>
            <w:tcBorders>
              <w:top w:val="nil"/>
              <w:left w:val="nil"/>
              <w:bottom w:val="nil"/>
              <w:right w:val="nil"/>
            </w:tcBorders>
            <w:shd w:val="clear" w:color="auto" w:fill="auto"/>
            <w:vAlign w:val="center"/>
            <w:hideMark/>
          </w:tcPr>
          <w:p w14:paraId="68BA7C1C"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12 (1.3)</w:t>
            </w:r>
          </w:p>
        </w:tc>
        <w:tc>
          <w:tcPr>
            <w:tcW w:w="237" w:type="dxa"/>
            <w:tcBorders>
              <w:top w:val="nil"/>
              <w:left w:val="nil"/>
              <w:bottom w:val="nil"/>
              <w:right w:val="nil"/>
            </w:tcBorders>
            <w:shd w:val="clear" w:color="auto" w:fill="auto"/>
            <w:vAlign w:val="center"/>
            <w:hideMark/>
          </w:tcPr>
          <w:p w14:paraId="553836A8"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noWrap/>
            <w:vAlign w:val="center"/>
            <w:hideMark/>
          </w:tcPr>
          <w:p w14:paraId="6895A7DE"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c>
          <w:tcPr>
            <w:tcW w:w="1417" w:type="dxa"/>
            <w:tcBorders>
              <w:top w:val="nil"/>
              <w:left w:val="nil"/>
              <w:bottom w:val="nil"/>
              <w:right w:val="single" w:sz="4" w:space="0" w:color="000000" w:themeColor="text1"/>
            </w:tcBorders>
            <w:shd w:val="clear" w:color="auto" w:fill="auto"/>
            <w:noWrap/>
            <w:vAlign w:val="center"/>
            <w:hideMark/>
          </w:tcPr>
          <w:p w14:paraId="5055CB83"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c>
          <w:tcPr>
            <w:tcW w:w="993" w:type="dxa"/>
            <w:tcBorders>
              <w:top w:val="nil"/>
              <w:left w:val="single" w:sz="4" w:space="0" w:color="000000" w:themeColor="text1"/>
              <w:bottom w:val="nil"/>
              <w:right w:val="single" w:sz="4" w:space="0" w:color="000000" w:themeColor="text1"/>
            </w:tcBorders>
            <w:shd w:val="clear" w:color="auto" w:fill="auto"/>
            <w:noWrap/>
            <w:vAlign w:val="center"/>
            <w:hideMark/>
          </w:tcPr>
          <w:p w14:paraId="066D2E98"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25A13411"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.536</w:t>
            </w:r>
          </w:p>
        </w:tc>
        <w:tc>
          <w:tcPr>
            <w:tcW w:w="1282" w:type="dxa"/>
            <w:tcBorders>
              <w:top w:val="nil"/>
              <w:left w:val="single" w:sz="4" w:space="0" w:color="000000" w:themeColor="text1"/>
              <w:bottom w:val="nil"/>
              <w:right w:val="nil"/>
            </w:tcBorders>
            <w:shd w:val="clear" w:color="auto" w:fill="auto"/>
            <w:noWrap/>
            <w:vAlign w:val="center"/>
            <w:hideMark/>
          </w:tcPr>
          <w:p w14:paraId="34574884"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r>
      <w:tr w:rsidR="00687CC5" w:rsidRPr="0098303E" w14:paraId="5E83F7BD"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0F7E5834"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Gestational age (weeks), mean (SD)</w:t>
            </w:r>
          </w:p>
        </w:tc>
        <w:tc>
          <w:tcPr>
            <w:tcW w:w="1589" w:type="dxa"/>
            <w:tcBorders>
              <w:top w:val="nil"/>
              <w:left w:val="nil"/>
              <w:bottom w:val="nil"/>
              <w:right w:val="nil"/>
            </w:tcBorders>
            <w:shd w:val="clear" w:color="auto" w:fill="auto"/>
            <w:noWrap/>
            <w:vAlign w:val="center"/>
            <w:hideMark/>
          </w:tcPr>
          <w:p w14:paraId="7D0A899F"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38.9 (1.6)</w:t>
            </w:r>
          </w:p>
        </w:tc>
        <w:tc>
          <w:tcPr>
            <w:tcW w:w="1720" w:type="dxa"/>
            <w:tcBorders>
              <w:top w:val="nil"/>
              <w:left w:val="nil"/>
              <w:bottom w:val="nil"/>
              <w:right w:val="nil"/>
            </w:tcBorders>
            <w:shd w:val="clear" w:color="auto" w:fill="auto"/>
            <w:vAlign w:val="center"/>
            <w:hideMark/>
          </w:tcPr>
          <w:p w14:paraId="184E8496"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38.9 (2.0)</w:t>
            </w:r>
          </w:p>
        </w:tc>
        <w:tc>
          <w:tcPr>
            <w:tcW w:w="237" w:type="dxa"/>
            <w:tcBorders>
              <w:top w:val="nil"/>
              <w:left w:val="nil"/>
              <w:bottom w:val="nil"/>
              <w:right w:val="nil"/>
            </w:tcBorders>
            <w:shd w:val="clear" w:color="auto" w:fill="auto"/>
            <w:vAlign w:val="center"/>
            <w:hideMark/>
          </w:tcPr>
          <w:p w14:paraId="174130A8"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3AF45F6B"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38.9 (2.0)</w:t>
            </w:r>
          </w:p>
        </w:tc>
        <w:tc>
          <w:tcPr>
            <w:tcW w:w="1417" w:type="dxa"/>
            <w:tcBorders>
              <w:top w:val="nil"/>
              <w:left w:val="nil"/>
              <w:bottom w:val="nil"/>
              <w:right w:val="single" w:sz="4" w:space="0" w:color="000000" w:themeColor="text1"/>
            </w:tcBorders>
            <w:shd w:val="clear" w:color="auto" w:fill="auto"/>
            <w:vAlign w:val="center"/>
            <w:hideMark/>
          </w:tcPr>
          <w:p w14:paraId="4BFD632A"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38.8 (2.0)</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52D20D2F"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.855</w:t>
            </w: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5F50B67D"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.899</w:t>
            </w:r>
          </w:p>
        </w:tc>
        <w:tc>
          <w:tcPr>
            <w:tcW w:w="1282" w:type="dxa"/>
            <w:tcBorders>
              <w:top w:val="nil"/>
              <w:left w:val="single" w:sz="4" w:space="0" w:color="000000" w:themeColor="text1"/>
              <w:bottom w:val="nil"/>
              <w:right w:val="nil"/>
            </w:tcBorders>
            <w:shd w:val="clear" w:color="auto" w:fill="auto"/>
            <w:vAlign w:val="center"/>
            <w:hideMark/>
          </w:tcPr>
          <w:p w14:paraId="3675C143"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.551</w:t>
            </w:r>
          </w:p>
        </w:tc>
      </w:tr>
      <w:tr w:rsidR="00687CC5" w:rsidRPr="0098303E" w14:paraId="7D0E9E9D"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07C3E3AE"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Birth weight (g), mean (SD)</w:t>
            </w:r>
          </w:p>
        </w:tc>
        <w:tc>
          <w:tcPr>
            <w:tcW w:w="1589" w:type="dxa"/>
            <w:tcBorders>
              <w:top w:val="nil"/>
              <w:left w:val="nil"/>
              <w:bottom w:val="nil"/>
              <w:right w:val="nil"/>
            </w:tcBorders>
            <w:shd w:val="clear" w:color="auto" w:fill="auto"/>
            <w:noWrap/>
            <w:vAlign w:val="center"/>
            <w:hideMark/>
          </w:tcPr>
          <w:p w14:paraId="010251C6"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3292.8 (481.6)</w:t>
            </w:r>
          </w:p>
        </w:tc>
        <w:tc>
          <w:tcPr>
            <w:tcW w:w="1720" w:type="dxa"/>
            <w:tcBorders>
              <w:top w:val="nil"/>
              <w:left w:val="nil"/>
              <w:bottom w:val="nil"/>
              <w:right w:val="nil"/>
            </w:tcBorders>
            <w:shd w:val="clear" w:color="auto" w:fill="auto"/>
            <w:vAlign w:val="center"/>
            <w:hideMark/>
          </w:tcPr>
          <w:p w14:paraId="5107B7F3"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3291.0 (607)</w:t>
            </w:r>
          </w:p>
        </w:tc>
        <w:tc>
          <w:tcPr>
            <w:tcW w:w="237" w:type="dxa"/>
            <w:tcBorders>
              <w:top w:val="nil"/>
              <w:left w:val="nil"/>
              <w:bottom w:val="nil"/>
              <w:right w:val="nil"/>
            </w:tcBorders>
            <w:shd w:val="clear" w:color="auto" w:fill="auto"/>
            <w:vAlign w:val="center"/>
            <w:hideMark/>
          </w:tcPr>
          <w:p w14:paraId="3028C6C3"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275DF1D8"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3276.5 (714.5)</w:t>
            </w:r>
          </w:p>
        </w:tc>
        <w:tc>
          <w:tcPr>
            <w:tcW w:w="1417" w:type="dxa"/>
            <w:tcBorders>
              <w:top w:val="nil"/>
              <w:left w:val="nil"/>
              <w:bottom w:val="nil"/>
              <w:right w:val="single" w:sz="4" w:space="0" w:color="000000" w:themeColor="text1"/>
            </w:tcBorders>
            <w:shd w:val="clear" w:color="auto" w:fill="auto"/>
            <w:vAlign w:val="center"/>
            <w:hideMark/>
          </w:tcPr>
          <w:p w14:paraId="5A13BE7D"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3266.2 (734.8)</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427FA524"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.764</w:t>
            </w: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35EF26DA"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.942</w:t>
            </w:r>
          </w:p>
        </w:tc>
        <w:tc>
          <w:tcPr>
            <w:tcW w:w="1282" w:type="dxa"/>
            <w:tcBorders>
              <w:top w:val="nil"/>
              <w:left w:val="single" w:sz="4" w:space="0" w:color="000000" w:themeColor="text1"/>
              <w:bottom w:val="nil"/>
              <w:right w:val="nil"/>
            </w:tcBorders>
            <w:shd w:val="clear" w:color="auto" w:fill="auto"/>
            <w:vAlign w:val="center"/>
            <w:hideMark/>
          </w:tcPr>
          <w:p w14:paraId="32B24BB1"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.766</w:t>
            </w:r>
          </w:p>
        </w:tc>
      </w:tr>
      <w:tr w:rsidR="00687CC5" w:rsidRPr="0098303E" w14:paraId="106D7657"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34E7DAA8"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Predelivery HCT (%), mean (SD)</w:t>
            </w:r>
          </w:p>
        </w:tc>
        <w:tc>
          <w:tcPr>
            <w:tcW w:w="1589" w:type="dxa"/>
            <w:tcBorders>
              <w:top w:val="nil"/>
              <w:left w:val="nil"/>
              <w:bottom w:val="nil"/>
              <w:right w:val="nil"/>
            </w:tcBorders>
            <w:shd w:val="clear" w:color="auto" w:fill="auto"/>
            <w:noWrap/>
            <w:vAlign w:val="center"/>
            <w:hideMark/>
          </w:tcPr>
          <w:p w14:paraId="3DBC2EFB"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35.9 (3.1)</w:t>
            </w:r>
          </w:p>
        </w:tc>
        <w:tc>
          <w:tcPr>
            <w:tcW w:w="1720" w:type="dxa"/>
            <w:tcBorders>
              <w:top w:val="nil"/>
              <w:left w:val="nil"/>
              <w:bottom w:val="nil"/>
              <w:right w:val="nil"/>
            </w:tcBorders>
            <w:shd w:val="clear" w:color="auto" w:fill="auto"/>
            <w:vAlign w:val="center"/>
            <w:hideMark/>
          </w:tcPr>
          <w:p w14:paraId="776325C0"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35.9 (3.8)</w:t>
            </w:r>
          </w:p>
        </w:tc>
        <w:tc>
          <w:tcPr>
            <w:tcW w:w="237" w:type="dxa"/>
            <w:tcBorders>
              <w:top w:val="nil"/>
              <w:left w:val="nil"/>
              <w:bottom w:val="nil"/>
              <w:right w:val="nil"/>
            </w:tcBorders>
            <w:shd w:val="clear" w:color="auto" w:fill="auto"/>
            <w:vAlign w:val="center"/>
            <w:hideMark/>
          </w:tcPr>
          <w:p w14:paraId="31AC3D66"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37BC3544"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36.1 (4.6)</w:t>
            </w:r>
          </w:p>
        </w:tc>
        <w:tc>
          <w:tcPr>
            <w:tcW w:w="1417" w:type="dxa"/>
            <w:tcBorders>
              <w:top w:val="nil"/>
              <w:left w:val="nil"/>
              <w:bottom w:val="nil"/>
              <w:right w:val="single" w:sz="4" w:space="0" w:color="000000" w:themeColor="text1"/>
            </w:tcBorders>
            <w:shd w:val="clear" w:color="auto" w:fill="auto"/>
            <w:vAlign w:val="center"/>
            <w:hideMark/>
          </w:tcPr>
          <w:p w14:paraId="4A5448EB"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36 (4.5)</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1E7E49B2"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.642</w:t>
            </w: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6DDE01D6"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.886</w:t>
            </w:r>
          </w:p>
        </w:tc>
        <w:tc>
          <w:tcPr>
            <w:tcW w:w="1282" w:type="dxa"/>
            <w:tcBorders>
              <w:top w:val="nil"/>
              <w:left w:val="single" w:sz="4" w:space="0" w:color="000000" w:themeColor="text1"/>
              <w:bottom w:val="nil"/>
              <w:right w:val="nil"/>
            </w:tcBorders>
            <w:shd w:val="clear" w:color="auto" w:fill="auto"/>
            <w:vAlign w:val="center"/>
            <w:hideMark/>
          </w:tcPr>
          <w:p w14:paraId="78F95637"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.495</w:t>
            </w:r>
          </w:p>
        </w:tc>
      </w:tr>
      <w:tr w:rsidR="00687CC5" w:rsidRPr="0098303E" w14:paraId="7BD0EEFF"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5261B2E8"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Predelivery HCT &lt; 30%, n (%)</w:t>
            </w:r>
          </w:p>
        </w:tc>
        <w:tc>
          <w:tcPr>
            <w:tcW w:w="1589" w:type="dxa"/>
            <w:tcBorders>
              <w:top w:val="nil"/>
              <w:left w:val="nil"/>
              <w:bottom w:val="nil"/>
              <w:right w:val="nil"/>
            </w:tcBorders>
            <w:shd w:val="clear" w:color="auto" w:fill="auto"/>
            <w:noWrap/>
            <w:vAlign w:val="center"/>
            <w:hideMark/>
          </w:tcPr>
          <w:p w14:paraId="09195D2E"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29 (3)</w:t>
            </w:r>
          </w:p>
        </w:tc>
        <w:tc>
          <w:tcPr>
            <w:tcW w:w="1720" w:type="dxa"/>
            <w:tcBorders>
              <w:top w:val="nil"/>
              <w:left w:val="nil"/>
              <w:bottom w:val="nil"/>
              <w:right w:val="nil"/>
            </w:tcBorders>
            <w:shd w:val="clear" w:color="auto" w:fill="auto"/>
            <w:vAlign w:val="center"/>
            <w:hideMark/>
          </w:tcPr>
          <w:p w14:paraId="2D185A98"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27 (2.8)</w:t>
            </w:r>
          </w:p>
        </w:tc>
        <w:tc>
          <w:tcPr>
            <w:tcW w:w="237" w:type="dxa"/>
            <w:tcBorders>
              <w:top w:val="nil"/>
              <w:left w:val="nil"/>
              <w:bottom w:val="nil"/>
              <w:right w:val="nil"/>
            </w:tcBorders>
            <w:shd w:val="clear" w:color="auto" w:fill="auto"/>
            <w:vAlign w:val="center"/>
            <w:hideMark/>
          </w:tcPr>
          <w:p w14:paraId="1A584B7E"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4854E52F"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24 (2.7)</w:t>
            </w:r>
          </w:p>
        </w:tc>
        <w:tc>
          <w:tcPr>
            <w:tcW w:w="1417" w:type="dxa"/>
            <w:tcBorders>
              <w:top w:val="nil"/>
              <w:left w:val="nil"/>
              <w:bottom w:val="nil"/>
              <w:right w:val="single" w:sz="4" w:space="0" w:color="000000" w:themeColor="text1"/>
            </w:tcBorders>
            <w:shd w:val="clear" w:color="auto" w:fill="auto"/>
            <w:vAlign w:val="center"/>
            <w:hideMark/>
          </w:tcPr>
          <w:p w14:paraId="7BE90FB1"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30 (3.6)</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370BEE6A"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.684</w:t>
            </w: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5FC62EC0"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.846</w:t>
            </w:r>
          </w:p>
        </w:tc>
        <w:tc>
          <w:tcPr>
            <w:tcW w:w="1282" w:type="dxa"/>
            <w:tcBorders>
              <w:top w:val="nil"/>
              <w:left w:val="single" w:sz="4" w:space="0" w:color="000000" w:themeColor="text1"/>
              <w:bottom w:val="nil"/>
              <w:right w:val="nil"/>
            </w:tcBorders>
            <w:shd w:val="clear" w:color="auto" w:fill="auto"/>
            <w:vAlign w:val="center"/>
            <w:hideMark/>
          </w:tcPr>
          <w:p w14:paraId="50FC5836"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.256</w:t>
            </w:r>
          </w:p>
        </w:tc>
      </w:tr>
      <w:tr w:rsidR="00687CC5" w:rsidRPr="0098303E" w14:paraId="083CD548"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196DB59C"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Multiparous, n (%)</w:t>
            </w:r>
          </w:p>
        </w:tc>
        <w:tc>
          <w:tcPr>
            <w:tcW w:w="1589" w:type="dxa"/>
            <w:tcBorders>
              <w:top w:val="nil"/>
              <w:left w:val="nil"/>
              <w:bottom w:val="nil"/>
              <w:right w:val="nil"/>
            </w:tcBorders>
            <w:shd w:val="clear" w:color="auto" w:fill="auto"/>
            <w:noWrap/>
            <w:vAlign w:val="center"/>
            <w:hideMark/>
          </w:tcPr>
          <w:p w14:paraId="20DCD6A6"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495 (51.2)</w:t>
            </w:r>
          </w:p>
        </w:tc>
        <w:tc>
          <w:tcPr>
            <w:tcW w:w="1720" w:type="dxa"/>
            <w:tcBorders>
              <w:top w:val="nil"/>
              <w:left w:val="nil"/>
              <w:bottom w:val="nil"/>
              <w:right w:val="nil"/>
            </w:tcBorders>
            <w:shd w:val="clear" w:color="auto" w:fill="auto"/>
            <w:vAlign w:val="center"/>
            <w:hideMark/>
          </w:tcPr>
          <w:p w14:paraId="532361E4"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486 (51.8)</w:t>
            </w:r>
          </w:p>
        </w:tc>
        <w:tc>
          <w:tcPr>
            <w:tcW w:w="237" w:type="dxa"/>
            <w:tcBorders>
              <w:top w:val="nil"/>
              <w:left w:val="nil"/>
              <w:bottom w:val="nil"/>
              <w:right w:val="nil"/>
            </w:tcBorders>
            <w:shd w:val="clear" w:color="auto" w:fill="auto"/>
            <w:vAlign w:val="center"/>
            <w:hideMark/>
          </w:tcPr>
          <w:p w14:paraId="0F6F3B87"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394B5966"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475 (52.7)</w:t>
            </w:r>
          </w:p>
        </w:tc>
        <w:tc>
          <w:tcPr>
            <w:tcW w:w="1417" w:type="dxa"/>
            <w:tcBorders>
              <w:top w:val="nil"/>
              <w:left w:val="nil"/>
              <w:bottom w:val="nil"/>
              <w:right w:val="single" w:sz="4" w:space="0" w:color="000000" w:themeColor="text1"/>
            </w:tcBorders>
            <w:shd w:val="clear" w:color="auto" w:fill="auto"/>
            <w:vAlign w:val="center"/>
            <w:hideMark/>
          </w:tcPr>
          <w:p w14:paraId="1AB1701B"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406 (48.3)</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24266B51"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.281</w:t>
            </w: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70EFBC0B"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.793</w:t>
            </w:r>
          </w:p>
        </w:tc>
        <w:tc>
          <w:tcPr>
            <w:tcW w:w="1282" w:type="dxa"/>
            <w:tcBorders>
              <w:top w:val="nil"/>
              <w:left w:val="single" w:sz="4" w:space="0" w:color="000000" w:themeColor="text1"/>
              <w:bottom w:val="nil"/>
              <w:right w:val="nil"/>
            </w:tcBorders>
            <w:shd w:val="clear" w:color="auto" w:fill="auto"/>
            <w:vAlign w:val="center"/>
            <w:hideMark/>
          </w:tcPr>
          <w:p w14:paraId="380DE5FC"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.063</w:t>
            </w:r>
          </w:p>
        </w:tc>
      </w:tr>
      <w:tr w:rsidR="00687CC5" w:rsidRPr="0098303E" w14:paraId="2ABF0149"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20CEF1BE"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Anesthesia type, n (%)</w:t>
            </w:r>
          </w:p>
        </w:tc>
        <w:tc>
          <w:tcPr>
            <w:tcW w:w="1589" w:type="dxa"/>
            <w:tcBorders>
              <w:top w:val="nil"/>
              <w:left w:val="nil"/>
              <w:bottom w:val="nil"/>
              <w:right w:val="nil"/>
            </w:tcBorders>
            <w:shd w:val="clear" w:color="auto" w:fill="auto"/>
            <w:noWrap/>
            <w:vAlign w:val="center"/>
            <w:hideMark/>
          </w:tcPr>
          <w:p w14:paraId="3E1CBD8C" w14:textId="77777777" w:rsidR="00687CC5" w:rsidRPr="0098303E" w:rsidRDefault="00687CC5" w:rsidP="003C1120">
            <w:pPr>
              <w:jc w:val="both"/>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vAlign w:val="center"/>
            <w:hideMark/>
          </w:tcPr>
          <w:p w14:paraId="6FA06E30" w14:textId="77777777" w:rsidR="00687CC5" w:rsidRPr="0098303E" w:rsidRDefault="00687CC5" w:rsidP="003C1120">
            <w:pPr>
              <w:jc w:val="center"/>
              <w:rPr>
                <w:rFonts w:ascii="Times New Roman" w:eastAsia="Times New Roman" w:hAnsi="Times New Roman" w:cs="Times New Roman"/>
                <w:sz w:val="20"/>
                <w:szCs w:val="20"/>
              </w:rPr>
            </w:pPr>
          </w:p>
        </w:tc>
        <w:tc>
          <w:tcPr>
            <w:tcW w:w="237" w:type="dxa"/>
            <w:tcBorders>
              <w:top w:val="nil"/>
              <w:left w:val="nil"/>
              <w:bottom w:val="nil"/>
              <w:right w:val="nil"/>
            </w:tcBorders>
            <w:shd w:val="clear" w:color="auto" w:fill="auto"/>
            <w:vAlign w:val="center"/>
            <w:hideMark/>
          </w:tcPr>
          <w:p w14:paraId="78B00877" w14:textId="77777777" w:rsidR="00687CC5" w:rsidRPr="0098303E" w:rsidRDefault="00687CC5" w:rsidP="003C1120">
            <w:pPr>
              <w:jc w:val="center"/>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vAlign w:val="center"/>
            <w:hideMark/>
          </w:tcPr>
          <w:p w14:paraId="1441C621" w14:textId="77777777" w:rsidR="00687CC5" w:rsidRPr="0098303E" w:rsidRDefault="00687CC5" w:rsidP="003C1120">
            <w:pPr>
              <w:jc w:val="center"/>
              <w:rPr>
                <w:rFonts w:ascii="Times New Roman" w:eastAsia="Times New Roman" w:hAnsi="Times New Roman" w:cs="Times New Roman"/>
                <w:sz w:val="20"/>
                <w:szCs w:val="20"/>
              </w:rPr>
            </w:pPr>
          </w:p>
        </w:tc>
        <w:tc>
          <w:tcPr>
            <w:tcW w:w="1417" w:type="dxa"/>
            <w:tcBorders>
              <w:top w:val="nil"/>
              <w:left w:val="nil"/>
              <w:bottom w:val="nil"/>
              <w:right w:val="single" w:sz="4" w:space="0" w:color="000000" w:themeColor="text1"/>
            </w:tcBorders>
            <w:shd w:val="clear" w:color="auto" w:fill="auto"/>
            <w:vAlign w:val="center"/>
            <w:hideMark/>
          </w:tcPr>
          <w:p w14:paraId="3A5A8E12" w14:textId="77777777" w:rsidR="00687CC5" w:rsidRPr="0098303E" w:rsidRDefault="00687CC5" w:rsidP="003C1120">
            <w:pPr>
              <w:jc w:val="center"/>
              <w:rPr>
                <w:rFonts w:ascii="Times New Roman" w:eastAsia="Times New Roman" w:hAnsi="Times New Roman" w:cs="Times New Roman"/>
                <w:sz w:val="20"/>
                <w:szCs w:val="20"/>
              </w:rPr>
            </w:pPr>
          </w:p>
        </w:tc>
        <w:tc>
          <w:tcPr>
            <w:tcW w:w="993" w:type="dxa"/>
            <w:tcBorders>
              <w:top w:val="nil"/>
              <w:left w:val="single" w:sz="4" w:space="0" w:color="000000" w:themeColor="text1"/>
              <w:bottom w:val="nil"/>
              <w:right w:val="single" w:sz="4" w:space="0" w:color="000000" w:themeColor="text1"/>
            </w:tcBorders>
            <w:shd w:val="clear" w:color="auto" w:fill="auto"/>
            <w:noWrap/>
            <w:vAlign w:val="center"/>
            <w:hideMark/>
          </w:tcPr>
          <w:p w14:paraId="3F091737"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N/A</w:t>
            </w:r>
            <w:r w:rsidRPr="00784303">
              <w:rPr>
                <w:rFonts w:ascii="Times New Roman" w:eastAsia="Times New Roman" w:hAnsi="Times New Roman" w:cs="Times New Roman"/>
                <w:color w:val="000000"/>
                <w:sz w:val="20"/>
                <w:szCs w:val="20"/>
                <w:vertAlign w:val="superscript"/>
              </w:rPr>
              <w:t>d</w:t>
            </w: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5ACC682E"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N/A</w:t>
            </w:r>
            <w:r w:rsidRPr="00784303">
              <w:rPr>
                <w:rFonts w:ascii="Times New Roman" w:eastAsia="Times New Roman" w:hAnsi="Times New Roman" w:cs="Times New Roman"/>
                <w:color w:val="000000"/>
                <w:sz w:val="20"/>
                <w:szCs w:val="20"/>
                <w:vertAlign w:val="superscript"/>
              </w:rPr>
              <w:t>d</w:t>
            </w:r>
          </w:p>
        </w:tc>
        <w:tc>
          <w:tcPr>
            <w:tcW w:w="1282" w:type="dxa"/>
            <w:tcBorders>
              <w:top w:val="nil"/>
              <w:left w:val="single" w:sz="4" w:space="0" w:color="000000" w:themeColor="text1"/>
              <w:bottom w:val="nil"/>
              <w:right w:val="nil"/>
            </w:tcBorders>
            <w:shd w:val="clear" w:color="auto" w:fill="auto"/>
            <w:noWrap/>
            <w:vAlign w:val="center"/>
            <w:hideMark/>
          </w:tcPr>
          <w:p w14:paraId="6EC58653"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N/A</w:t>
            </w:r>
            <w:r w:rsidRPr="00784303">
              <w:rPr>
                <w:rFonts w:ascii="Times New Roman" w:eastAsia="Times New Roman" w:hAnsi="Times New Roman" w:cs="Times New Roman"/>
                <w:color w:val="000000"/>
                <w:sz w:val="20"/>
                <w:szCs w:val="20"/>
                <w:vertAlign w:val="superscript"/>
              </w:rPr>
              <w:t>d</w:t>
            </w:r>
          </w:p>
        </w:tc>
      </w:tr>
      <w:tr w:rsidR="00687CC5" w:rsidRPr="0098303E" w14:paraId="32075F1A"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7CA10CFB"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 xml:space="preserve">   CSE</w:t>
            </w:r>
          </w:p>
        </w:tc>
        <w:tc>
          <w:tcPr>
            <w:tcW w:w="1589" w:type="dxa"/>
            <w:tcBorders>
              <w:top w:val="nil"/>
              <w:left w:val="nil"/>
              <w:bottom w:val="nil"/>
              <w:right w:val="nil"/>
            </w:tcBorders>
            <w:shd w:val="clear" w:color="auto" w:fill="auto"/>
            <w:noWrap/>
            <w:vAlign w:val="center"/>
            <w:hideMark/>
          </w:tcPr>
          <w:p w14:paraId="497BF39E"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16 (1.7)</w:t>
            </w:r>
          </w:p>
        </w:tc>
        <w:tc>
          <w:tcPr>
            <w:tcW w:w="1720" w:type="dxa"/>
            <w:tcBorders>
              <w:top w:val="nil"/>
              <w:left w:val="nil"/>
              <w:bottom w:val="nil"/>
              <w:right w:val="nil"/>
            </w:tcBorders>
            <w:shd w:val="clear" w:color="auto" w:fill="auto"/>
            <w:vAlign w:val="center"/>
            <w:hideMark/>
          </w:tcPr>
          <w:p w14:paraId="333DC6BF"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2 (0.2)</w:t>
            </w:r>
          </w:p>
        </w:tc>
        <w:tc>
          <w:tcPr>
            <w:tcW w:w="237" w:type="dxa"/>
            <w:tcBorders>
              <w:top w:val="nil"/>
              <w:left w:val="nil"/>
              <w:bottom w:val="nil"/>
              <w:right w:val="nil"/>
            </w:tcBorders>
            <w:shd w:val="clear" w:color="auto" w:fill="auto"/>
            <w:vAlign w:val="center"/>
            <w:hideMark/>
          </w:tcPr>
          <w:p w14:paraId="63FE58C3"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2FA026B4"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53 (5.8)</w:t>
            </w:r>
          </w:p>
        </w:tc>
        <w:tc>
          <w:tcPr>
            <w:tcW w:w="1417" w:type="dxa"/>
            <w:tcBorders>
              <w:top w:val="nil"/>
              <w:left w:val="nil"/>
              <w:bottom w:val="nil"/>
              <w:right w:val="single" w:sz="4" w:space="0" w:color="000000" w:themeColor="text1"/>
            </w:tcBorders>
            <w:shd w:val="clear" w:color="auto" w:fill="auto"/>
            <w:vAlign w:val="center"/>
            <w:hideMark/>
          </w:tcPr>
          <w:p w14:paraId="2DF99684"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48 (5.7)</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5B101899"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138C8CD6" w14:textId="77777777" w:rsidR="00687CC5" w:rsidRPr="0098303E" w:rsidRDefault="00687CC5" w:rsidP="003C1120">
            <w:pPr>
              <w:jc w:val="center"/>
              <w:rPr>
                <w:rFonts w:ascii="Times New Roman" w:eastAsia="Times New Roman" w:hAnsi="Times New Roman" w:cs="Times New Roman"/>
                <w:sz w:val="20"/>
                <w:szCs w:val="20"/>
              </w:rPr>
            </w:pPr>
          </w:p>
        </w:tc>
        <w:tc>
          <w:tcPr>
            <w:tcW w:w="1282" w:type="dxa"/>
            <w:tcBorders>
              <w:top w:val="nil"/>
              <w:left w:val="single" w:sz="4" w:space="0" w:color="000000" w:themeColor="text1"/>
              <w:bottom w:val="nil"/>
              <w:right w:val="nil"/>
            </w:tcBorders>
            <w:shd w:val="clear" w:color="auto" w:fill="auto"/>
            <w:vAlign w:val="center"/>
            <w:hideMark/>
          </w:tcPr>
          <w:p w14:paraId="1203ACC3" w14:textId="77777777" w:rsidR="00687CC5" w:rsidRPr="0098303E" w:rsidRDefault="00687CC5" w:rsidP="003C1120">
            <w:pPr>
              <w:jc w:val="center"/>
              <w:rPr>
                <w:rFonts w:ascii="Times New Roman" w:eastAsia="Times New Roman" w:hAnsi="Times New Roman" w:cs="Times New Roman"/>
                <w:sz w:val="20"/>
                <w:szCs w:val="20"/>
              </w:rPr>
            </w:pPr>
          </w:p>
        </w:tc>
      </w:tr>
      <w:tr w:rsidR="00687CC5" w:rsidRPr="0098303E" w14:paraId="3DC06FBB"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5FD82D01"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 xml:space="preserve">   Spinal</w:t>
            </w:r>
          </w:p>
        </w:tc>
        <w:tc>
          <w:tcPr>
            <w:tcW w:w="1589" w:type="dxa"/>
            <w:tcBorders>
              <w:top w:val="nil"/>
              <w:left w:val="nil"/>
              <w:bottom w:val="nil"/>
              <w:right w:val="nil"/>
            </w:tcBorders>
            <w:shd w:val="clear" w:color="auto" w:fill="auto"/>
            <w:noWrap/>
            <w:vAlign w:val="center"/>
            <w:hideMark/>
          </w:tcPr>
          <w:p w14:paraId="034360ED"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5 (0.5)</w:t>
            </w:r>
          </w:p>
        </w:tc>
        <w:tc>
          <w:tcPr>
            <w:tcW w:w="1720" w:type="dxa"/>
            <w:tcBorders>
              <w:top w:val="nil"/>
              <w:left w:val="nil"/>
              <w:bottom w:val="nil"/>
              <w:right w:val="nil"/>
            </w:tcBorders>
            <w:shd w:val="clear" w:color="auto" w:fill="auto"/>
            <w:vAlign w:val="center"/>
            <w:hideMark/>
          </w:tcPr>
          <w:p w14:paraId="4AEA043E"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4 (0.4)</w:t>
            </w:r>
          </w:p>
        </w:tc>
        <w:tc>
          <w:tcPr>
            <w:tcW w:w="237" w:type="dxa"/>
            <w:tcBorders>
              <w:top w:val="nil"/>
              <w:left w:val="nil"/>
              <w:bottom w:val="nil"/>
              <w:right w:val="nil"/>
            </w:tcBorders>
            <w:shd w:val="clear" w:color="auto" w:fill="auto"/>
            <w:vAlign w:val="center"/>
            <w:hideMark/>
          </w:tcPr>
          <w:p w14:paraId="0EB19572"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4DBEF581"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487 (54.1)</w:t>
            </w:r>
          </w:p>
        </w:tc>
        <w:tc>
          <w:tcPr>
            <w:tcW w:w="1417" w:type="dxa"/>
            <w:tcBorders>
              <w:top w:val="nil"/>
              <w:left w:val="nil"/>
              <w:bottom w:val="nil"/>
              <w:right w:val="single" w:sz="4" w:space="0" w:color="000000" w:themeColor="text1"/>
            </w:tcBorders>
            <w:shd w:val="clear" w:color="auto" w:fill="auto"/>
            <w:vAlign w:val="center"/>
            <w:hideMark/>
          </w:tcPr>
          <w:p w14:paraId="31DD2D75"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429 (51.0)</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0D25A1F2"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77C27C7B" w14:textId="77777777" w:rsidR="00687CC5" w:rsidRPr="0098303E" w:rsidRDefault="00687CC5" w:rsidP="003C1120">
            <w:pPr>
              <w:jc w:val="center"/>
              <w:rPr>
                <w:rFonts w:ascii="Times New Roman" w:eastAsia="Times New Roman" w:hAnsi="Times New Roman" w:cs="Times New Roman"/>
                <w:sz w:val="20"/>
                <w:szCs w:val="20"/>
              </w:rPr>
            </w:pPr>
          </w:p>
        </w:tc>
        <w:tc>
          <w:tcPr>
            <w:tcW w:w="1282" w:type="dxa"/>
            <w:tcBorders>
              <w:top w:val="nil"/>
              <w:left w:val="single" w:sz="4" w:space="0" w:color="000000" w:themeColor="text1"/>
              <w:bottom w:val="nil"/>
              <w:right w:val="nil"/>
            </w:tcBorders>
            <w:shd w:val="clear" w:color="auto" w:fill="auto"/>
            <w:vAlign w:val="center"/>
            <w:hideMark/>
          </w:tcPr>
          <w:p w14:paraId="7B2E6408" w14:textId="77777777" w:rsidR="00687CC5" w:rsidRPr="0098303E" w:rsidRDefault="00687CC5" w:rsidP="003C1120">
            <w:pPr>
              <w:jc w:val="center"/>
              <w:rPr>
                <w:rFonts w:ascii="Times New Roman" w:eastAsia="Times New Roman" w:hAnsi="Times New Roman" w:cs="Times New Roman"/>
                <w:sz w:val="20"/>
                <w:szCs w:val="20"/>
              </w:rPr>
            </w:pPr>
          </w:p>
        </w:tc>
      </w:tr>
      <w:tr w:rsidR="00687CC5" w:rsidRPr="0098303E" w14:paraId="7C26E7F2"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1A8B3745"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 xml:space="preserve">   Epidural</w:t>
            </w:r>
          </w:p>
        </w:tc>
        <w:tc>
          <w:tcPr>
            <w:tcW w:w="1589" w:type="dxa"/>
            <w:tcBorders>
              <w:top w:val="nil"/>
              <w:left w:val="nil"/>
              <w:bottom w:val="nil"/>
              <w:right w:val="nil"/>
            </w:tcBorders>
            <w:shd w:val="clear" w:color="auto" w:fill="auto"/>
            <w:noWrap/>
            <w:vAlign w:val="center"/>
            <w:hideMark/>
          </w:tcPr>
          <w:p w14:paraId="69D41FD7"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809 (83.7)</w:t>
            </w:r>
          </w:p>
        </w:tc>
        <w:tc>
          <w:tcPr>
            <w:tcW w:w="1720" w:type="dxa"/>
            <w:tcBorders>
              <w:top w:val="nil"/>
              <w:left w:val="nil"/>
              <w:bottom w:val="nil"/>
              <w:right w:val="nil"/>
            </w:tcBorders>
            <w:shd w:val="clear" w:color="auto" w:fill="auto"/>
            <w:vAlign w:val="center"/>
            <w:hideMark/>
          </w:tcPr>
          <w:p w14:paraId="09D669C7"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814 (86.7)</w:t>
            </w:r>
          </w:p>
        </w:tc>
        <w:tc>
          <w:tcPr>
            <w:tcW w:w="237" w:type="dxa"/>
            <w:tcBorders>
              <w:top w:val="nil"/>
              <w:left w:val="nil"/>
              <w:bottom w:val="nil"/>
              <w:right w:val="nil"/>
            </w:tcBorders>
            <w:shd w:val="clear" w:color="auto" w:fill="auto"/>
            <w:vAlign w:val="center"/>
            <w:hideMark/>
          </w:tcPr>
          <w:p w14:paraId="01A4B5A3"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26D8E67D"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359 (39.8)</w:t>
            </w:r>
          </w:p>
        </w:tc>
        <w:tc>
          <w:tcPr>
            <w:tcW w:w="1417" w:type="dxa"/>
            <w:tcBorders>
              <w:top w:val="nil"/>
              <w:left w:val="nil"/>
              <w:bottom w:val="nil"/>
              <w:right w:val="single" w:sz="4" w:space="0" w:color="000000" w:themeColor="text1"/>
            </w:tcBorders>
            <w:shd w:val="clear" w:color="auto" w:fill="auto"/>
            <w:vAlign w:val="center"/>
            <w:hideMark/>
          </w:tcPr>
          <w:p w14:paraId="6A0F0CB2"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339 (40.3)</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5E66F259"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2E6C3539" w14:textId="77777777" w:rsidR="00687CC5" w:rsidRPr="0098303E" w:rsidRDefault="00687CC5" w:rsidP="003C1120">
            <w:pPr>
              <w:jc w:val="center"/>
              <w:rPr>
                <w:rFonts w:ascii="Times New Roman" w:eastAsia="Times New Roman" w:hAnsi="Times New Roman" w:cs="Times New Roman"/>
                <w:sz w:val="20"/>
                <w:szCs w:val="20"/>
              </w:rPr>
            </w:pPr>
          </w:p>
        </w:tc>
        <w:tc>
          <w:tcPr>
            <w:tcW w:w="1282" w:type="dxa"/>
            <w:tcBorders>
              <w:top w:val="nil"/>
              <w:left w:val="single" w:sz="4" w:space="0" w:color="000000" w:themeColor="text1"/>
              <w:bottom w:val="nil"/>
              <w:right w:val="nil"/>
            </w:tcBorders>
            <w:shd w:val="clear" w:color="auto" w:fill="auto"/>
            <w:vAlign w:val="center"/>
            <w:hideMark/>
          </w:tcPr>
          <w:p w14:paraId="08428CF9" w14:textId="77777777" w:rsidR="00687CC5" w:rsidRPr="0098303E" w:rsidRDefault="00687CC5" w:rsidP="003C1120">
            <w:pPr>
              <w:jc w:val="center"/>
              <w:rPr>
                <w:rFonts w:ascii="Times New Roman" w:eastAsia="Times New Roman" w:hAnsi="Times New Roman" w:cs="Times New Roman"/>
                <w:sz w:val="20"/>
                <w:szCs w:val="20"/>
              </w:rPr>
            </w:pPr>
          </w:p>
        </w:tc>
      </w:tr>
      <w:tr w:rsidR="00687CC5" w:rsidRPr="0098303E" w14:paraId="4A8E2763"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7B9D37A8"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 xml:space="preserve">   General</w:t>
            </w:r>
          </w:p>
        </w:tc>
        <w:tc>
          <w:tcPr>
            <w:tcW w:w="1589" w:type="dxa"/>
            <w:tcBorders>
              <w:top w:val="nil"/>
              <w:left w:val="nil"/>
              <w:bottom w:val="nil"/>
              <w:right w:val="nil"/>
            </w:tcBorders>
            <w:shd w:val="clear" w:color="auto" w:fill="auto"/>
            <w:noWrap/>
            <w:vAlign w:val="center"/>
            <w:hideMark/>
          </w:tcPr>
          <w:p w14:paraId="596D14E7"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c>
          <w:tcPr>
            <w:tcW w:w="1720" w:type="dxa"/>
            <w:tcBorders>
              <w:top w:val="nil"/>
              <w:left w:val="nil"/>
              <w:bottom w:val="nil"/>
              <w:right w:val="nil"/>
            </w:tcBorders>
            <w:shd w:val="clear" w:color="auto" w:fill="auto"/>
            <w:vAlign w:val="center"/>
            <w:hideMark/>
          </w:tcPr>
          <w:p w14:paraId="48C7B8E9"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c>
          <w:tcPr>
            <w:tcW w:w="237" w:type="dxa"/>
            <w:tcBorders>
              <w:top w:val="nil"/>
              <w:left w:val="nil"/>
              <w:bottom w:val="nil"/>
              <w:right w:val="nil"/>
            </w:tcBorders>
            <w:shd w:val="clear" w:color="auto" w:fill="auto"/>
            <w:vAlign w:val="center"/>
            <w:hideMark/>
          </w:tcPr>
          <w:p w14:paraId="310D9810"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718F7A59"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1 (0.1)</w:t>
            </w:r>
          </w:p>
        </w:tc>
        <w:tc>
          <w:tcPr>
            <w:tcW w:w="1417" w:type="dxa"/>
            <w:tcBorders>
              <w:top w:val="nil"/>
              <w:left w:val="nil"/>
              <w:bottom w:val="nil"/>
              <w:right w:val="single" w:sz="4" w:space="0" w:color="000000" w:themeColor="text1"/>
            </w:tcBorders>
            <w:shd w:val="clear" w:color="auto" w:fill="auto"/>
            <w:vAlign w:val="center"/>
            <w:hideMark/>
          </w:tcPr>
          <w:p w14:paraId="28558EB0"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11 (1.3)</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754FAE35"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0CDB10E8" w14:textId="77777777" w:rsidR="00687CC5" w:rsidRPr="0098303E" w:rsidRDefault="00687CC5" w:rsidP="003C1120">
            <w:pPr>
              <w:jc w:val="center"/>
              <w:rPr>
                <w:rFonts w:ascii="Times New Roman" w:eastAsia="Times New Roman" w:hAnsi="Times New Roman" w:cs="Times New Roman"/>
                <w:sz w:val="20"/>
                <w:szCs w:val="20"/>
              </w:rPr>
            </w:pPr>
          </w:p>
        </w:tc>
        <w:tc>
          <w:tcPr>
            <w:tcW w:w="1282" w:type="dxa"/>
            <w:tcBorders>
              <w:top w:val="nil"/>
              <w:left w:val="single" w:sz="4" w:space="0" w:color="000000" w:themeColor="text1"/>
              <w:bottom w:val="nil"/>
              <w:right w:val="nil"/>
            </w:tcBorders>
            <w:shd w:val="clear" w:color="auto" w:fill="auto"/>
            <w:vAlign w:val="center"/>
            <w:hideMark/>
          </w:tcPr>
          <w:p w14:paraId="4B244C41" w14:textId="77777777" w:rsidR="00687CC5" w:rsidRPr="0098303E" w:rsidRDefault="00687CC5" w:rsidP="003C1120">
            <w:pPr>
              <w:jc w:val="center"/>
              <w:rPr>
                <w:rFonts w:ascii="Times New Roman" w:eastAsia="Times New Roman" w:hAnsi="Times New Roman" w:cs="Times New Roman"/>
                <w:sz w:val="20"/>
                <w:szCs w:val="20"/>
              </w:rPr>
            </w:pPr>
          </w:p>
        </w:tc>
      </w:tr>
      <w:tr w:rsidR="00687CC5" w:rsidRPr="0098303E" w14:paraId="3D68472B"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4A89EFA2"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 xml:space="preserve">   Local</w:t>
            </w:r>
          </w:p>
        </w:tc>
        <w:tc>
          <w:tcPr>
            <w:tcW w:w="1589" w:type="dxa"/>
            <w:tcBorders>
              <w:top w:val="nil"/>
              <w:left w:val="nil"/>
              <w:bottom w:val="nil"/>
              <w:right w:val="nil"/>
            </w:tcBorders>
            <w:shd w:val="clear" w:color="auto" w:fill="auto"/>
            <w:noWrap/>
            <w:vAlign w:val="center"/>
            <w:hideMark/>
          </w:tcPr>
          <w:p w14:paraId="28BAFE8F"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53 (5.5)</w:t>
            </w:r>
          </w:p>
        </w:tc>
        <w:tc>
          <w:tcPr>
            <w:tcW w:w="1720" w:type="dxa"/>
            <w:tcBorders>
              <w:top w:val="nil"/>
              <w:left w:val="nil"/>
              <w:bottom w:val="nil"/>
              <w:right w:val="nil"/>
            </w:tcBorders>
            <w:shd w:val="clear" w:color="auto" w:fill="auto"/>
            <w:vAlign w:val="center"/>
            <w:hideMark/>
          </w:tcPr>
          <w:p w14:paraId="28C46C39"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41 (4.4)</w:t>
            </w:r>
          </w:p>
        </w:tc>
        <w:tc>
          <w:tcPr>
            <w:tcW w:w="237" w:type="dxa"/>
            <w:tcBorders>
              <w:top w:val="nil"/>
              <w:left w:val="nil"/>
              <w:bottom w:val="nil"/>
              <w:right w:val="nil"/>
            </w:tcBorders>
            <w:shd w:val="clear" w:color="auto" w:fill="auto"/>
            <w:vAlign w:val="center"/>
            <w:hideMark/>
          </w:tcPr>
          <w:p w14:paraId="127889FF"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noWrap/>
            <w:vAlign w:val="center"/>
            <w:hideMark/>
          </w:tcPr>
          <w:p w14:paraId="3552B376"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c>
          <w:tcPr>
            <w:tcW w:w="1417" w:type="dxa"/>
            <w:tcBorders>
              <w:top w:val="nil"/>
              <w:left w:val="nil"/>
              <w:bottom w:val="nil"/>
              <w:right w:val="single" w:sz="4" w:space="0" w:color="000000" w:themeColor="text1"/>
            </w:tcBorders>
            <w:shd w:val="clear" w:color="auto" w:fill="auto"/>
            <w:noWrap/>
            <w:vAlign w:val="center"/>
            <w:hideMark/>
          </w:tcPr>
          <w:p w14:paraId="40BB75B5"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729F714D"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69CA7AED" w14:textId="77777777" w:rsidR="00687CC5" w:rsidRPr="0098303E" w:rsidRDefault="00687CC5" w:rsidP="003C1120">
            <w:pPr>
              <w:jc w:val="center"/>
              <w:rPr>
                <w:rFonts w:ascii="Times New Roman" w:eastAsia="Times New Roman" w:hAnsi="Times New Roman" w:cs="Times New Roman"/>
                <w:sz w:val="20"/>
                <w:szCs w:val="20"/>
              </w:rPr>
            </w:pPr>
          </w:p>
        </w:tc>
        <w:tc>
          <w:tcPr>
            <w:tcW w:w="1282" w:type="dxa"/>
            <w:tcBorders>
              <w:top w:val="nil"/>
              <w:left w:val="single" w:sz="4" w:space="0" w:color="000000" w:themeColor="text1"/>
              <w:bottom w:val="nil"/>
              <w:right w:val="nil"/>
            </w:tcBorders>
            <w:shd w:val="clear" w:color="auto" w:fill="auto"/>
            <w:vAlign w:val="center"/>
            <w:hideMark/>
          </w:tcPr>
          <w:p w14:paraId="17DABBEE" w14:textId="77777777" w:rsidR="00687CC5" w:rsidRPr="0098303E" w:rsidRDefault="00687CC5" w:rsidP="003C1120">
            <w:pPr>
              <w:jc w:val="center"/>
              <w:rPr>
                <w:rFonts w:ascii="Times New Roman" w:eastAsia="Times New Roman" w:hAnsi="Times New Roman" w:cs="Times New Roman"/>
                <w:sz w:val="20"/>
                <w:szCs w:val="20"/>
              </w:rPr>
            </w:pPr>
          </w:p>
        </w:tc>
      </w:tr>
      <w:tr w:rsidR="00687CC5" w:rsidRPr="0098303E" w14:paraId="7C9883D3"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647F0ED1"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 xml:space="preserve">   Other</w:t>
            </w:r>
          </w:p>
        </w:tc>
        <w:tc>
          <w:tcPr>
            <w:tcW w:w="1589" w:type="dxa"/>
            <w:tcBorders>
              <w:top w:val="nil"/>
              <w:left w:val="nil"/>
              <w:bottom w:val="nil"/>
              <w:right w:val="nil"/>
            </w:tcBorders>
            <w:shd w:val="clear" w:color="auto" w:fill="auto"/>
            <w:noWrap/>
            <w:vAlign w:val="center"/>
            <w:hideMark/>
          </w:tcPr>
          <w:p w14:paraId="79684BBA"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3 (0.3)</w:t>
            </w:r>
          </w:p>
        </w:tc>
        <w:tc>
          <w:tcPr>
            <w:tcW w:w="1720" w:type="dxa"/>
            <w:tcBorders>
              <w:top w:val="nil"/>
              <w:left w:val="nil"/>
              <w:bottom w:val="nil"/>
              <w:right w:val="nil"/>
            </w:tcBorders>
            <w:shd w:val="clear" w:color="auto" w:fill="auto"/>
            <w:vAlign w:val="center"/>
            <w:hideMark/>
          </w:tcPr>
          <w:p w14:paraId="312E1CAD"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5 (0.5)</w:t>
            </w:r>
          </w:p>
        </w:tc>
        <w:tc>
          <w:tcPr>
            <w:tcW w:w="237" w:type="dxa"/>
            <w:tcBorders>
              <w:top w:val="nil"/>
              <w:left w:val="nil"/>
              <w:bottom w:val="nil"/>
              <w:right w:val="nil"/>
            </w:tcBorders>
            <w:shd w:val="clear" w:color="auto" w:fill="auto"/>
            <w:vAlign w:val="center"/>
            <w:hideMark/>
          </w:tcPr>
          <w:p w14:paraId="510EE74C"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vAlign w:val="center"/>
            <w:hideMark/>
          </w:tcPr>
          <w:p w14:paraId="43CC2F44"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1 (0.2)</w:t>
            </w:r>
          </w:p>
        </w:tc>
        <w:tc>
          <w:tcPr>
            <w:tcW w:w="1417" w:type="dxa"/>
            <w:tcBorders>
              <w:top w:val="nil"/>
              <w:left w:val="nil"/>
              <w:bottom w:val="nil"/>
              <w:right w:val="single" w:sz="4" w:space="0" w:color="000000" w:themeColor="text1"/>
            </w:tcBorders>
            <w:shd w:val="clear" w:color="auto" w:fill="auto"/>
            <w:vAlign w:val="center"/>
            <w:hideMark/>
          </w:tcPr>
          <w:p w14:paraId="0B3E29AF"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14 (1.7)</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6AD1DA37"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0FAD604D" w14:textId="77777777" w:rsidR="00687CC5" w:rsidRPr="0098303E" w:rsidRDefault="00687CC5" w:rsidP="003C1120">
            <w:pPr>
              <w:jc w:val="center"/>
              <w:rPr>
                <w:rFonts w:ascii="Times New Roman" w:eastAsia="Times New Roman" w:hAnsi="Times New Roman" w:cs="Times New Roman"/>
                <w:sz w:val="20"/>
                <w:szCs w:val="20"/>
              </w:rPr>
            </w:pPr>
          </w:p>
        </w:tc>
        <w:tc>
          <w:tcPr>
            <w:tcW w:w="1282" w:type="dxa"/>
            <w:tcBorders>
              <w:top w:val="nil"/>
              <w:left w:val="single" w:sz="4" w:space="0" w:color="000000" w:themeColor="text1"/>
              <w:bottom w:val="nil"/>
              <w:right w:val="nil"/>
            </w:tcBorders>
            <w:shd w:val="clear" w:color="auto" w:fill="auto"/>
            <w:vAlign w:val="center"/>
            <w:hideMark/>
          </w:tcPr>
          <w:p w14:paraId="0954283E" w14:textId="77777777" w:rsidR="00687CC5" w:rsidRPr="0098303E" w:rsidRDefault="00687CC5" w:rsidP="003C1120">
            <w:pPr>
              <w:jc w:val="center"/>
              <w:rPr>
                <w:rFonts w:ascii="Times New Roman" w:eastAsia="Times New Roman" w:hAnsi="Times New Roman" w:cs="Times New Roman"/>
                <w:sz w:val="20"/>
                <w:szCs w:val="20"/>
              </w:rPr>
            </w:pPr>
          </w:p>
        </w:tc>
      </w:tr>
      <w:tr w:rsidR="00687CC5" w:rsidRPr="0098303E" w14:paraId="087407CD" w14:textId="77777777" w:rsidTr="003C1120">
        <w:trPr>
          <w:trHeight w:val="300"/>
          <w:jc w:val="center"/>
        </w:trPr>
        <w:tc>
          <w:tcPr>
            <w:tcW w:w="3146" w:type="dxa"/>
            <w:tcBorders>
              <w:top w:val="nil"/>
              <w:left w:val="nil"/>
              <w:bottom w:val="nil"/>
              <w:right w:val="nil"/>
            </w:tcBorders>
            <w:shd w:val="clear" w:color="auto" w:fill="auto"/>
            <w:noWrap/>
            <w:vAlign w:val="center"/>
            <w:hideMark/>
          </w:tcPr>
          <w:p w14:paraId="0206236D"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 xml:space="preserve">   None</w:t>
            </w:r>
          </w:p>
        </w:tc>
        <w:tc>
          <w:tcPr>
            <w:tcW w:w="1589" w:type="dxa"/>
            <w:tcBorders>
              <w:top w:val="nil"/>
              <w:left w:val="nil"/>
              <w:bottom w:val="nil"/>
              <w:right w:val="nil"/>
            </w:tcBorders>
            <w:shd w:val="clear" w:color="auto" w:fill="auto"/>
            <w:noWrap/>
            <w:vAlign w:val="center"/>
            <w:hideMark/>
          </w:tcPr>
          <w:p w14:paraId="4089C41F"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81 (8.4)</w:t>
            </w:r>
          </w:p>
        </w:tc>
        <w:tc>
          <w:tcPr>
            <w:tcW w:w="1720" w:type="dxa"/>
            <w:tcBorders>
              <w:top w:val="nil"/>
              <w:left w:val="nil"/>
              <w:bottom w:val="nil"/>
              <w:right w:val="nil"/>
            </w:tcBorders>
            <w:shd w:val="clear" w:color="auto" w:fill="auto"/>
            <w:vAlign w:val="center"/>
            <w:hideMark/>
          </w:tcPr>
          <w:p w14:paraId="0035A399"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73 (7.8)</w:t>
            </w:r>
          </w:p>
        </w:tc>
        <w:tc>
          <w:tcPr>
            <w:tcW w:w="237" w:type="dxa"/>
            <w:tcBorders>
              <w:top w:val="nil"/>
              <w:left w:val="nil"/>
              <w:bottom w:val="nil"/>
              <w:right w:val="nil"/>
            </w:tcBorders>
            <w:shd w:val="clear" w:color="auto" w:fill="auto"/>
            <w:vAlign w:val="center"/>
            <w:hideMark/>
          </w:tcPr>
          <w:p w14:paraId="24D1CFE4"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noWrap/>
            <w:vAlign w:val="center"/>
            <w:hideMark/>
          </w:tcPr>
          <w:p w14:paraId="20213739"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c>
          <w:tcPr>
            <w:tcW w:w="1417" w:type="dxa"/>
            <w:tcBorders>
              <w:top w:val="nil"/>
              <w:left w:val="nil"/>
              <w:bottom w:val="nil"/>
              <w:right w:val="single" w:sz="4" w:space="0" w:color="000000" w:themeColor="text1"/>
            </w:tcBorders>
            <w:shd w:val="clear" w:color="auto" w:fill="auto"/>
            <w:noWrap/>
            <w:vAlign w:val="center"/>
            <w:hideMark/>
          </w:tcPr>
          <w:p w14:paraId="35503BF5"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c>
          <w:tcPr>
            <w:tcW w:w="993" w:type="dxa"/>
            <w:tcBorders>
              <w:top w:val="nil"/>
              <w:left w:val="single" w:sz="4" w:space="0" w:color="000000" w:themeColor="text1"/>
              <w:bottom w:val="nil"/>
              <w:right w:val="single" w:sz="4" w:space="0" w:color="000000" w:themeColor="text1"/>
            </w:tcBorders>
            <w:shd w:val="clear" w:color="auto" w:fill="auto"/>
            <w:vAlign w:val="center"/>
            <w:hideMark/>
          </w:tcPr>
          <w:p w14:paraId="6218ECF6"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714773BA" w14:textId="77777777" w:rsidR="00687CC5" w:rsidRPr="0098303E" w:rsidRDefault="00687CC5" w:rsidP="003C1120">
            <w:pPr>
              <w:jc w:val="center"/>
              <w:rPr>
                <w:rFonts w:ascii="Times New Roman" w:eastAsia="Times New Roman" w:hAnsi="Times New Roman" w:cs="Times New Roman"/>
                <w:sz w:val="20"/>
                <w:szCs w:val="20"/>
              </w:rPr>
            </w:pPr>
          </w:p>
        </w:tc>
        <w:tc>
          <w:tcPr>
            <w:tcW w:w="1282" w:type="dxa"/>
            <w:tcBorders>
              <w:top w:val="nil"/>
              <w:left w:val="single" w:sz="4" w:space="0" w:color="000000" w:themeColor="text1"/>
              <w:bottom w:val="nil"/>
              <w:right w:val="nil"/>
            </w:tcBorders>
            <w:shd w:val="clear" w:color="auto" w:fill="auto"/>
            <w:vAlign w:val="center"/>
            <w:hideMark/>
          </w:tcPr>
          <w:p w14:paraId="5D2FA905" w14:textId="77777777" w:rsidR="00687CC5" w:rsidRPr="0098303E" w:rsidRDefault="00687CC5" w:rsidP="003C1120">
            <w:pPr>
              <w:jc w:val="center"/>
              <w:rPr>
                <w:rFonts w:ascii="Times New Roman" w:eastAsia="Times New Roman" w:hAnsi="Times New Roman" w:cs="Times New Roman"/>
                <w:sz w:val="20"/>
                <w:szCs w:val="20"/>
              </w:rPr>
            </w:pPr>
          </w:p>
        </w:tc>
      </w:tr>
      <w:tr w:rsidR="00687CC5" w:rsidRPr="0098303E" w14:paraId="15FECD9A" w14:textId="77777777" w:rsidTr="003C1120">
        <w:trPr>
          <w:trHeight w:val="320"/>
          <w:jc w:val="center"/>
        </w:trPr>
        <w:tc>
          <w:tcPr>
            <w:tcW w:w="3146" w:type="dxa"/>
            <w:tcBorders>
              <w:top w:val="nil"/>
              <w:left w:val="nil"/>
              <w:bottom w:val="nil"/>
              <w:right w:val="nil"/>
            </w:tcBorders>
            <w:shd w:val="clear" w:color="auto" w:fill="auto"/>
            <w:noWrap/>
            <w:vAlign w:val="center"/>
            <w:hideMark/>
          </w:tcPr>
          <w:p w14:paraId="665BF4EC" w14:textId="77777777" w:rsidR="00687CC5" w:rsidRPr="0098303E" w:rsidRDefault="00687CC5" w:rsidP="003C1120">
            <w:pPr>
              <w:jc w:val="both"/>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Oxytocin administration, n (%)</w:t>
            </w:r>
          </w:p>
        </w:tc>
        <w:tc>
          <w:tcPr>
            <w:tcW w:w="1589" w:type="dxa"/>
            <w:tcBorders>
              <w:top w:val="nil"/>
              <w:left w:val="nil"/>
              <w:bottom w:val="nil"/>
              <w:right w:val="nil"/>
            </w:tcBorders>
            <w:shd w:val="clear" w:color="auto" w:fill="auto"/>
            <w:noWrap/>
            <w:vAlign w:val="center"/>
            <w:hideMark/>
          </w:tcPr>
          <w:p w14:paraId="70CFFD70"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964 (99.7)</w:t>
            </w:r>
          </w:p>
        </w:tc>
        <w:tc>
          <w:tcPr>
            <w:tcW w:w="1720" w:type="dxa"/>
            <w:tcBorders>
              <w:top w:val="nil"/>
              <w:left w:val="nil"/>
              <w:bottom w:val="nil"/>
              <w:right w:val="nil"/>
            </w:tcBorders>
            <w:shd w:val="clear" w:color="auto" w:fill="auto"/>
            <w:vAlign w:val="center"/>
            <w:hideMark/>
          </w:tcPr>
          <w:p w14:paraId="763AAD9E"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937.3 (99.9)</w:t>
            </w:r>
          </w:p>
        </w:tc>
        <w:tc>
          <w:tcPr>
            <w:tcW w:w="237" w:type="dxa"/>
            <w:tcBorders>
              <w:top w:val="nil"/>
              <w:left w:val="nil"/>
              <w:bottom w:val="nil"/>
              <w:right w:val="nil"/>
            </w:tcBorders>
            <w:shd w:val="clear" w:color="auto" w:fill="auto"/>
            <w:vAlign w:val="center"/>
            <w:hideMark/>
          </w:tcPr>
          <w:p w14:paraId="44237105" w14:textId="77777777" w:rsidR="00687CC5" w:rsidRPr="0098303E" w:rsidRDefault="00687CC5" w:rsidP="003C1120">
            <w:pPr>
              <w:jc w:val="center"/>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noWrap/>
            <w:vAlign w:val="center"/>
            <w:hideMark/>
          </w:tcPr>
          <w:p w14:paraId="1EB3B8F1"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c>
          <w:tcPr>
            <w:tcW w:w="1417" w:type="dxa"/>
            <w:tcBorders>
              <w:top w:val="nil"/>
              <w:left w:val="nil"/>
              <w:bottom w:val="nil"/>
              <w:right w:val="single" w:sz="4" w:space="0" w:color="000000" w:themeColor="text1"/>
            </w:tcBorders>
            <w:shd w:val="clear" w:color="auto" w:fill="auto"/>
            <w:noWrap/>
            <w:vAlign w:val="center"/>
            <w:hideMark/>
          </w:tcPr>
          <w:p w14:paraId="6FCAAD25"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c>
          <w:tcPr>
            <w:tcW w:w="993" w:type="dxa"/>
            <w:tcBorders>
              <w:top w:val="nil"/>
              <w:left w:val="single" w:sz="4" w:space="0" w:color="000000" w:themeColor="text1"/>
              <w:bottom w:val="nil"/>
              <w:right w:val="single" w:sz="4" w:space="0" w:color="000000" w:themeColor="text1"/>
            </w:tcBorders>
            <w:shd w:val="clear" w:color="auto" w:fill="auto"/>
            <w:noWrap/>
            <w:vAlign w:val="center"/>
            <w:hideMark/>
          </w:tcPr>
          <w:p w14:paraId="4D615C1A"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c>
          <w:tcPr>
            <w:tcW w:w="1553" w:type="dxa"/>
            <w:tcBorders>
              <w:top w:val="nil"/>
              <w:left w:val="single" w:sz="4" w:space="0" w:color="000000" w:themeColor="text1"/>
              <w:bottom w:val="nil"/>
              <w:right w:val="single" w:sz="4" w:space="0" w:color="000000" w:themeColor="text1"/>
            </w:tcBorders>
            <w:shd w:val="clear" w:color="auto" w:fill="auto"/>
            <w:noWrap/>
            <w:vAlign w:val="center"/>
            <w:hideMark/>
          </w:tcPr>
          <w:p w14:paraId="2B172E6F"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N/A</w:t>
            </w:r>
            <w:r w:rsidRPr="00784303">
              <w:rPr>
                <w:rFonts w:ascii="Times New Roman" w:eastAsia="Times New Roman" w:hAnsi="Times New Roman" w:cs="Times New Roman"/>
                <w:color w:val="000000"/>
                <w:sz w:val="20"/>
                <w:szCs w:val="20"/>
                <w:vertAlign w:val="superscript"/>
              </w:rPr>
              <w:t>d</w:t>
            </w:r>
          </w:p>
        </w:tc>
        <w:tc>
          <w:tcPr>
            <w:tcW w:w="1282" w:type="dxa"/>
            <w:tcBorders>
              <w:top w:val="nil"/>
              <w:left w:val="single" w:sz="4" w:space="0" w:color="000000" w:themeColor="text1"/>
              <w:bottom w:val="nil"/>
              <w:right w:val="nil"/>
            </w:tcBorders>
            <w:shd w:val="clear" w:color="auto" w:fill="auto"/>
            <w:noWrap/>
            <w:vAlign w:val="center"/>
            <w:hideMark/>
          </w:tcPr>
          <w:p w14:paraId="335D1BC3" w14:textId="77777777" w:rsidR="00687CC5" w:rsidRPr="0098303E" w:rsidRDefault="00687CC5" w:rsidP="003C1120">
            <w:pPr>
              <w:jc w:val="center"/>
              <w:rPr>
                <w:rFonts w:ascii="Times New Roman" w:eastAsia="Times New Roman" w:hAnsi="Times New Roman" w:cs="Times New Roman"/>
                <w:color w:val="000000"/>
                <w:sz w:val="20"/>
                <w:szCs w:val="20"/>
              </w:rPr>
            </w:pPr>
            <w:r w:rsidRPr="0098303E">
              <w:rPr>
                <w:rFonts w:ascii="Times New Roman" w:eastAsia="Times New Roman" w:hAnsi="Times New Roman" w:cs="Times New Roman"/>
                <w:color w:val="000000"/>
                <w:sz w:val="20"/>
                <w:szCs w:val="20"/>
              </w:rPr>
              <w:t>…</w:t>
            </w:r>
          </w:p>
        </w:tc>
      </w:tr>
      <w:tr w:rsidR="00687CC5" w:rsidRPr="0098303E" w14:paraId="0E98F8BC" w14:textId="77777777" w:rsidTr="003C1120">
        <w:trPr>
          <w:trHeight w:val="1050"/>
          <w:jc w:val="center"/>
        </w:trPr>
        <w:tc>
          <w:tcPr>
            <w:tcW w:w="13467" w:type="dxa"/>
            <w:gridSpan w:val="9"/>
            <w:tcBorders>
              <w:top w:val="single" w:sz="12" w:space="0" w:color="auto"/>
              <w:left w:val="nil"/>
              <w:bottom w:val="nil"/>
              <w:right w:val="nil"/>
            </w:tcBorders>
            <w:shd w:val="clear" w:color="auto" w:fill="auto"/>
            <w:vAlign w:val="center"/>
            <w:hideMark/>
          </w:tcPr>
          <w:p w14:paraId="6B22448A" w14:textId="77777777" w:rsidR="00687CC5" w:rsidRPr="00784303" w:rsidRDefault="00687CC5" w:rsidP="003C1120">
            <w:pPr>
              <w:jc w:val="both"/>
              <w:rPr>
                <w:rFonts w:ascii="Times New Roman" w:eastAsia="Times New Roman" w:hAnsi="Times New Roman" w:cs="Times New Roman"/>
                <w:color w:val="000000"/>
                <w:sz w:val="18"/>
                <w:szCs w:val="18"/>
              </w:rPr>
            </w:pPr>
            <w:r w:rsidRPr="00784303">
              <w:rPr>
                <w:rFonts w:ascii="Times New Roman" w:eastAsia="Times New Roman" w:hAnsi="Times New Roman" w:cs="Times New Roman"/>
                <w:color w:val="000000"/>
                <w:sz w:val="18"/>
                <w:szCs w:val="18"/>
              </w:rPr>
              <w:lastRenderedPageBreak/>
              <w:t>Abbreviations: BMI, body mass index; CD, cesarean deliveries (the control series); CSE, combined spinal and epidural anesthesia; HCT, Hematocrit; SD, standard deviation; tBL, gravimetric and volumetric estimation of blood loss; vBL, visual estimation of blood loss; VD, vaginal deliveries (the intervention series).</w:t>
            </w:r>
          </w:p>
          <w:p w14:paraId="1CAC59CC" w14:textId="77777777" w:rsidR="00687CC5" w:rsidRPr="00784303" w:rsidRDefault="00687CC5" w:rsidP="003C1120">
            <w:pPr>
              <w:jc w:val="both"/>
              <w:rPr>
                <w:rFonts w:ascii="Times New Roman" w:eastAsia="Times New Roman" w:hAnsi="Times New Roman" w:cs="Times New Roman"/>
                <w:color w:val="000000"/>
                <w:sz w:val="18"/>
                <w:szCs w:val="18"/>
              </w:rPr>
            </w:pPr>
          </w:p>
          <w:p w14:paraId="1AFD9DBC" w14:textId="77777777" w:rsidR="00687CC5" w:rsidRPr="00784303" w:rsidRDefault="00687CC5" w:rsidP="003C1120">
            <w:pPr>
              <w:jc w:val="both"/>
              <w:rPr>
                <w:rFonts w:ascii="Times New Roman" w:eastAsia="Times New Roman" w:hAnsi="Times New Roman" w:cs="Times New Roman"/>
                <w:color w:val="000000"/>
                <w:sz w:val="18"/>
                <w:szCs w:val="18"/>
              </w:rPr>
            </w:pPr>
            <w:r w:rsidRPr="00784303">
              <w:rPr>
                <w:rFonts w:ascii="Times New Roman" w:eastAsia="Times New Roman" w:hAnsi="Times New Roman" w:cs="Times New Roman"/>
                <w:iCs/>
                <w:color w:val="000000"/>
                <w:sz w:val="18"/>
                <w:szCs w:val="18"/>
                <w:vertAlign w:val="superscript"/>
              </w:rPr>
              <w:t>a</w:t>
            </w:r>
            <w:r w:rsidRPr="00784303">
              <w:rPr>
                <w:rFonts w:ascii="Times New Roman" w:eastAsia="Times New Roman" w:hAnsi="Times New Roman" w:cs="Times New Roman"/>
                <w:color w:val="000000"/>
                <w:sz w:val="18"/>
                <w:szCs w:val="18"/>
              </w:rPr>
              <w:t xml:space="preserve">Deliveries weighted based on similarity to vaginal deliveries pretransition using inverse probability of treatment weights. </w:t>
            </w:r>
          </w:p>
        </w:tc>
      </w:tr>
      <w:tr w:rsidR="00687CC5" w:rsidRPr="0098303E" w14:paraId="76B532A7" w14:textId="77777777" w:rsidTr="003C1120">
        <w:trPr>
          <w:trHeight w:val="320"/>
          <w:jc w:val="center"/>
        </w:trPr>
        <w:tc>
          <w:tcPr>
            <w:tcW w:w="13467" w:type="dxa"/>
            <w:gridSpan w:val="9"/>
            <w:tcBorders>
              <w:top w:val="nil"/>
              <w:left w:val="nil"/>
              <w:bottom w:val="nil"/>
              <w:right w:val="nil"/>
            </w:tcBorders>
            <w:shd w:val="clear" w:color="auto" w:fill="auto"/>
            <w:noWrap/>
            <w:vAlign w:val="center"/>
            <w:hideMark/>
          </w:tcPr>
          <w:p w14:paraId="1D8B0A0F" w14:textId="77777777" w:rsidR="00687CC5" w:rsidRPr="00784303" w:rsidRDefault="00687CC5" w:rsidP="003C1120">
            <w:pPr>
              <w:jc w:val="both"/>
              <w:rPr>
                <w:rFonts w:ascii="Times New Roman" w:eastAsia="Times New Roman" w:hAnsi="Times New Roman" w:cs="Times New Roman"/>
                <w:i/>
                <w:iCs/>
                <w:color w:val="000000"/>
                <w:sz w:val="18"/>
                <w:szCs w:val="18"/>
              </w:rPr>
            </w:pPr>
            <w:r w:rsidRPr="00784303">
              <w:rPr>
                <w:rFonts w:ascii="Times New Roman" w:eastAsia="Times New Roman" w:hAnsi="Times New Roman" w:cs="Times New Roman"/>
                <w:i/>
                <w:iCs/>
                <w:color w:val="000000"/>
                <w:sz w:val="18"/>
                <w:szCs w:val="18"/>
                <w:vertAlign w:val="superscript"/>
              </w:rPr>
              <w:t>b</w:t>
            </w:r>
            <w:r w:rsidRPr="00784303">
              <w:rPr>
                <w:rFonts w:ascii="Times New Roman" w:eastAsia="Times New Roman" w:hAnsi="Times New Roman" w:cs="Times New Roman"/>
                <w:color w:val="000000"/>
                <w:sz w:val="18"/>
                <w:szCs w:val="18"/>
              </w:rPr>
              <w:t>Sum of weights.</w:t>
            </w:r>
          </w:p>
          <w:p w14:paraId="7A0D990B" w14:textId="77777777" w:rsidR="00687CC5" w:rsidRPr="00784303" w:rsidRDefault="00687CC5" w:rsidP="003C1120">
            <w:pPr>
              <w:jc w:val="both"/>
              <w:rPr>
                <w:rFonts w:ascii="Times New Roman" w:eastAsia="Times New Roman" w:hAnsi="Times New Roman" w:cs="Times New Roman"/>
                <w:i/>
                <w:iCs/>
                <w:color w:val="000000"/>
                <w:sz w:val="18"/>
                <w:szCs w:val="18"/>
              </w:rPr>
            </w:pPr>
            <w:r w:rsidRPr="00784303">
              <w:rPr>
                <w:rFonts w:ascii="Times New Roman" w:eastAsia="Times New Roman" w:hAnsi="Times New Roman" w:cs="Times New Roman"/>
                <w:color w:val="000000"/>
                <w:sz w:val="18"/>
                <w:szCs w:val="18"/>
                <w:vertAlign w:val="superscript"/>
              </w:rPr>
              <w:t>c</w:t>
            </w:r>
            <w:r w:rsidRPr="00784303">
              <w:rPr>
                <w:rFonts w:ascii="Times New Roman" w:eastAsia="Times New Roman" w:hAnsi="Times New Roman" w:cs="Times New Roman"/>
                <w:i/>
                <w:iCs/>
                <w:color w:val="000000"/>
                <w:sz w:val="18"/>
                <w:szCs w:val="18"/>
              </w:rPr>
              <w:t>P</w:t>
            </w:r>
            <w:r w:rsidRPr="00784303">
              <w:rPr>
                <w:rFonts w:ascii="Times New Roman" w:eastAsia="Times New Roman" w:hAnsi="Times New Roman" w:cs="Times New Roman"/>
                <w:color w:val="000000"/>
                <w:sz w:val="18"/>
                <w:szCs w:val="18"/>
              </w:rPr>
              <w:t xml:space="preserve"> values correspond to weighted analysis of variance and weighted 2-sample </w:t>
            </w:r>
            <w:r w:rsidRPr="00784303">
              <w:rPr>
                <w:rFonts w:ascii="Times New Roman" w:eastAsia="Times New Roman" w:hAnsi="Times New Roman" w:cs="Times New Roman"/>
                <w:i/>
                <w:iCs/>
                <w:color w:val="000000"/>
                <w:sz w:val="18"/>
                <w:szCs w:val="18"/>
              </w:rPr>
              <w:t>t</w:t>
            </w:r>
            <w:r w:rsidRPr="00784303">
              <w:rPr>
                <w:rFonts w:ascii="Times New Roman" w:eastAsia="Times New Roman" w:hAnsi="Times New Roman" w:cs="Times New Roman"/>
                <w:color w:val="000000"/>
                <w:sz w:val="18"/>
                <w:szCs w:val="18"/>
              </w:rPr>
              <w:t xml:space="preserve">-tests for continuous variables and weighted </w:t>
            </w:r>
            <w:r w:rsidRPr="00784303">
              <w:rPr>
                <w:rFonts w:ascii="Times New Roman" w:eastAsia="HGGothicE" w:hAnsi="Times New Roman" w:cs="Times New Roman" w:hint="eastAsia"/>
                <w:color w:val="000000"/>
                <w:sz w:val="18"/>
                <w:szCs w:val="18"/>
              </w:rPr>
              <w:t>χ</w:t>
            </w:r>
            <w:r w:rsidRPr="00784303">
              <w:rPr>
                <w:rFonts w:ascii="Times New Roman" w:eastAsia="Times New Roman" w:hAnsi="Times New Roman" w:cs="Times New Roman"/>
                <w:color w:val="000000"/>
                <w:sz w:val="18"/>
                <w:szCs w:val="18"/>
                <w:vertAlign w:val="superscript"/>
              </w:rPr>
              <w:t>2</w:t>
            </w:r>
            <w:r w:rsidRPr="00784303">
              <w:rPr>
                <w:rFonts w:ascii="Times New Roman" w:eastAsia="Times New Roman" w:hAnsi="Times New Roman" w:cs="Times New Roman"/>
                <w:color w:val="000000"/>
                <w:sz w:val="18"/>
                <w:szCs w:val="18"/>
              </w:rPr>
              <w:t xml:space="preserve"> tests for categorical variables.</w:t>
            </w:r>
          </w:p>
        </w:tc>
      </w:tr>
      <w:tr w:rsidR="00687CC5" w:rsidRPr="0098303E" w14:paraId="65896753" w14:textId="77777777" w:rsidTr="003C1120">
        <w:trPr>
          <w:trHeight w:val="320"/>
          <w:jc w:val="center"/>
        </w:trPr>
        <w:tc>
          <w:tcPr>
            <w:tcW w:w="13467" w:type="dxa"/>
            <w:gridSpan w:val="9"/>
            <w:tcBorders>
              <w:top w:val="nil"/>
              <w:left w:val="nil"/>
              <w:bottom w:val="nil"/>
              <w:right w:val="nil"/>
            </w:tcBorders>
            <w:shd w:val="clear" w:color="auto" w:fill="auto"/>
            <w:noWrap/>
            <w:vAlign w:val="center"/>
          </w:tcPr>
          <w:p w14:paraId="20653405" w14:textId="77777777" w:rsidR="00687CC5" w:rsidRPr="00784303" w:rsidRDefault="00687CC5" w:rsidP="003C1120">
            <w:pPr>
              <w:jc w:val="both"/>
              <w:rPr>
                <w:rFonts w:ascii="Times New Roman" w:eastAsia="Times New Roman" w:hAnsi="Times New Roman" w:cs="Times New Roman"/>
                <w:color w:val="000000"/>
                <w:sz w:val="18"/>
                <w:szCs w:val="18"/>
              </w:rPr>
            </w:pPr>
            <w:r w:rsidRPr="00784303">
              <w:rPr>
                <w:rFonts w:ascii="Times New Roman" w:eastAsia="Times New Roman" w:hAnsi="Times New Roman" w:cs="Times New Roman"/>
                <w:color w:val="000000"/>
                <w:sz w:val="18"/>
                <w:szCs w:val="18"/>
                <w:vertAlign w:val="superscript"/>
              </w:rPr>
              <w:t>d</w:t>
            </w:r>
            <w:r w:rsidRPr="00784303">
              <w:rPr>
                <w:rFonts w:ascii="Times New Roman" w:eastAsia="Times New Roman" w:hAnsi="Times New Roman" w:cs="Times New Roman"/>
                <w:color w:val="000000"/>
                <w:sz w:val="18"/>
                <w:szCs w:val="18"/>
              </w:rPr>
              <w:t>Fisher exact tests could not be performed with non-integer counts.</w:t>
            </w:r>
          </w:p>
        </w:tc>
      </w:tr>
    </w:tbl>
    <w:p w14:paraId="634DCE3E" w14:textId="77777777" w:rsidR="00687CC5" w:rsidRPr="00E5616D" w:rsidRDefault="00687CC5" w:rsidP="00687CC5">
      <w:pPr>
        <w:jc w:val="both"/>
        <w:rPr>
          <w:rFonts w:ascii="Times New Roman" w:hAnsi="Times New Roman" w:cs="Times New Roman"/>
        </w:rPr>
      </w:pPr>
    </w:p>
    <w:p w14:paraId="3AEDFA5D" w14:textId="77777777" w:rsidR="00687CC5" w:rsidRDefault="00687CC5" w:rsidP="00687CC5">
      <w:r>
        <w:br w:type="page"/>
      </w:r>
    </w:p>
    <w:p w14:paraId="192AB9C2" w14:textId="77777777" w:rsidR="00687CC5" w:rsidRDefault="00687CC5" w:rsidP="007C03E6">
      <w:pPr>
        <w:pStyle w:val="NormalWeb"/>
        <w:rPr>
          <w:b/>
          <w:bCs/>
          <w:color w:val="000000" w:themeColor="text1"/>
          <w:sz w:val="20"/>
          <w:szCs w:val="20"/>
        </w:rPr>
      </w:pPr>
    </w:p>
    <w:p w14:paraId="11A396CD" w14:textId="1CC8C748" w:rsidR="00A3795B" w:rsidRPr="007C03E6" w:rsidRDefault="00A3795B" w:rsidP="007C03E6">
      <w:pPr>
        <w:pStyle w:val="NormalWeb"/>
        <w:rPr>
          <w:color w:val="FFFFFF"/>
          <w:sz w:val="20"/>
          <w:szCs w:val="20"/>
        </w:rPr>
      </w:pPr>
      <w:r w:rsidRPr="007C03E6">
        <w:rPr>
          <w:b/>
          <w:bCs/>
          <w:color w:val="000000" w:themeColor="text1"/>
          <w:sz w:val="20"/>
          <w:szCs w:val="20"/>
        </w:rPr>
        <w:t>Supplementa</w:t>
      </w:r>
      <w:r w:rsidR="00CA0F67">
        <w:rPr>
          <w:b/>
          <w:bCs/>
          <w:color w:val="000000" w:themeColor="text1"/>
          <w:sz w:val="20"/>
          <w:szCs w:val="20"/>
        </w:rPr>
        <w:t>l</w:t>
      </w:r>
      <w:r w:rsidRPr="007C03E6">
        <w:rPr>
          <w:b/>
          <w:bCs/>
          <w:color w:val="000000" w:themeColor="text1"/>
          <w:sz w:val="20"/>
          <w:szCs w:val="20"/>
        </w:rPr>
        <w:t xml:space="preserve"> Table 2.</w:t>
      </w:r>
      <w:r w:rsidRPr="007C03E6">
        <w:rPr>
          <w:color w:val="000000" w:themeColor="text1"/>
          <w:sz w:val="20"/>
          <w:szCs w:val="20"/>
        </w:rPr>
        <w:t xml:space="preserve"> </w:t>
      </w:r>
      <w:r w:rsidR="002D7950" w:rsidRPr="007C03E6">
        <w:rPr>
          <w:color w:val="000000" w:themeColor="text1"/>
          <w:sz w:val="20"/>
          <w:szCs w:val="20"/>
        </w:rPr>
        <w:t xml:space="preserve">Sensitivity </w:t>
      </w:r>
      <w:r w:rsidR="007C03E6" w:rsidRPr="007C03E6">
        <w:rPr>
          <w:color w:val="000000" w:themeColor="text1"/>
          <w:sz w:val="20"/>
          <w:szCs w:val="20"/>
        </w:rPr>
        <w:t>A</w:t>
      </w:r>
      <w:r w:rsidR="002D7950" w:rsidRPr="007C03E6">
        <w:rPr>
          <w:color w:val="000000" w:themeColor="text1"/>
          <w:sz w:val="20"/>
          <w:szCs w:val="20"/>
        </w:rPr>
        <w:t xml:space="preserve">nalyses </w:t>
      </w:r>
      <w:r w:rsidR="00A638F6" w:rsidRPr="007C03E6">
        <w:rPr>
          <w:color w:val="000000" w:themeColor="text1"/>
          <w:sz w:val="20"/>
          <w:szCs w:val="20"/>
        </w:rPr>
        <w:t xml:space="preserve">for </w:t>
      </w:r>
      <w:r w:rsidR="007C03E6" w:rsidRPr="007C03E6">
        <w:rPr>
          <w:color w:val="000000" w:themeColor="text1"/>
          <w:sz w:val="20"/>
          <w:szCs w:val="20"/>
        </w:rPr>
        <w:t>Changes in Outcome Levels for VD (Intervention Series) and CD (Control Series) Immediately After Completion of Transition From Visual to Quantitative Blood Loss Estimation for Vaginal Births</w:t>
      </w:r>
      <w:r w:rsidR="007C03E6" w:rsidRPr="007C03E6">
        <w:rPr>
          <w:color w:val="FFFFFF"/>
          <w:sz w:val="20"/>
          <w:szCs w:val="20"/>
        </w:rPr>
        <w:t>, Ac</w:t>
      </w:r>
    </w:p>
    <w:tbl>
      <w:tblPr>
        <w:tblW w:w="17368" w:type="dxa"/>
        <w:jc w:val="center"/>
        <w:tblLayout w:type="fixed"/>
        <w:tblLook w:val="04A0" w:firstRow="1" w:lastRow="0" w:firstColumn="1" w:lastColumn="0" w:noHBand="0" w:noVBand="1"/>
      </w:tblPr>
      <w:tblGrid>
        <w:gridCol w:w="5130"/>
        <w:gridCol w:w="1115"/>
        <w:gridCol w:w="1126"/>
        <w:gridCol w:w="1767"/>
        <w:gridCol w:w="916"/>
        <w:gridCol w:w="1066"/>
        <w:gridCol w:w="1066"/>
        <w:gridCol w:w="1706"/>
        <w:gridCol w:w="850"/>
        <w:gridCol w:w="1709"/>
        <w:gridCol w:w="19"/>
        <w:gridCol w:w="898"/>
      </w:tblGrid>
      <w:tr w:rsidR="00AA5349" w:rsidRPr="007C03E6" w14:paraId="38C618B7" w14:textId="77777777" w:rsidTr="002C2BA7">
        <w:trPr>
          <w:trHeight w:val="306"/>
          <w:jc w:val="center"/>
        </w:trPr>
        <w:tc>
          <w:tcPr>
            <w:tcW w:w="5130" w:type="dxa"/>
            <w:tcBorders>
              <w:top w:val="single" w:sz="8" w:space="0" w:color="auto"/>
              <w:left w:val="nil"/>
              <w:bottom w:val="single" w:sz="8" w:space="0" w:color="auto"/>
              <w:right w:val="nil"/>
            </w:tcBorders>
            <w:shd w:val="clear" w:color="auto" w:fill="auto"/>
            <w:vAlign w:val="center"/>
            <w:hideMark/>
          </w:tcPr>
          <w:p w14:paraId="2150CC70" w14:textId="7FE54D23" w:rsidR="00670AAF" w:rsidRPr="007C03E6" w:rsidRDefault="002B28B9" w:rsidP="00670AAF">
            <w:pPr>
              <w:rPr>
                <w:rFonts w:ascii="Times New Roman" w:eastAsia="Times New Roman" w:hAnsi="Times New Roman" w:cs="Times New Roman"/>
                <w:b/>
                <w:bCs/>
                <w:color w:val="000000" w:themeColor="text1"/>
                <w:sz w:val="20"/>
                <w:szCs w:val="20"/>
              </w:rPr>
            </w:pPr>
            <w:r w:rsidRPr="007C03E6">
              <w:rPr>
                <w:rFonts w:ascii="Times New Roman" w:eastAsia="Times New Roman" w:hAnsi="Times New Roman" w:cs="Times New Roman"/>
                <w:b/>
                <w:bCs/>
                <w:color w:val="000000" w:themeColor="text1"/>
                <w:sz w:val="20"/>
                <w:szCs w:val="20"/>
              </w:rPr>
              <w:t>Outcome</w:t>
            </w:r>
          </w:p>
        </w:tc>
        <w:tc>
          <w:tcPr>
            <w:tcW w:w="4924" w:type="dxa"/>
            <w:gridSpan w:val="4"/>
            <w:tcBorders>
              <w:top w:val="single" w:sz="8" w:space="0" w:color="auto"/>
              <w:left w:val="nil"/>
              <w:bottom w:val="single" w:sz="8" w:space="0" w:color="auto"/>
              <w:right w:val="nil"/>
            </w:tcBorders>
            <w:shd w:val="clear" w:color="auto" w:fill="auto"/>
            <w:vAlign w:val="center"/>
            <w:hideMark/>
          </w:tcPr>
          <w:p w14:paraId="33BFA594" w14:textId="77777777" w:rsidR="00670AAF" w:rsidRPr="009E77F2" w:rsidRDefault="00670AAF" w:rsidP="00670AAF">
            <w:pPr>
              <w:jc w:val="center"/>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VD</w:t>
            </w:r>
          </w:p>
        </w:tc>
        <w:tc>
          <w:tcPr>
            <w:tcW w:w="4688" w:type="dxa"/>
            <w:gridSpan w:val="4"/>
            <w:tcBorders>
              <w:top w:val="single" w:sz="8" w:space="0" w:color="auto"/>
              <w:left w:val="nil"/>
              <w:bottom w:val="single" w:sz="8" w:space="0" w:color="auto"/>
              <w:right w:val="nil"/>
            </w:tcBorders>
            <w:shd w:val="clear" w:color="auto" w:fill="auto"/>
            <w:vAlign w:val="center"/>
            <w:hideMark/>
          </w:tcPr>
          <w:p w14:paraId="5A3FDDC7" w14:textId="77777777" w:rsidR="00670AAF" w:rsidRPr="009E77F2" w:rsidRDefault="00670AAF" w:rsidP="00670AAF">
            <w:pPr>
              <w:jc w:val="center"/>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CD</w:t>
            </w:r>
          </w:p>
        </w:tc>
        <w:tc>
          <w:tcPr>
            <w:tcW w:w="2626" w:type="dxa"/>
            <w:gridSpan w:val="3"/>
            <w:tcBorders>
              <w:top w:val="single" w:sz="8" w:space="0" w:color="auto"/>
              <w:left w:val="nil"/>
              <w:bottom w:val="single" w:sz="8" w:space="0" w:color="auto"/>
              <w:right w:val="nil"/>
            </w:tcBorders>
            <w:shd w:val="clear" w:color="auto" w:fill="auto"/>
            <w:vAlign w:val="center"/>
            <w:hideMark/>
          </w:tcPr>
          <w:p w14:paraId="5F2C1247" w14:textId="4E74CA0A" w:rsidR="00670AAF" w:rsidRPr="009E77F2" w:rsidRDefault="00670AAF" w:rsidP="00670AAF">
            <w:pPr>
              <w:jc w:val="center"/>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 xml:space="preserve">VD </w:t>
            </w:r>
            <w:r w:rsidR="0074081B">
              <w:rPr>
                <w:rFonts w:ascii="Times New Roman" w:eastAsia="Times New Roman" w:hAnsi="Times New Roman" w:cs="Times New Roman"/>
                <w:b/>
                <w:bCs/>
                <w:color w:val="000000" w:themeColor="text1"/>
                <w:sz w:val="20"/>
                <w:szCs w:val="20"/>
              </w:rPr>
              <w:t>Versus</w:t>
            </w:r>
            <w:r w:rsidRPr="009E77F2">
              <w:rPr>
                <w:rFonts w:ascii="Times New Roman" w:eastAsia="Times New Roman" w:hAnsi="Times New Roman" w:cs="Times New Roman"/>
                <w:b/>
                <w:bCs/>
                <w:color w:val="000000" w:themeColor="text1"/>
                <w:sz w:val="20"/>
                <w:szCs w:val="20"/>
              </w:rPr>
              <w:t xml:space="preserve"> CD</w:t>
            </w:r>
          </w:p>
        </w:tc>
      </w:tr>
      <w:tr w:rsidR="00AA5349" w:rsidRPr="007C03E6" w14:paraId="38F9AFCE" w14:textId="77777777" w:rsidTr="002C2BA7">
        <w:trPr>
          <w:trHeight w:val="306"/>
          <w:jc w:val="center"/>
        </w:trPr>
        <w:tc>
          <w:tcPr>
            <w:tcW w:w="5130" w:type="dxa"/>
            <w:tcBorders>
              <w:top w:val="single" w:sz="8" w:space="0" w:color="auto"/>
              <w:left w:val="nil"/>
              <w:bottom w:val="nil"/>
              <w:right w:val="nil"/>
            </w:tcBorders>
            <w:shd w:val="clear" w:color="auto" w:fill="auto"/>
            <w:vAlign w:val="center"/>
            <w:hideMark/>
          </w:tcPr>
          <w:p w14:paraId="22AF060A" w14:textId="50CB8362" w:rsidR="00670AAF" w:rsidRPr="007C03E6" w:rsidRDefault="00670AAF" w:rsidP="00670AAF">
            <w:pPr>
              <w:jc w:val="both"/>
              <w:rPr>
                <w:rFonts w:ascii="Times New Roman" w:eastAsia="Times New Roman" w:hAnsi="Times New Roman" w:cs="Times New Roman"/>
                <w:color w:val="000000" w:themeColor="text1"/>
                <w:sz w:val="20"/>
                <w:szCs w:val="20"/>
              </w:rPr>
            </w:pPr>
          </w:p>
        </w:tc>
        <w:tc>
          <w:tcPr>
            <w:tcW w:w="1115" w:type="dxa"/>
            <w:tcBorders>
              <w:top w:val="single" w:sz="8" w:space="0" w:color="auto"/>
              <w:left w:val="nil"/>
              <w:bottom w:val="nil"/>
              <w:right w:val="nil"/>
            </w:tcBorders>
            <w:shd w:val="clear" w:color="auto" w:fill="auto"/>
            <w:vAlign w:val="center"/>
            <w:hideMark/>
          </w:tcPr>
          <w:p w14:paraId="2F877424" w14:textId="5C634844" w:rsidR="00670AAF" w:rsidRPr="009E77F2" w:rsidRDefault="00670AAF" w:rsidP="00372B6B">
            <w:pPr>
              <w:jc w:val="center"/>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 xml:space="preserve">vBL </w:t>
            </w:r>
            <w:r w:rsidR="0074081B">
              <w:rPr>
                <w:rFonts w:ascii="Times New Roman" w:eastAsia="Times New Roman" w:hAnsi="Times New Roman" w:cs="Times New Roman"/>
                <w:b/>
                <w:bCs/>
                <w:color w:val="000000" w:themeColor="text1"/>
                <w:sz w:val="20"/>
                <w:szCs w:val="20"/>
              </w:rPr>
              <w:t>Before</w:t>
            </w:r>
          </w:p>
        </w:tc>
        <w:tc>
          <w:tcPr>
            <w:tcW w:w="1126" w:type="dxa"/>
            <w:tcBorders>
              <w:top w:val="single" w:sz="8" w:space="0" w:color="auto"/>
              <w:left w:val="nil"/>
              <w:bottom w:val="nil"/>
              <w:right w:val="nil"/>
            </w:tcBorders>
            <w:shd w:val="clear" w:color="auto" w:fill="auto"/>
            <w:vAlign w:val="center"/>
            <w:hideMark/>
          </w:tcPr>
          <w:p w14:paraId="7A7F5FFE" w14:textId="17A6EB80" w:rsidR="00670AAF" w:rsidRPr="009E77F2" w:rsidRDefault="00670AAF" w:rsidP="00372B6B">
            <w:pPr>
              <w:jc w:val="center"/>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 xml:space="preserve">tBL </w:t>
            </w:r>
            <w:r w:rsidR="0074081B">
              <w:rPr>
                <w:rFonts w:ascii="Times New Roman" w:eastAsia="Times New Roman" w:hAnsi="Times New Roman" w:cs="Times New Roman"/>
                <w:b/>
                <w:bCs/>
                <w:color w:val="000000" w:themeColor="text1"/>
                <w:sz w:val="20"/>
                <w:szCs w:val="20"/>
              </w:rPr>
              <w:t>After</w:t>
            </w:r>
          </w:p>
        </w:tc>
        <w:tc>
          <w:tcPr>
            <w:tcW w:w="1767" w:type="dxa"/>
            <w:vMerge w:val="restart"/>
            <w:tcBorders>
              <w:top w:val="single" w:sz="8" w:space="0" w:color="auto"/>
              <w:left w:val="nil"/>
              <w:bottom w:val="nil"/>
              <w:right w:val="nil"/>
            </w:tcBorders>
            <w:shd w:val="clear" w:color="auto" w:fill="auto"/>
            <w:vAlign w:val="bottom"/>
            <w:hideMark/>
          </w:tcPr>
          <w:p w14:paraId="3EBC009F" w14:textId="3152F126" w:rsidR="00AE1430" w:rsidRPr="009E77F2" w:rsidRDefault="00670AAF" w:rsidP="00372B6B">
            <w:pPr>
              <w:jc w:val="center"/>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 xml:space="preserve">Effect </w:t>
            </w:r>
            <w:r w:rsidR="009E77F2" w:rsidRPr="009E77F2">
              <w:rPr>
                <w:rFonts w:ascii="Times New Roman" w:eastAsia="Times New Roman" w:hAnsi="Times New Roman" w:cs="Times New Roman"/>
                <w:b/>
                <w:bCs/>
                <w:color w:val="000000" w:themeColor="text1"/>
                <w:sz w:val="20"/>
                <w:szCs w:val="20"/>
              </w:rPr>
              <w:t>S</w:t>
            </w:r>
            <w:r w:rsidRPr="009E77F2">
              <w:rPr>
                <w:rFonts w:ascii="Times New Roman" w:eastAsia="Times New Roman" w:hAnsi="Times New Roman" w:cs="Times New Roman"/>
                <w:b/>
                <w:bCs/>
                <w:color w:val="000000" w:themeColor="text1"/>
                <w:sz w:val="20"/>
                <w:szCs w:val="20"/>
              </w:rPr>
              <w:t>ize</w:t>
            </w:r>
          </w:p>
          <w:p w14:paraId="03928817" w14:textId="035E2F8B" w:rsidR="00670AAF" w:rsidRPr="009E77F2" w:rsidRDefault="00670AAF" w:rsidP="00372B6B">
            <w:pPr>
              <w:jc w:val="center"/>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(95% CI)</w:t>
            </w:r>
          </w:p>
        </w:tc>
        <w:tc>
          <w:tcPr>
            <w:tcW w:w="916" w:type="dxa"/>
            <w:vMerge w:val="restart"/>
            <w:tcBorders>
              <w:top w:val="single" w:sz="8" w:space="0" w:color="auto"/>
              <w:left w:val="nil"/>
              <w:bottom w:val="nil"/>
              <w:right w:val="nil"/>
            </w:tcBorders>
            <w:shd w:val="clear" w:color="auto" w:fill="auto"/>
            <w:noWrap/>
            <w:vAlign w:val="bottom"/>
            <w:hideMark/>
          </w:tcPr>
          <w:p w14:paraId="277B94BA" w14:textId="724914E2" w:rsidR="00670AAF" w:rsidRPr="009E77F2" w:rsidRDefault="00670AAF" w:rsidP="00372B6B">
            <w:pPr>
              <w:jc w:val="center"/>
              <w:rPr>
                <w:rFonts w:ascii="Times New Roman" w:eastAsia="Times New Roman" w:hAnsi="Times New Roman" w:cs="Times New Roman"/>
                <w:b/>
                <w:bCs/>
                <w:i/>
                <w:iCs/>
                <w:color w:val="000000" w:themeColor="text1"/>
                <w:sz w:val="20"/>
                <w:szCs w:val="20"/>
              </w:rPr>
            </w:pPr>
            <w:r w:rsidRPr="009E77F2">
              <w:rPr>
                <w:rFonts w:ascii="Times New Roman" w:eastAsia="Times New Roman" w:hAnsi="Times New Roman" w:cs="Times New Roman"/>
                <w:b/>
                <w:bCs/>
                <w:i/>
                <w:iCs/>
                <w:color w:val="000000" w:themeColor="text1"/>
                <w:sz w:val="20"/>
                <w:szCs w:val="20"/>
              </w:rPr>
              <w:t>P</w:t>
            </w:r>
          </w:p>
        </w:tc>
        <w:tc>
          <w:tcPr>
            <w:tcW w:w="1066" w:type="dxa"/>
            <w:tcBorders>
              <w:top w:val="single" w:sz="8" w:space="0" w:color="auto"/>
              <w:left w:val="nil"/>
              <w:bottom w:val="nil"/>
              <w:right w:val="nil"/>
            </w:tcBorders>
            <w:shd w:val="clear" w:color="auto" w:fill="auto"/>
            <w:vAlign w:val="center"/>
            <w:hideMark/>
          </w:tcPr>
          <w:p w14:paraId="4B056A27" w14:textId="4503D0B7" w:rsidR="00670AAF" w:rsidRPr="009E77F2" w:rsidRDefault="00670AAF" w:rsidP="00372B6B">
            <w:pPr>
              <w:jc w:val="center"/>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 xml:space="preserve">vBL </w:t>
            </w:r>
            <w:r w:rsidR="0074081B">
              <w:rPr>
                <w:rFonts w:ascii="Times New Roman" w:eastAsia="Times New Roman" w:hAnsi="Times New Roman" w:cs="Times New Roman"/>
                <w:b/>
                <w:bCs/>
                <w:color w:val="000000" w:themeColor="text1"/>
                <w:sz w:val="20"/>
                <w:szCs w:val="20"/>
              </w:rPr>
              <w:t>Before</w:t>
            </w:r>
          </w:p>
        </w:tc>
        <w:tc>
          <w:tcPr>
            <w:tcW w:w="1066" w:type="dxa"/>
            <w:tcBorders>
              <w:top w:val="single" w:sz="8" w:space="0" w:color="auto"/>
              <w:left w:val="nil"/>
              <w:bottom w:val="nil"/>
              <w:right w:val="nil"/>
            </w:tcBorders>
            <w:shd w:val="clear" w:color="auto" w:fill="auto"/>
            <w:vAlign w:val="center"/>
            <w:hideMark/>
          </w:tcPr>
          <w:p w14:paraId="29C6380E" w14:textId="483A1FD0" w:rsidR="00670AAF" w:rsidRPr="009E77F2" w:rsidRDefault="00670AAF" w:rsidP="00372B6B">
            <w:pPr>
              <w:jc w:val="center"/>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 xml:space="preserve">vBL </w:t>
            </w:r>
            <w:r w:rsidR="0074081B">
              <w:rPr>
                <w:rFonts w:ascii="Times New Roman" w:eastAsia="Times New Roman" w:hAnsi="Times New Roman" w:cs="Times New Roman"/>
                <w:b/>
                <w:bCs/>
                <w:color w:val="000000" w:themeColor="text1"/>
                <w:sz w:val="20"/>
                <w:szCs w:val="20"/>
              </w:rPr>
              <w:t>After</w:t>
            </w:r>
          </w:p>
        </w:tc>
        <w:tc>
          <w:tcPr>
            <w:tcW w:w="1706" w:type="dxa"/>
            <w:vMerge w:val="restart"/>
            <w:tcBorders>
              <w:top w:val="single" w:sz="8" w:space="0" w:color="auto"/>
              <w:left w:val="nil"/>
              <w:bottom w:val="nil"/>
              <w:right w:val="nil"/>
            </w:tcBorders>
            <w:shd w:val="clear" w:color="auto" w:fill="auto"/>
            <w:vAlign w:val="bottom"/>
            <w:hideMark/>
          </w:tcPr>
          <w:p w14:paraId="76E86D09" w14:textId="6FB7059D" w:rsidR="00AE1430" w:rsidRPr="009E77F2" w:rsidRDefault="00670AAF" w:rsidP="00372B6B">
            <w:pPr>
              <w:jc w:val="center"/>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Effect size</w:t>
            </w:r>
          </w:p>
          <w:p w14:paraId="34613B6A" w14:textId="4F52AB88" w:rsidR="00670AAF" w:rsidRPr="009E77F2" w:rsidRDefault="00670AAF" w:rsidP="00372B6B">
            <w:pPr>
              <w:jc w:val="center"/>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(95% CI)</w:t>
            </w:r>
          </w:p>
        </w:tc>
        <w:tc>
          <w:tcPr>
            <w:tcW w:w="850" w:type="dxa"/>
            <w:vMerge w:val="restart"/>
            <w:tcBorders>
              <w:top w:val="single" w:sz="8" w:space="0" w:color="auto"/>
              <w:left w:val="nil"/>
              <w:bottom w:val="nil"/>
              <w:right w:val="nil"/>
            </w:tcBorders>
            <w:shd w:val="clear" w:color="auto" w:fill="auto"/>
            <w:noWrap/>
            <w:vAlign w:val="bottom"/>
            <w:hideMark/>
          </w:tcPr>
          <w:p w14:paraId="1131328B" w14:textId="78B31F14" w:rsidR="00670AAF" w:rsidRPr="009E77F2" w:rsidRDefault="00670AAF" w:rsidP="00372B6B">
            <w:pPr>
              <w:jc w:val="center"/>
              <w:rPr>
                <w:rFonts w:ascii="Times New Roman" w:eastAsia="Times New Roman" w:hAnsi="Times New Roman" w:cs="Times New Roman"/>
                <w:b/>
                <w:bCs/>
                <w:i/>
                <w:iCs/>
                <w:color w:val="000000" w:themeColor="text1"/>
                <w:sz w:val="20"/>
                <w:szCs w:val="20"/>
              </w:rPr>
            </w:pPr>
            <w:r w:rsidRPr="009E77F2">
              <w:rPr>
                <w:rFonts w:ascii="Times New Roman" w:eastAsia="Times New Roman" w:hAnsi="Times New Roman" w:cs="Times New Roman"/>
                <w:b/>
                <w:bCs/>
                <w:i/>
                <w:iCs/>
                <w:color w:val="000000" w:themeColor="text1"/>
                <w:sz w:val="20"/>
                <w:szCs w:val="20"/>
              </w:rPr>
              <w:t>P</w:t>
            </w:r>
          </w:p>
        </w:tc>
        <w:tc>
          <w:tcPr>
            <w:tcW w:w="1709" w:type="dxa"/>
            <w:vMerge w:val="restart"/>
            <w:tcBorders>
              <w:top w:val="single" w:sz="8" w:space="0" w:color="auto"/>
              <w:left w:val="nil"/>
              <w:bottom w:val="nil"/>
              <w:right w:val="nil"/>
            </w:tcBorders>
            <w:shd w:val="clear" w:color="auto" w:fill="auto"/>
            <w:vAlign w:val="bottom"/>
            <w:hideMark/>
          </w:tcPr>
          <w:p w14:paraId="687A710F" w14:textId="5B5F4E6C" w:rsidR="00AE1430" w:rsidRPr="009E77F2" w:rsidRDefault="00670AAF" w:rsidP="00372B6B">
            <w:pPr>
              <w:jc w:val="center"/>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Effect size</w:t>
            </w:r>
          </w:p>
          <w:p w14:paraId="276CBA97" w14:textId="318B578D" w:rsidR="00670AAF" w:rsidRPr="009E77F2" w:rsidRDefault="00670AAF" w:rsidP="00372B6B">
            <w:pPr>
              <w:jc w:val="center"/>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(95% CI)</w:t>
            </w:r>
          </w:p>
        </w:tc>
        <w:tc>
          <w:tcPr>
            <w:tcW w:w="917" w:type="dxa"/>
            <w:gridSpan w:val="2"/>
            <w:vMerge w:val="restart"/>
            <w:tcBorders>
              <w:top w:val="single" w:sz="8" w:space="0" w:color="auto"/>
              <w:left w:val="nil"/>
              <w:bottom w:val="nil"/>
              <w:right w:val="nil"/>
            </w:tcBorders>
            <w:shd w:val="clear" w:color="auto" w:fill="auto"/>
            <w:noWrap/>
            <w:vAlign w:val="bottom"/>
            <w:hideMark/>
          </w:tcPr>
          <w:p w14:paraId="113F0042" w14:textId="732C48E4" w:rsidR="00670AAF" w:rsidRPr="009E77F2" w:rsidRDefault="00670AAF" w:rsidP="00372B6B">
            <w:pPr>
              <w:jc w:val="center"/>
              <w:rPr>
                <w:rFonts w:ascii="Times New Roman" w:eastAsia="Times New Roman" w:hAnsi="Times New Roman" w:cs="Times New Roman"/>
                <w:b/>
                <w:bCs/>
                <w:i/>
                <w:iCs/>
                <w:color w:val="000000" w:themeColor="text1"/>
                <w:sz w:val="20"/>
                <w:szCs w:val="20"/>
              </w:rPr>
            </w:pPr>
            <w:r w:rsidRPr="009E77F2">
              <w:rPr>
                <w:rFonts w:ascii="Times New Roman" w:eastAsia="Times New Roman" w:hAnsi="Times New Roman" w:cs="Times New Roman"/>
                <w:b/>
                <w:bCs/>
                <w:i/>
                <w:iCs/>
                <w:color w:val="000000" w:themeColor="text1"/>
                <w:sz w:val="20"/>
                <w:szCs w:val="20"/>
              </w:rPr>
              <w:t>P</w:t>
            </w:r>
          </w:p>
        </w:tc>
      </w:tr>
      <w:tr w:rsidR="00AA5349" w:rsidRPr="007C03E6" w14:paraId="7AC3A139" w14:textId="77777777" w:rsidTr="002C2BA7">
        <w:trPr>
          <w:trHeight w:val="306"/>
          <w:jc w:val="center"/>
        </w:trPr>
        <w:tc>
          <w:tcPr>
            <w:tcW w:w="5130" w:type="dxa"/>
            <w:tcBorders>
              <w:top w:val="nil"/>
              <w:left w:val="nil"/>
              <w:right w:val="nil"/>
            </w:tcBorders>
            <w:shd w:val="clear" w:color="auto" w:fill="auto"/>
            <w:vAlign w:val="center"/>
            <w:hideMark/>
          </w:tcPr>
          <w:p w14:paraId="5DDA44C8" w14:textId="479C5FA7" w:rsidR="00670AAF" w:rsidRPr="00372B6B" w:rsidRDefault="00670AAF" w:rsidP="00670AAF">
            <w:pPr>
              <w:jc w:val="both"/>
              <w:rPr>
                <w:rFonts w:ascii="Times New Roman" w:eastAsia="Times New Roman" w:hAnsi="Times New Roman" w:cs="Times New Roman"/>
                <w:b/>
                <w:bCs/>
                <w:color w:val="000000" w:themeColor="text1"/>
                <w:sz w:val="20"/>
                <w:szCs w:val="20"/>
              </w:rPr>
            </w:pPr>
            <w:r w:rsidRPr="007C03E6">
              <w:rPr>
                <w:rFonts w:ascii="Times New Roman" w:eastAsia="Times New Roman" w:hAnsi="Times New Roman" w:cs="Times New Roman"/>
                <w:b/>
                <w:bCs/>
                <w:color w:val="000000" w:themeColor="text1"/>
                <w:sz w:val="20"/>
                <w:szCs w:val="20"/>
              </w:rPr>
              <w:t xml:space="preserve">Immediate </w:t>
            </w:r>
            <w:r w:rsidR="00372B6B">
              <w:rPr>
                <w:rFonts w:ascii="Times New Roman" w:eastAsia="Times New Roman" w:hAnsi="Times New Roman" w:cs="Times New Roman"/>
                <w:b/>
                <w:bCs/>
                <w:color w:val="000000" w:themeColor="text1"/>
                <w:sz w:val="20"/>
                <w:szCs w:val="20"/>
              </w:rPr>
              <w:t>Postdelivery Blood Loss</w:t>
            </w:r>
            <w:r w:rsidR="001622B3" w:rsidRPr="007C03E6">
              <w:rPr>
                <w:rFonts w:ascii="Times New Roman" w:eastAsia="Times New Roman" w:hAnsi="Times New Roman" w:cs="Times New Roman"/>
                <w:b/>
                <w:bCs/>
                <w:color w:val="000000" w:themeColor="text1"/>
                <w:sz w:val="20"/>
                <w:szCs w:val="20"/>
              </w:rPr>
              <w:t xml:space="preserve"> (sensitivity analysis</w:t>
            </w:r>
            <w:r w:rsidR="002C2BA7">
              <w:rPr>
                <w:rFonts w:ascii="Times New Roman" w:eastAsia="Times New Roman" w:hAnsi="Times New Roman" w:cs="Times New Roman"/>
                <w:b/>
                <w:bCs/>
                <w:color w:val="000000" w:themeColor="text1"/>
                <w:sz w:val="20"/>
                <w:szCs w:val="20"/>
              </w:rPr>
              <w:t xml:space="preserve"> 1)</w:t>
            </w:r>
          </w:p>
        </w:tc>
        <w:tc>
          <w:tcPr>
            <w:tcW w:w="1115" w:type="dxa"/>
            <w:tcBorders>
              <w:top w:val="nil"/>
              <w:left w:val="nil"/>
              <w:right w:val="nil"/>
            </w:tcBorders>
            <w:shd w:val="clear" w:color="auto" w:fill="auto"/>
            <w:vAlign w:val="center"/>
            <w:hideMark/>
          </w:tcPr>
          <w:p w14:paraId="198D896C" w14:textId="77777777" w:rsidR="00670AAF" w:rsidRPr="009E77F2" w:rsidRDefault="00670AAF" w:rsidP="00372B6B">
            <w:pPr>
              <w:jc w:val="center"/>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n = 967</w:t>
            </w:r>
          </w:p>
        </w:tc>
        <w:tc>
          <w:tcPr>
            <w:tcW w:w="1126" w:type="dxa"/>
            <w:tcBorders>
              <w:top w:val="nil"/>
              <w:left w:val="nil"/>
              <w:right w:val="nil"/>
            </w:tcBorders>
            <w:shd w:val="clear" w:color="auto" w:fill="auto"/>
            <w:vAlign w:val="center"/>
            <w:hideMark/>
          </w:tcPr>
          <w:p w14:paraId="65DDA2C3" w14:textId="77777777" w:rsidR="00670AAF" w:rsidRPr="009E77F2" w:rsidRDefault="00670AAF" w:rsidP="00372B6B">
            <w:pPr>
              <w:jc w:val="center"/>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n = 947</w:t>
            </w:r>
          </w:p>
        </w:tc>
        <w:tc>
          <w:tcPr>
            <w:tcW w:w="1767" w:type="dxa"/>
            <w:vMerge/>
            <w:tcBorders>
              <w:top w:val="nil"/>
              <w:left w:val="nil"/>
              <w:right w:val="nil"/>
            </w:tcBorders>
            <w:vAlign w:val="center"/>
            <w:hideMark/>
          </w:tcPr>
          <w:p w14:paraId="02BA0B54" w14:textId="77777777" w:rsidR="00670AAF" w:rsidRPr="007C03E6" w:rsidRDefault="00670AAF" w:rsidP="00372B6B">
            <w:pPr>
              <w:jc w:val="center"/>
              <w:rPr>
                <w:rFonts w:ascii="Times New Roman" w:eastAsia="Times New Roman" w:hAnsi="Times New Roman" w:cs="Times New Roman"/>
                <w:color w:val="000000" w:themeColor="text1"/>
                <w:sz w:val="20"/>
                <w:szCs w:val="20"/>
              </w:rPr>
            </w:pPr>
          </w:p>
        </w:tc>
        <w:tc>
          <w:tcPr>
            <w:tcW w:w="916" w:type="dxa"/>
            <w:vMerge/>
            <w:tcBorders>
              <w:top w:val="nil"/>
              <w:left w:val="nil"/>
              <w:right w:val="nil"/>
            </w:tcBorders>
            <w:vAlign w:val="center"/>
            <w:hideMark/>
          </w:tcPr>
          <w:p w14:paraId="36514BFD" w14:textId="77777777" w:rsidR="00670AAF" w:rsidRPr="007C03E6" w:rsidRDefault="00670AAF" w:rsidP="00372B6B">
            <w:pPr>
              <w:jc w:val="center"/>
              <w:rPr>
                <w:rFonts w:ascii="Times New Roman" w:eastAsia="Times New Roman" w:hAnsi="Times New Roman" w:cs="Times New Roman"/>
                <w:color w:val="000000" w:themeColor="text1"/>
                <w:sz w:val="20"/>
                <w:szCs w:val="20"/>
              </w:rPr>
            </w:pPr>
          </w:p>
        </w:tc>
        <w:tc>
          <w:tcPr>
            <w:tcW w:w="1066" w:type="dxa"/>
            <w:tcBorders>
              <w:top w:val="nil"/>
              <w:left w:val="nil"/>
              <w:right w:val="nil"/>
            </w:tcBorders>
            <w:shd w:val="clear" w:color="auto" w:fill="auto"/>
            <w:vAlign w:val="center"/>
            <w:hideMark/>
          </w:tcPr>
          <w:p w14:paraId="67DD04C6" w14:textId="77777777" w:rsidR="00670AAF" w:rsidRPr="009E77F2" w:rsidRDefault="00670AAF" w:rsidP="00372B6B">
            <w:pPr>
              <w:jc w:val="center"/>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n = 456</w:t>
            </w:r>
          </w:p>
        </w:tc>
        <w:tc>
          <w:tcPr>
            <w:tcW w:w="1066" w:type="dxa"/>
            <w:tcBorders>
              <w:top w:val="nil"/>
              <w:left w:val="nil"/>
              <w:right w:val="nil"/>
            </w:tcBorders>
            <w:shd w:val="clear" w:color="auto" w:fill="auto"/>
            <w:vAlign w:val="center"/>
            <w:hideMark/>
          </w:tcPr>
          <w:p w14:paraId="250D04EF" w14:textId="77777777" w:rsidR="00670AAF" w:rsidRPr="009E77F2" w:rsidRDefault="00670AAF" w:rsidP="00372B6B">
            <w:pPr>
              <w:jc w:val="center"/>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n = 418</w:t>
            </w:r>
          </w:p>
        </w:tc>
        <w:tc>
          <w:tcPr>
            <w:tcW w:w="1706" w:type="dxa"/>
            <w:vMerge/>
            <w:tcBorders>
              <w:top w:val="nil"/>
              <w:left w:val="nil"/>
              <w:right w:val="nil"/>
            </w:tcBorders>
            <w:vAlign w:val="center"/>
            <w:hideMark/>
          </w:tcPr>
          <w:p w14:paraId="7F8318F7" w14:textId="77777777" w:rsidR="00670AAF" w:rsidRPr="007C03E6" w:rsidRDefault="00670AAF" w:rsidP="00372B6B">
            <w:pPr>
              <w:jc w:val="center"/>
              <w:rPr>
                <w:rFonts w:ascii="Times New Roman" w:eastAsia="Times New Roman" w:hAnsi="Times New Roman" w:cs="Times New Roman"/>
                <w:color w:val="000000" w:themeColor="text1"/>
                <w:sz w:val="20"/>
                <w:szCs w:val="20"/>
              </w:rPr>
            </w:pPr>
          </w:p>
        </w:tc>
        <w:tc>
          <w:tcPr>
            <w:tcW w:w="850" w:type="dxa"/>
            <w:vMerge/>
            <w:tcBorders>
              <w:top w:val="nil"/>
              <w:left w:val="nil"/>
              <w:right w:val="nil"/>
            </w:tcBorders>
            <w:vAlign w:val="center"/>
            <w:hideMark/>
          </w:tcPr>
          <w:p w14:paraId="6361BB42" w14:textId="77777777" w:rsidR="00670AAF" w:rsidRPr="007C03E6" w:rsidRDefault="00670AAF" w:rsidP="00372B6B">
            <w:pPr>
              <w:jc w:val="center"/>
              <w:rPr>
                <w:rFonts w:ascii="Times New Roman" w:eastAsia="Times New Roman" w:hAnsi="Times New Roman" w:cs="Times New Roman"/>
                <w:color w:val="000000" w:themeColor="text1"/>
                <w:sz w:val="20"/>
                <w:szCs w:val="20"/>
              </w:rPr>
            </w:pPr>
          </w:p>
        </w:tc>
        <w:tc>
          <w:tcPr>
            <w:tcW w:w="1709" w:type="dxa"/>
            <w:vMerge/>
            <w:tcBorders>
              <w:top w:val="nil"/>
              <w:left w:val="nil"/>
              <w:right w:val="nil"/>
            </w:tcBorders>
            <w:vAlign w:val="center"/>
            <w:hideMark/>
          </w:tcPr>
          <w:p w14:paraId="3759B2D0" w14:textId="77777777" w:rsidR="00670AAF" w:rsidRPr="007C03E6" w:rsidRDefault="00670AAF" w:rsidP="00372B6B">
            <w:pPr>
              <w:jc w:val="center"/>
              <w:rPr>
                <w:rFonts w:ascii="Times New Roman" w:eastAsia="Times New Roman" w:hAnsi="Times New Roman" w:cs="Times New Roman"/>
                <w:color w:val="000000" w:themeColor="text1"/>
                <w:sz w:val="20"/>
                <w:szCs w:val="20"/>
              </w:rPr>
            </w:pPr>
          </w:p>
        </w:tc>
        <w:tc>
          <w:tcPr>
            <w:tcW w:w="917" w:type="dxa"/>
            <w:gridSpan w:val="2"/>
            <w:vMerge/>
            <w:tcBorders>
              <w:top w:val="nil"/>
              <w:left w:val="nil"/>
              <w:right w:val="nil"/>
            </w:tcBorders>
            <w:vAlign w:val="center"/>
            <w:hideMark/>
          </w:tcPr>
          <w:p w14:paraId="072D9541" w14:textId="77777777" w:rsidR="00670AAF" w:rsidRPr="007C03E6" w:rsidRDefault="00670AAF" w:rsidP="00372B6B">
            <w:pPr>
              <w:jc w:val="center"/>
              <w:rPr>
                <w:rFonts w:ascii="Times New Roman" w:eastAsia="Times New Roman" w:hAnsi="Times New Roman" w:cs="Times New Roman"/>
                <w:color w:val="000000" w:themeColor="text1"/>
                <w:sz w:val="20"/>
                <w:szCs w:val="20"/>
              </w:rPr>
            </w:pPr>
          </w:p>
        </w:tc>
      </w:tr>
      <w:tr w:rsidR="00AA5349" w:rsidRPr="007C03E6" w14:paraId="19602EDC" w14:textId="77777777" w:rsidTr="002C2BA7">
        <w:trPr>
          <w:trHeight w:val="328"/>
          <w:jc w:val="center"/>
        </w:trPr>
        <w:tc>
          <w:tcPr>
            <w:tcW w:w="5130" w:type="dxa"/>
            <w:tcBorders>
              <w:top w:val="nil"/>
              <w:left w:val="nil"/>
              <w:right w:val="nil"/>
            </w:tcBorders>
            <w:shd w:val="clear" w:color="auto" w:fill="auto"/>
            <w:vAlign w:val="center"/>
            <w:hideMark/>
          </w:tcPr>
          <w:p w14:paraId="3E0CF3E7" w14:textId="48ADA3D1" w:rsidR="00670AAF" w:rsidRPr="007C03E6" w:rsidRDefault="00670AAF" w:rsidP="00670AAF">
            <w:pPr>
              <w:jc w:val="both"/>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 xml:space="preserve">   PPH</w:t>
            </w:r>
            <w:r w:rsidR="009E77F2">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rPr>
              <w:t xml:space="preserve">n </w:t>
            </w:r>
            <w:r w:rsidR="009E77F2">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w:t>
            </w:r>
          </w:p>
        </w:tc>
        <w:tc>
          <w:tcPr>
            <w:tcW w:w="1115" w:type="dxa"/>
            <w:tcBorders>
              <w:top w:val="nil"/>
              <w:left w:val="nil"/>
              <w:right w:val="nil"/>
            </w:tcBorders>
            <w:shd w:val="clear" w:color="auto" w:fill="auto"/>
            <w:vAlign w:val="center"/>
            <w:hideMark/>
          </w:tcPr>
          <w:p w14:paraId="11F5C9D9" w14:textId="77777777"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111 (11.5)</w:t>
            </w:r>
          </w:p>
        </w:tc>
        <w:tc>
          <w:tcPr>
            <w:tcW w:w="1126" w:type="dxa"/>
            <w:tcBorders>
              <w:top w:val="nil"/>
              <w:left w:val="nil"/>
              <w:right w:val="nil"/>
            </w:tcBorders>
            <w:shd w:val="clear" w:color="auto" w:fill="auto"/>
            <w:vAlign w:val="center"/>
            <w:hideMark/>
          </w:tcPr>
          <w:p w14:paraId="1D4D5703" w14:textId="77777777"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222 (23.4)</w:t>
            </w:r>
          </w:p>
        </w:tc>
        <w:tc>
          <w:tcPr>
            <w:tcW w:w="1767" w:type="dxa"/>
            <w:tcBorders>
              <w:top w:val="nil"/>
              <w:left w:val="nil"/>
              <w:right w:val="nil"/>
            </w:tcBorders>
            <w:shd w:val="clear" w:color="auto" w:fill="auto"/>
            <w:hideMark/>
          </w:tcPr>
          <w:p w14:paraId="3B0FC503" w14:textId="07A05542" w:rsidR="00670AAF" w:rsidRPr="007C03E6" w:rsidRDefault="00670AAF" w:rsidP="00372B6B">
            <w:pPr>
              <w:jc w:val="center"/>
              <w:rPr>
                <w:rFonts w:ascii="Times New Roman" w:eastAsia="Times New Roman" w:hAnsi="Times New Roman" w:cs="Times New Roman"/>
                <w:color w:val="000000" w:themeColor="text1"/>
                <w:sz w:val="20"/>
                <w:szCs w:val="20"/>
                <w:vertAlign w:val="superscript"/>
              </w:rPr>
            </w:pPr>
            <w:r w:rsidRPr="007C03E6">
              <w:rPr>
                <w:rFonts w:ascii="Times New Roman" w:eastAsia="Times New Roman" w:hAnsi="Times New Roman" w:cs="Times New Roman"/>
                <w:color w:val="000000" w:themeColor="text1"/>
                <w:sz w:val="20"/>
                <w:szCs w:val="20"/>
              </w:rPr>
              <w:t>2.</w:t>
            </w:r>
            <w:r w:rsidR="00AF3E5E" w:rsidRPr="007C03E6">
              <w:rPr>
                <w:rFonts w:ascii="Times New Roman" w:eastAsia="Times New Roman" w:hAnsi="Times New Roman" w:cs="Times New Roman"/>
                <w:color w:val="000000" w:themeColor="text1"/>
                <w:sz w:val="20"/>
                <w:szCs w:val="20"/>
              </w:rPr>
              <w:t xml:space="preserve">24 </w:t>
            </w:r>
            <w:r w:rsidRPr="007C03E6">
              <w:rPr>
                <w:rFonts w:ascii="Times New Roman" w:eastAsia="Times New Roman" w:hAnsi="Times New Roman" w:cs="Times New Roman"/>
                <w:color w:val="000000" w:themeColor="text1"/>
                <w:sz w:val="20"/>
                <w:szCs w:val="20"/>
              </w:rPr>
              <w:t>(1.1</w:t>
            </w:r>
            <w:r w:rsidR="00AF3E5E" w:rsidRPr="007C03E6">
              <w:rPr>
                <w:rFonts w:ascii="Times New Roman" w:eastAsia="Times New Roman" w:hAnsi="Times New Roman" w:cs="Times New Roman"/>
                <w:color w:val="000000" w:themeColor="text1"/>
                <w:sz w:val="20"/>
                <w:szCs w:val="20"/>
              </w:rPr>
              <w:t>3</w:t>
            </w:r>
            <w:r w:rsidR="00372B6B">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4.</w:t>
            </w:r>
            <w:r w:rsidR="00AF3E5E" w:rsidRPr="007C03E6">
              <w:rPr>
                <w:rFonts w:ascii="Times New Roman" w:eastAsia="Times New Roman" w:hAnsi="Times New Roman" w:cs="Times New Roman"/>
                <w:color w:val="000000" w:themeColor="text1"/>
                <w:sz w:val="20"/>
                <w:szCs w:val="20"/>
              </w:rPr>
              <w:t>44</w:t>
            </w:r>
            <w:r w:rsidRPr="007C03E6">
              <w:rPr>
                <w:rFonts w:ascii="Times New Roman" w:eastAsia="Times New Roman" w:hAnsi="Times New Roman" w:cs="Times New Roman"/>
                <w:color w:val="000000" w:themeColor="text1"/>
                <w:sz w:val="20"/>
                <w:szCs w:val="20"/>
              </w:rPr>
              <w:t>)</w:t>
            </w:r>
            <w:r w:rsidR="00783C38" w:rsidRPr="007C03E6">
              <w:rPr>
                <w:rFonts w:ascii="Times New Roman" w:eastAsia="Times New Roman" w:hAnsi="Times New Roman" w:cs="Times New Roman"/>
                <w:color w:val="000000" w:themeColor="text1"/>
                <w:sz w:val="20"/>
                <w:szCs w:val="20"/>
                <w:vertAlign w:val="superscript"/>
              </w:rPr>
              <w:t>a</w:t>
            </w:r>
          </w:p>
        </w:tc>
        <w:tc>
          <w:tcPr>
            <w:tcW w:w="916" w:type="dxa"/>
            <w:tcBorders>
              <w:top w:val="nil"/>
              <w:left w:val="nil"/>
              <w:right w:val="nil"/>
            </w:tcBorders>
            <w:shd w:val="clear" w:color="auto" w:fill="auto"/>
            <w:hideMark/>
          </w:tcPr>
          <w:p w14:paraId="6705E366" w14:textId="6BD95259"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w:t>
            </w:r>
            <w:r w:rsidR="00AF3E5E" w:rsidRPr="007C03E6">
              <w:rPr>
                <w:rFonts w:ascii="Times New Roman" w:eastAsia="Times New Roman" w:hAnsi="Times New Roman" w:cs="Times New Roman"/>
                <w:color w:val="000000" w:themeColor="text1"/>
                <w:sz w:val="20"/>
                <w:szCs w:val="20"/>
              </w:rPr>
              <w:t>021</w:t>
            </w:r>
          </w:p>
        </w:tc>
        <w:tc>
          <w:tcPr>
            <w:tcW w:w="1066" w:type="dxa"/>
            <w:tcBorders>
              <w:top w:val="nil"/>
              <w:left w:val="nil"/>
              <w:right w:val="nil"/>
            </w:tcBorders>
            <w:shd w:val="clear" w:color="auto" w:fill="auto"/>
            <w:vAlign w:val="center"/>
            <w:hideMark/>
          </w:tcPr>
          <w:p w14:paraId="67F19BB1" w14:textId="77777777"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91 (20.0)</w:t>
            </w:r>
          </w:p>
        </w:tc>
        <w:tc>
          <w:tcPr>
            <w:tcW w:w="1066" w:type="dxa"/>
            <w:tcBorders>
              <w:top w:val="nil"/>
              <w:left w:val="nil"/>
              <w:right w:val="nil"/>
            </w:tcBorders>
            <w:shd w:val="clear" w:color="auto" w:fill="auto"/>
            <w:vAlign w:val="center"/>
            <w:hideMark/>
          </w:tcPr>
          <w:p w14:paraId="3AEEB4C3" w14:textId="77777777"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85 (20.3)</w:t>
            </w:r>
          </w:p>
        </w:tc>
        <w:tc>
          <w:tcPr>
            <w:tcW w:w="1706" w:type="dxa"/>
            <w:tcBorders>
              <w:top w:val="nil"/>
              <w:left w:val="nil"/>
              <w:right w:val="nil"/>
            </w:tcBorders>
            <w:shd w:val="clear" w:color="auto" w:fill="auto"/>
            <w:hideMark/>
          </w:tcPr>
          <w:p w14:paraId="7299600C" w14:textId="66706661" w:rsidR="00670AAF" w:rsidRPr="007C03E6" w:rsidRDefault="00670AAF" w:rsidP="00372B6B">
            <w:pPr>
              <w:jc w:val="center"/>
              <w:rPr>
                <w:rFonts w:ascii="Times New Roman" w:eastAsia="Times New Roman" w:hAnsi="Times New Roman" w:cs="Times New Roman"/>
                <w:color w:val="000000" w:themeColor="text1"/>
                <w:sz w:val="20"/>
                <w:szCs w:val="20"/>
                <w:vertAlign w:val="superscript"/>
              </w:rPr>
            </w:pPr>
            <w:r w:rsidRPr="007C03E6">
              <w:rPr>
                <w:rFonts w:ascii="Times New Roman" w:eastAsia="Times New Roman" w:hAnsi="Times New Roman" w:cs="Times New Roman"/>
                <w:color w:val="000000" w:themeColor="text1"/>
                <w:sz w:val="20"/>
                <w:szCs w:val="20"/>
              </w:rPr>
              <w:t>1.</w:t>
            </w:r>
            <w:r w:rsidR="00AF3E5E" w:rsidRPr="007C03E6">
              <w:rPr>
                <w:rFonts w:ascii="Times New Roman" w:eastAsia="Times New Roman" w:hAnsi="Times New Roman" w:cs="Times New Roman"/>
                <w:color w:val="000000" w:themeColor="text1"/>
                <w:sz w:val="20"/>
                <w:szCs w:val="20"/>
              </w:rPr>
              <w:t xml:space="preserve">55 </w:t>
            </w:r>
            <w:r w:rsidRPr="007C03E6">
              <w:rPr>
                <w:rFonts w:ascii="Times New Roman" w:eastAsia="Times New Roman" w:hAnsi="Times New Roman" w:cs="Times New Roman"/>
                <w:color w:val="000000" w:themeColor="text1"/>
                <w:sz w:val="20"/>
                <w:szCs w:val="20"/>
              </w:rPr>
              <w:t>(0.</w:t>
            </w:r>
            <w:r w:rsidR="00AF3E5E" w:rsidRPr="007C03E6">
              <w:rPr>
                <w:rFonts w:ascii="Times New Roman" w:eastAsia="Times New Roman" w:hAnsi="Times New Roman" w:cs="Times New Roman"/>
                <w:color w:val="000000" w:themeColor="text1"/>
                <w:sz w:val="20"/>
                <w:szCs w:val="20"/>
              </w:rPr>
              <w:t>78</w:t>
            </w:r>
            <w:r w:rsidR="00372B6B">
              <w:rPr>
                <w:rFonts w:ascii="Times New Roman" w:eastAsia="Times New Roman" w:hAnsi="Times New Roman" w:cs="Times New Roman"/>
                <w:color w:val="000000" w:themeColor="text1"/>
                <w:sz w:val="20"/>
                <w:szCs w:val="20"/>
              </w:rPr>
              <w:t>-</w:t>
            </w:r>
            <w:r w:rsidR="00AF3E5E" w:rsidRPr="007C03E6">
              <w:rPr>
                <w:rFonts w:ascii="Times New Roman" w:eastAsia="Times New Roman" w:hAnsi="Times New Roman" w:cs="Times New Roman"/>
                <w:color w:val="000000" w:themeColor="text1"/>
                <w:sz w:val="20"/>
                <w:szCs w:val="20"/>
              </w:rPr>
              <w:t>3.08</w:t>
            </w:r>
            <w:r w:rsidRPr="007C03E6">
              <w:rPr>
                <w:rFonts w:ascii="Times New Roman" w:eastAsia="Times New Roman" w:hAnsi="Times New Roman" w:cs="Times New Roman"/>
                <w:color w:val="000000" w:themeColor="text1"/>
                <w:sz w:val="20"/>
                <w:szCs w:val="20"/>
              </w:rPr>
              <w:t>)</w:t>
            </w:r>
            <w:r w:rsidR="00D430CC" w:rsidRPr="007C03E6">
              <w:rPr>
                <w:rFonts w:ascii="Times New Roman" w:eastAsia="Times New Roman" w:hAnsi="Times New Roman" w:cs="Times New Roman"/>
                <w:color w:val="000000" w:themeColor="text1"/>
                <w:sz w:val="20"/>
                <w:szCs w:val="20"/>
                <w:vertAlign w:val="superscript"/>
              </w:rPr>
              <w:t>a</w:t>
            </w:r>
          </w:p>
        </w:tc>
        <w:tc>
          <w:tcPr>
            <w:tcW w:w="850" w:type="dxa"/>
            <w:tcBorders>
              <w:top w:val="nil"/>
              <w:left w:val="nil"/>
              <w:right w:val="nil"/>
            </w:tcBorders>
            <w:shd w:val="clear" w:color="auto" w:fill="auto"/>
            <w:hideMark/>
          </w:tcPr>
          <w:p w14:paraId="0106A9F1" w14:textId="7292BF8E"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w:t>
            </w:r>
            <w:r w:rsidR="00AF3E5E" w:rsidRPr="007C03E6">
              <w:rPr>
                <w:rFonts w:ascii="Times New Roman" w:eastAsia="Times New Roman" w:hAnsi="Times New Roman" w:cs="Times New Roman"/>
                <w:color w:val="000000" w:themeColor="text1"/>
                <w:sz w:val="20"/>
                <w:szCs w:val="20"/>
              </w:rPr>
              <w:t>213</w:t>
            </w:r>
          </w:p>
        </w:tc>
        <w:tc>
          <w:tcPr>
            <w:tcW w:w="1709" w:type="dxa"/>
            <w:tcBorders>
              <w:top w:val="nil"/>
              <w:left w:val="nil"/>
              <w:right w:val="nil"/>
            </w:tcBorders>
            <w:shd w:val="clear" w:color="auto" w:fill="auto"/>
            <w:hideMark/>
          </w:tcPr>
          <w:p w14:paraId="77B24682" w14:textId="161398BE" w:rsidR="00670AAF" w:rsidRPr="007C03E6" w:rsidRDefault="00670AAF" w:rsidP="00372B6B">
            <w:pPr>
              <w:jc w:val="center"/>
              <w:rPr>
                <w:rFonts w:ascii="Times New Roman" w:eastAsia="Times New Roman" w:hAnsi="Times New Roman" w:cs="Times New Roman"/>
                <w:color w:val="000000" w:themeColor="text1"/>
                <w:sz w:val="20"/>
                <w:szCs w:val="20"/>
                <w:vertAlign w:val="superscript"/>
              </w:rPr>
            </w:pPr>
            <w:r w:rsidRPr="007C03E6">
              <w:rPr>
                <w:rFonts w:ascii="Times New Roman" w:eastAsia="Times New Roman" w:hAnsi="Times New Roman" w:cs="Times New Roman"/>
                <w:color w:val="000000" w:themeColor="text1"/>
                <w:sz w:val="20"/>
                <w:szCs w:val="20"/>
              </w:rPr>
              <w:t>1.4</w:t>
            </w:r>
            <w:r w:rsidR="00801D46" w:rsidRPr="007C03E6">
              <w:rPr>
                <w:rFonts w:ascii="Times New Roman" w:eastAsia="Times New Roman" w:hAnsi="Times New Roman" w:cs="Times New Roman"/>
                <w:color w:val="000000" w:themeColor="text1"/>
                <w:sz w:val="20"/>
                <w:szCs w:val="20"/>
              </w:rPr>
              <w:t>5</w:t>
            </w:r>
            <w:r w:rsidRPr="007C03E6">
              <w:rPr>
                <w:rFonts w:ascii="Times New Roman" w:eastAsia="Times New Roman" w:hAnsi="Times New Roman" w:cs="Times New Roman"/>
                <w:color w:val="000000" w:themeColor="text1"/>
                <w:sz w:val="20"/>
                <w:szCs w:val="20"/>
              </w:rPr>
              <w:t xml:space="preserve"> (0.</w:t>
            </w:r>
            <w:r w:rsidR="00801D46" w:rsidRPr="007C03E6">
              <w:rPr>
                <w:rFonts w:ascii="Times New Roman" w:eastAsia="Times New Roman" w:hAnsi="Times New Roman" w:cs="Times New Roman"/>
                <w:color w:val="000000" w:themeColor="text1"/>
                <w:sz w:val="20"/>
                <w:szCs w:val="20"/>
              </w:rPr>
              <w:t>55</w:t>
            </w:r>
            <w:r w:rsidR="00372B6B">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3.</w:t>
            </w:r>
            <w:r w:rsidR="00801D46" w:rsidRPr="007C03E6">
              <w:rPr>
                <w:rFonts w:ascii="Times New Roman" w:eastAsia="Times New Roman" w:hAnsi="Times New Roman" w:cs="Times New Roman"/>
                <w:color w:val="000000" w:themeColor="text1"/>
                <w:sz w:val="20"/>
                <w:szCs w:val="20"/>
              </w:rPr>
              <w:t>82</w:t>
            </w:r>
            <w:r w:rsidRPr="007C03E6">
              <w:rPr>
                <w:rFonts w:ascii="Times New Roman" w:eastAsia="Times New Roman" w:hAnsi="Times New Roman" w:cs="Times New Roman"/>
                <w:color w:val="000000" w:themeColor="text1"/>
                <w:sz w:val="20"/>
                <w:szCs w:val="20"/>
              </w:rPr>
              <w:t>)</w:t>
            </w:r>
            <w:r w:rsidR="005314D2" w:rsidRPr="007C03E6">
              <w:rPr>
                <w:rFonts w:ascii="Times New Roman" w:eastAsia="Times New Roman" w:hAnsi="Times New Roman" w:cs="Times New Roman"/>
                <w:color w:val="000000" w:themeColor="text1"/>
                <w:sz w:val="20"/>
                <w:szCs w:val="20"/>
                <w:vertAlign w:val="superscript"/>
              </w:rPr>
              <w:t>a</w:t>
            </w:r>
          </w:p>
        </w:tc>
        <w:tc>
          <w:tcPr>
            <w:tcW w:w="917" w:type="dxa"/>
            <w:gridSpan w:val="2"/>
            <w:tcBorders>
              <w:top w:val="nil"/>
              <w:left w:val="nil"/>
              <w:right w:val="nil"/>
            </w:tcBorders>
            <w:shd w:val="clear" w:color="auto" w:fill="auto"/>
            <w:hideMark/>
          </w:tcPr>
          <w:p w14:paraId="0D47DFC5" w14:textId="2624ED03"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w:t>
            </w:r>
            <w:r w:rsidR="00801D46" w:rsidRPr="007C03E6">
              <w:rPr>
                <w:rFonts w:ascii="Times New Roman" w:eastAsia="Times New Roman" w:hAnsi="Times New Roman" w:cs="Times New Roman"/>
                <w:color w:val="000000" w:themeColor="text1"/>
                <w:sz w:val="20"/>
                <w:szCs w:val="20"/>
              </w:rPr>
              <w:t>455</w:t>
            </w:r>
          </w:p>
        </w:tc>
      </w:tr>
      <w:tr w:rsidR="00AA5349" w:rsidRPr="007C03E6" w14:paraId="1373A7E6" w14:textId="77777777" w:rsidTr="002C2BA7">
        <w:trPr>
          <w:trHeight w:val="306"/>
          <w:jc w:val="center"/>
        </w:trPr>
        <w:tc>
          <w:tcPr>
            <w:tcW w:w="5130" w:type="dxa"/>
            <w:tcBorders>
              <w:top w:val="nil"/>
              <w:left w:val="nil"/>
              <w:bottom w:val="nil"/>
              <w:right w:val="nil"/>
            </w:tcBorders>
            <w:shd w:val="clear" w:color="auto" w:fill="auto"/>
            <w:vAlign w:val="center"/>
            <w:hideMark/>
          </w:tcPr>
          <w:p w14:paraId="19F25A6F" w14:textId="47D9048E" w:rsidR="00670AAF" w:rsidRPr="007C03E6" w:rsidRDefault="00670AAF" w:rsidP="00670AAF">
            <w:pPr>
              <w:jc w:val="both"/>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u w:val="single"/>
              </w:rPr>
              <w:t>&gt;</w:t>
            </w:r>
            <w:r w:rsidRPr="007C03E6">
              <w:rPr>
                <w:rFonts w:ascii="Times New Roman" w:eastAsia="Times New Roman" w:hAnsi="Times New Roman" w:cs="Times New Roman"/>
                <w:color w:val="000000" w:themeColor="text1"/>
                <w:sz w:val="20"/>
                <w:szCs w:val="20"/>
              </w:rPr>
              <w:t>1000 mL blood loss</w:t>
            </w:r>
            <w:r w:rsidR="009E77F2">
              <w:rPr>
                <w:rFonts w:ascii="Times New Roman" w:eastAsia="Times New Roman" w:hAnsi="Times New Roman" w:cs="Times New Roman"/>
                <w:color w:val="000000" w:themeColor="text1"/>
                <w:sz w:val="20"/>
                <w:szCs w:val="20"/>
              </w:rPr>
              <w:t>, n (%)</w:t>
            </w:r>
          </w:p>
        </w:tc>
        <w:tc>
          <w:tcPr>
            <w:tcW w:w="1115" w:type="dxa"/>
            <w:tcBorders>
              <w:top w:val="nil"/>
              <w:left w:val="nil"/>
              <w:bottom w:val="nil"/>
              <w:right w:val="nil"/>
            </w:tcBorders>
            <w:shd w:val="clear" w:color="auto" w:fill="auto"/>
            <w:vAlign w:val="center"/>
            <w:hideMark/>
          </w:tcPr>
          <w:p w14:paraId="018403C2" w14:textId="77777777"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20 (2.1)</w:t>
            </w:r>
          </w:p>
        </w:tc>
        <w:tc>
          <w:tcPr>
            <w:tcW w:w="1126" w:type="dxa"/>
            <w:tcBorders>
              <w:top w:val="nil"/>
              <w:left w:val="nil"/>
              <w:bottom w:val="nil"/>
              <w:right w:val="nil"/>
            </w:tcBorders>
            <w:shd w:val="clear" w:color="auto" w:fill="auto"/>
            <w:vAlign w:val="center"/>
            <w:hideMark/>
          </w:tcPr>
          <w:p w14:paraId="4090DC21" w14:textId="77777777"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52 (5.5)</w:t>
            </w:r>
          </w:p>
        </w:tc>
        <w:tc>
          <w:tcPr>
            <w:tcW w:w="1767" w:type="dxa"/>
            <w:tcBorders>
              <w:top w:val="nil"/>
              <w:left w:val="nil"/>
              <w:bottom w:val="nil"/>
              <w:right w:val="nil"/>
            </w:tcBorders>
            <w:shd w:val="clear" w:color="auto" w:fill="auto"/>
            <w:hideMark/>
          </w:tcPr>
          <w:p w14:paraId="1059AFBD" w14:textId="652771AC" w:rsidR="00670AAF" w:rsidRPr="007C03E6" w:rsidRDefault="00670AAF" w:rsidP="00372B6B">
            <w:pPr>
              <w:jc w:val="center"/>
              <w:rPr>
                <w:rFonts w:ascii="Times New Roman" w:eastAsia="Times New Roman" w:hAnsi="Times New Roman" w:cs="Times New Roman"/>
                <w:color w:val="000000" w:themeColor="text1"/>
                <w:sz w:val="20"/>
                <w:szCs w:val="20"/>
                <w:vertAlign w:val="superscript"/>
              </w:rPr>
            </w:pPr>
            <w:r w:rsidRPr="007C03E6">
              <w:rPr>
                <w:rFonts w:ascii="Times New Roman" w:eastAsia="Times New Roman" w:hAnsi="Times New Roman" w:cs="Times New Roman"/>
                <w:color w:val="000000" w:themeColor="text1"/>
                <w:sz w:val="20"/>
                <w:szCs w:val="20"/>
              </w:rPr>
              <w:t>1.</w:t>
            </w:r>
            <w:r w:rsidR="001349A0" w:rsidRPr="007C03E6">
              <w:rPr>
                <w:rFonts w:ascii="Times New Roman" w:eastAsia="Times New Roman" w:hAnsi="Times New Roman" w:cs="Times New Roman"/>
                <w:color w:val="000000" w:themeColor="text1"/>
                <w:sz w:val="20"/>
                <w:szCs w:val="20"/>
              </w:rPr>
              <w:t xml:space="preserve">13 </w:t>
            </w:r>
            <w:r w:rsidRPr="007C03E6">
              <w:rPr>
                <w:rFonts w:ascii="Times New Roman" w:eastAsia="Times New Roman" w:hAnsi="Times New Roman" w:cs="Times New Roman"/>
                <w:color w:val="000000" w:themeColor="text1"/>
                <w:sz w:val="20"/>
                <w:szCs w:val="20"/>
              </w:rPr>
              <w:t>(0.</w:t>
            </w:r>
            <w:r w:rsidR="001349A0" w:rsidRPr="007C03E6">
              <w:rPr>
                <w:rFonts w:ascii="Times New Roman" w:eastAsia="Times New Roman" w:hAnsi="Times New Roman" w:cs="Times New Roman"/>
                <w:color w:val="000000" w:themeColor="text1"/>
                <w:sz w:val="20"/>
                <w:szCs w:val="20"/>
              </w:rPr>
              <w:t>28</w:t>
            </w:r>
            <w:r w:rsidR="00372B6B">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4.</w:t>
            </w:r>
            <w:r w:rsidR="001349A0" w:rsidRPr="007C03E6">
              <w:rPr>
                <w:rFonts w:ascii="Times New Roman" w:eastAsia="Times New Roman" w:hAnsi="Times New Roman" w:cs="Times New Roman"/>
                <w:color w:val="000000" w:themeColor="text1"/>
                <w:sz w:val="20"/>
                <w:szCs w:val="20"/>
              </w:rPr>
              <w:t>52</w:t>
            </w:r>
            <w:r w:rsidRPr="007C03E6">
              <w:rPr>
                <w:rFonts w:ascii="Times New Roman" w:eastAsia="Times New Roman" w:hAnsi="Times New Roman" w:cs="Times New Roman"/>
                <w:color w:val="000000" w:themeColor="text1"/>
                <w:sz w:val="20"/>
                <w:szCs w:val="20"/>
              </w:rPr>
              <w:t>)</w:t>
            </w:r>
            <w:r w:rsidR="00783C38" w:rsidRPr="007C03E6">
              <w:rPr>
                <w:rFonts w:ascii="Times New Roman" w:eastAsia="Times New Roman" w:hAnsi="Times New Roman" w:cs="Times New Roman"/>
                <w:color w:val="000000" w:themeColor="text1"/>
                <w:sz w:val="20"/>
                <w:szCs w:val="20"/>
                <w:vertAlign w:val="superscript"/>
              </w:rPr>
              <w:t>a</w:t>
            </w:r>
          </w:p>
        </w:tc>
        <w:tc>
          <w:tcPr>
            <w:tcW w:w="916" w:type="dxa"/>
            <w:tcBorders>
              <w:top w:val="nil"/>
              <w:left w:val="nil"/>
              <w:bottom w:val="nil"/>
              <w:right w:val="nil"/>
            </w:tcBorders>
            <w:shd w:val="clear" w:color="auto" w:fill="auto"/>
            <w:hideMark/>
          </w:tcPr>
          <w:p w14:paraId="5BB7AB1E" w14:textId="0B391479"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w:t>
            </w:r>
            <w:r w:rsidR="001349A0" w:rsidRPr="007C03E6">
              <w:rPr>
                <w:rFonts w:ascii="Times New Roman" w:eastAsia="Times New Roman" w:hAnsi="Times New Roman" w:cs="Times New Roman"/>
                <w:color w:val="000000" w:themeColor="text1"/>
                <w:sz w:val="20"/>
                <w:szCs w:val="20"/>
              </w:rPr>
              <w:t>867</w:t>
            </w:r>
          </w:p>
        </w:tc>
        <w:tc>
          <w:tcPr>
            <w:tcW w:w="1066" w:type="dxa"/>
            <w:tcBorders>
              <w:top w:val="nil"/>
              <w:left w:val="nil"/>
              <w:bottom w:val="nil"/>
              <w:right w:val="nil"/>
            </w:tcBorders>
            <w:shd w:val="clear" w:color="auto" w:fill="auto"/>
            <w:vAlign w:val="center"/>
            <w:hideMark/>
          </w:tcPr>
          <w:p w14:paraId="302C865A" w14:textId="77777777"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91 (20.0)</w:t>
            </w:r>
          </w:p>
        </w:tc>
        <w:tc>
          <w:tcPr>
            <w:tcW w:w="1066" w:type="dxa"/>
            <w:tcBorders>
              <w:top w:val="nil"/>
              <w:left w:val="nil"/>
              <w:bottom w:val="nil"/>
              <w:right w:val="nil"/>
            </w:tcBorders>
            <w:shd w:val="clear" w:color="auto" w:fill="auto"/>
            <w:vAlign w:val="center"/>
            <w:hideMark/>
          </w:tcPr>
          <w:p w14:paraId="372AE61D" w14:textId="77777777"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85 (20.3)</w:t>
            </w:r>
          </w:p>
        </w:tc>
        <w:tc>
          <w:tcPr>
            <w:tcW w:w="1706" w:type="dxa"/>
            <w:tcBorders>
              <w:top w:val="nil"/>
              <w:left w:val="nil"/>
              <w:bottom w:val="nil"/>
              <w:right w:val="nil"/>
            </w:tcBorders>
            <w:shd w:val="clear" w:color="auto" w:fill="auto"/>
            <w:hideMark/>
          </w:tcPr>
          <w:p w14:paraId="03CAC1F4" w14:textId="7B898104" w:rsidR="00670AAF" w:rsidRPr="007C03E6" w:rsidRDefault="00670AAF" w:rsidP="00372B6B">
            <w:pPr>
              <w:jc w:val="center"/>
              <w:rPr>
                <w:rFonts w:ascii="Times New Roman" w:eastAsia="Times New Roman" w:hAnsi="Times New Roman" w:cs="Times New Roman"/>
                <w:color w:val="000000" w:themeColor="text1"/>
                <w:sz w:val="20"/>
                <w:szCs w:val="20"/>
                <w:vertAlign w:val="superscript"/>
              </w:rPr>
            </w:pPr>
            <w:r w:rsidRPr="007C03E6">
              <w:rPr>
                <w:rFonts w:ascii="Times New Roman" w:eastAsia="Times New Roman" w:hAnsi="Times New Roman" w:cs="Times New Roman"/>
                <w:color w:val="000000" w:themeColor="text1"/>
                <w:sz w:val="20"/>
                <w:szCs w:val="20"/>
              </w:rPr>
              <w:t>1.5</w:t>
            </w:r>
            <w:r w:rsidR="001349A0" w:rsidRPr="007C03E6">
              <w:rPr>
                <w:rFonts w:ascii="Times New Roman" w:eastAsia="Times New Roman" w:hAnsi="Times New Roman" w:cs="Times New Roman"/>
                <w:color w:val="000000" w:themeColor="text1"/>
                <w:sz w:val="20"/>
                <w:szCs w:val="20"/>
              </w:rPr>
              <w:t>5</w:t>
            </w:r>
            <w:r w:rsidRPr="007C03E6">
              <w:rPr>
                <w:rFonts w:ascii="Times New Roman" w:eastAsia="Times New Roman" w:hAnsi="Times New Roman" w:cs="Times New Roman"/>
                <w:color w:val="000000" w:themeColor="text1"/>
                <w:sz w:val="20"/>
                <w:szCs w:val="20"/>
              </w:rPr>
              <w:t xml:space="preserve"> (0.</w:t>
            </w:r>
            <w:r w:rsidR="001349A0" w:rsidRPr="007C03E6">
              <w:rPr>
                <w:rFonts w:ascii="Times New Roman" w:eastAsia="Times New Roman" w:hAnsi="Times New Roman" w:cs="Times New Roman"/>
                <w:color w:val="000000" w:themeColor="text1"/>
                <w:sz w:val="20"/>
                <w:szCs w:val="20"/>
              </w:rPr>
              <w:t>78</w:t>
            </w:r>
            <w:r w:rsidR="00372B6B">
              <w:rPr>
                <w:rFonts w:ascii="Times New Roman" w:eastAsia="Times New Roman" w:hAnsi="Times New Roman" w:cs="Times New Roman"/>
                <w:color w:val="000000" w:themeColor="text1"/>
                <w:sz w:val="20"/>
                <w:szCs w:val="20"/>
              </w:rPr>
              <w:t>-</w:t>
            </w:r>
            <w:r w:rsidR="001349A0" w:rsidRPr="007C03E6">
              <w:rPr>
                <w:rFonts w:ascii="Times New Roman" w:eastAsia="Times New Roman" w:hAnsi="Times New Roman" w:cs="Times New Roman"/>
                <w:color w:val="000000" w:themeColor="text1"/>
                <w:sz w:val="20"/>
                <w:szCs w:val="20"/>
              </w:rPr>
              <w:t>3.08</w:t>
            </w:r>
            <w:r w:rsidRPr="007C03E6">
              <w:rPr>
                <w:rFonts w:ascii="Times New Roman" w:eastAsia="Times New Roman" w:hAnsi="Times New Roman" w:cs="Times New Roman"/>
                <w:color w:val="000000" w:themeColor="text1"/>
                <w:sz w:val="20"/>
                <w:szCs w:val="20"/>
              </w:rPr>
              <w:t>)</w:t>
            </w:r>
            <w:r w:rsidR="00D430CC" w:rsidRPr="007C03E6">
              <w:rPr>
                <w:rFonts w:ascii="Times New Roman" w:eastAsia="Times New Roman" w:hAnsi="Times New Roman" w:cs="Times New Roman"/>
                <w:color w:val="000000" w:themeColor="text1"/>
                <w:sz w:val="20"/>
                <w:szCs w:val="20"/>
                <w:vertAlign w:val="superscript"/>
              </w:rPr>
              <w:t>a</w:t>
            </w:r>
          </w:p>
        </w:tc>
        <w:tc>
          <w:tcPr>
            <w:tcW w:w="850" w:type="dxa"/>
            <w:tcBorders>
              <w:top w:val="nil"/>
              <w:left w:val="nil"/>
              <w:bottom w:val="nil"/>
              <w:right w:val="nil"/>
            </w:tcBorders>
            <w:shd w:val="clear" w:color="auto" w:fill="auto"/>
            <w:hideMark/>
          </w:tcPr>
          <w:p w14:paraId="147F51D5" w14:textId="1C844AE7"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w:t>
            </w:r>
            <w:r w:rsidR="001349A0" w:rsidRPr="007C03E6">
              <w:rPr>
                <w:rFonts w:ascii="Times New Roman" w:eastAsia="Times New Roman" w:hAnsi="Times New Roman" w:cs="Times New Roman"/>
                <w:color w:val="000000" w:themeColor="text1"/>
                <w:sz w:val="20"/>
                <w:szCs w:val="20"/>
              </w:rPr>
              <w:t>213</w:t>
            </w:r>
          </w:p>
        </w:tc>
        <w:tc>
          <w:tcPr>
            <w:tcW w:w="1728" w:type="dxa"/>
            <w:gridSpan w:val="2"/>
            <w:tcBorders>
              <w:top w:val="nil"/>
              <w:left w:val="nil"/>
              <w:bottom w:val="nil"/>
              <w:right w:val="nil"/>
            </w:tcBorders>
            <w:shd w:val="clear" w:color="auto" w:fill="auto"/>
            <w:hideMark/>
          </w:tcPr>
          <w:p w14:paraId="737327F3" w14:textId="1401BFCB" w:rsidR="00670AAF" w:rsidRPr="007C03E6" w:rsidRDefault="00670AAF" w:rsidP="00372B6B">
            <w:pPr>
              <w:jc w:val="center"/>
              <w:rPr>
                <w:rFonts w:ascii="Times New Roman" w:eastAsia="Times New Roman" w:hAnsi="Times New Roman" w:cs="Times New Roman"/>
                <w:color w:val="000000" w:themeColor="text1"/>
                <w:sz w:val="20"/>
                <w:szCs w:val="20"/>
                <w:vertAlign w:val="superscript"/>
              </w:rPr>
            </w:pPr>
            <w:r w:rsidRPr="007C03E6">
              <w:rPr>
                <w:rFonts w:ascii="Times New Roman" w:eastAsia="Times New Roman" w:hAnsi="Times New Roman" w:cs="Times New Roman"/>
                <w:color w:val="000000" w:themeColor="text1"/>
                <w:sz w:val="20"/>
                <w:szCs w:val="20"/>
              </w:rPr>
              <w:t>0.</w:t>
            </w:r>
            <w:r w:rsidR="001349A0" w:rsidRPr="007C03E6">
              <w:rPr>
                <w:rFonts w:ascii="Times New Roman" w:eastAsia="Times New Roman" w:hAnsi="Times New Roman" w:cs="Times New Roman"/>
                <w:color w:val="000000" w:themeColor="text1"/>
                <w:sz w:val="20"/>
                <w:szCs w:val="20"/>
              </w:rPr>
              <w:t xml:space="preserve">73 </w:t>
            </w:r>
            <w:r w:rsidRPr="007C03E6">
              <w:rPr>
                <w:rFonts w:ascii="Times New Roman" w:eastAsia="Times New Roman" w:hAnsi="Times New Roman" w:cs="Times New Roman"/>
                <w:color w:val="000000" w:themeColor="text1"/>
                <w:sz w:val="20"/>
                <w:szCs w:val="20"/>
              </w:rPr>
              <w:t>(0.</w:t>
            </w:r>
            <w:r w:rsidR="001349A0" w:rsidRPr="007C03E6">
              <w:rPr>
                <w:rFonts w:ascii="Times New Roman" w:eastAsia="Times New Roman" w:hAnsi="Times New Roman" w:cs="Times New Roman"/>
                <w:color w:val="000000" w:themeColor="text1"/>
                <w:sz w:val="20"/>
                <w:szCs w:val="20"/>
              </w:rPr>
              <w:t>15</w:t>
            </w:r>
            <w:r w:rsidR="00372B6B">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3.</w:t>
            </w:r>
            <w:r w:rsidR="001349A0" w:rsidRPr="007C03E6">
              <w:rPr>
                <w:rFonts w:ascii="Times New Roman" w:eastAsia="Times New Roman" w:hAnsi="Times New Roman" w:cs="Times New Roman"/>
                <w:color w:val="000000" w:themeColor="text1"/>
                <w:sz w:val="20"/>
                <w:szCs w:val="20"/>
              </w:rPr>
              <w:t>43</w:t>
            </w:r>
            <w:r w:rsidRPr="007C03E6">
              <w:rPr>
                <w:rFonts w:ascii="Times New Roman" w:eastAsia="Times New Roman" w:hAnsi="Times New Roman" w:cs="Times New Roman"/>
                <w:color w:val="000000" w:themeColor="text1"/>
                <w:sz w:val="20"/>
                <w:szCs w:val="20"/>
              </w:rPr>
              <w:t>)</w:t>
            </w:r>
            <w:r w:rsidR="005314D2" w:rsidRPr="007C03E6">
              <w:rPr>
                <w:rFonts w:ascii="Times New Roman" w:eastAsia="Times New Roman" w:hAnsi="Times New Roman" w:cs="Times New Roman"/>
                <w:color w:val="000000" w:themeColor="text1"/>
                <w:sz w:val="20"/>
                <w:szCs w:val="20"/>
                <w:vertAlign w:val="superscript"/>
              </w:rPr>
              <w:t>a</w:t>
            </w:r>
          </w:p>
        </w:tc>
        <w:tc>
          <w:tcPr>
            <w:tcW w:w="898" w:type="dxa"/>
            <w:tcBorders>
              <w:top w:val="nil"/>
              <w:left w:val="nil"/>
              <w:bottom w:val="nil"/>
              <w:right w:val="nil"/>
            </w:tcBorders>
            <w:shd w:val="clear" w:color="auto" w:fill="auto"/>
            <w:hideMark/>
          </w:tcPr>
          <w:p w14:paraId="23D091BC" w14:textId="71A56088"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w:t>
            </w:r>
            <w:r w:rsidR="001349A0" w:rsidRPr="007C03E6">
              <w:rPr>
                <w:rFonts w:ascii="Times New Roman" w:eastAsia="Times New Roman" w:hAnsi="Times New Roman" w:cs="Times New Roman"/>
                <w:color w:val="000000" w:themeColor="text1"/>
                <w:sz w:val="20"/>
                <w:szCs w:val="20"/>
              </w:rPr>
              <w:t>687</w:t>
            </w:r>
          </w:p>
        </w:tc>
      </w:tr>
      <w:tr w:rsidR="00AA5349" w:rsidRPr="007C03E6" w14:paraId="50E5C450" w14:textId="77777777" w:rsidTr="002C2BA7">
        <w:trPr>
          <w:trHeight w:val="306"/>
          <w:jc w:val="center"/>
        </w:trPr>
        <w:tc>
          <w:tcPr>
            <w:tcW w:w="5130" w:type="dxa"/>
            <w:tcBorders>
              <w:top w:val="nil"/>
              <w:left w:val="nil"/>
              <w:bottom w:val="nil"/>
              <w:right w:val="nil"/>
            </w:tcBorders>
            <w:shd w:val="clear" w:color="auto" w:fill="auto"/>
            <w:vAlign w:val="center"/>
            <w:hideMark/>
          </w:tcPr>
          <w:p w14:paraId="56FCEAC9" w14:textId="033F4272" w:rsidR="00670AAF" w:rsidRPr="007C03E6" w:rsidRDefault="00670AAF" w:rsidP="00670AAF">
            <w:pPr>
              <w:jc w:val="both"/>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 xml:space="preserve">   Blood loss</w:t>
            </w:r>
            <w:r w:rsidR="009E77F2">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rPr>
              <w:t>mL</w:t>
            </w:r>
            <w:r w:rsidR="009E77F2">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rPr>
              <w:t>geometric mean (SE)</w:t>
            </w:r>
          </w:p>
        </w:tc>
        <w:tc>
          <w:tcPr>
            <w:tcW w:w="1115" w:type="dxa"/>
            <w:tcBorders>
              <w:top w:val="nil"/>
              <w:left w:val="nil"/>
              <w:bottom w:val="nil"/>
              <w:right w:val="nil"/>
            </w:tcBorders>
            <w:shd w:val="clear" w:color="auto" w:fill="auto"/>
            <w:vAlign w:val="center"/>
            <w:hideMark/>
          </w:tcPr>
          <w:p w14:paraId="3FC7FEC1" w14:textId="77777777"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307 (4)</w:t>
            </w:r>
          </w:p>
        </w:tc>
        <w:tc>
          <w:tcPr>
            <w:tcW w:w="1126" w:type="dxa"/>
            <w:tcBorders>
              <w:top w:val="nil"/>
              <w:left w:val="nil"/>
              <w:bottom w:val="nil"/>
              <w:right w:val="nil"/>
            </w:tcBorders>
            <w:shd w:val="clear" w:color="auto" w:fill="auto"/>
            <w:vAlign w:val="center"/>
            <w:hideMark/>
          </w:tcPr>
          <w:p w14:paraId="768514DE" w14:textId="77777777"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292 (8)</w:t>
            </w:r>
          </w:p>
        </w:tc>
        <w:tc>
          <w:tcPr>
            <w:tcW w:w="1767" w:type="dxa"/>
            <w:tcBorders>
              <w:top w:val="nil"/>
              <w:left w:val="nil"/>
              <w:bottom w:val="nil"/>
              <w:right w:val="nil"/>
            </w:tcBorders>
            <w:shd w:val="clear" w:color="auto" w:fill="auto"/>
            <w:hideMark/>
          </w:tcPr>
          <w:p w14:paraId="6A7E71EC" w14:textId="5BDB6916" w:rsidR="00670AAF" w:rsidRPr="007C03E6" w:rsidRDefault="00670AAF" w:rsidP="00372B6B">
            <w:pPr>
              <w:jc w:val="center"/>
              <w:rPr>
                <w:rFonts w:ascii="Times New Roman" w:eastAsia="Times New Roman" w:hAnsi="Times New Roman" w:cs="Times New Roman"/>
                <w:color w:val="000000" w:themeColor="text1"/>
                <w:sz w:val="20"/>
                <w:szCs w:val="20"/>
                <w:vertAlign w:val="superscript"/>
              </w:rPr>
            </w:pPr>
            <w:r w:rsidRPr="007C03E6">
              <w:rPr>
                <w:rFonts w:ascii="Times New Roman" w:eastAsia="Times New Roman" w:hAnsi="Times New Roman" w:cs="Times New Roman"/>
                <w:color w:val="000000" w:themeColor="text1"/>
                <w:sz w:val="20"/>
                <w:szCs w:val="20"/>
              </w:rPr>
              <w:t>1.03 (0.9</w:t>
            </w:r>
            <w:r w:rsidR="00425660" w:rsidRPr="007C03E6">
              <w:rPr>
                <w:rFonts w:ascii="Times New Roman" w:eastAsia="Times New Roman" w:hAnsi="Times New Roman" w:cs="Times New Roman"/>
                <w:color w:val="000000" w:themeColor="text1"/>
                <w:sz w:val="20"/>
                <w:szCs w:val="20"/>
              </w:rPr>
              <w:t>0</w:t>
            </w:r>
            <w:r w:rsidR="00372B6B">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1.17)</w:t>
            </w:r>
            <w:r w:rsidR="00783C38" w:rsidRPr="007C03E6">
              <w:rPr>
                <w:rFonts w:ascii="Times New Roman" w:eastAsia="Times New Roman" w:hAnsi="Times New Roman" w:cs="Times New Roman"/>
                <w:color w:val="000000" w:themeColor="text1"/>
                <w:sz w:val="20"/>
                <w:szCs w:val="20"/>
                <w:vertAlign w:val="superscript"/>
              </w:rPr>
              <w:t>b</w:t>
            </w:r>
          </w:p>
        </w:tc>
        <w:tc>
          <w:tcPr>
            <w:tcW w:w="916" w:type="dxa"/>
            <w:tcBorders>
              <w:top w:val="nil"/>
              <w:left w:val="nil"/>
              <w:bottom w:val="nil"/>
              <w:right w:val="nil"/>
            </w:tcBorders>
            <w:shd w:val="clear" w:color="auto" w:fill="auto"/>
            <w:hideMark/>
          </w:tcPr>
          <w:p w14:paraId="0FE54C85" w14:textId="27D32E6A"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w:t>
            </w:r>
            <w:r w:rsidR="00127E58" w:rsidRPr="007C03E6">
              <w:rPr>
                <w:rFonts w:ascii="Times New Roman" w:eastAsia="Times New Roman" w:hAnsi="Times New Roman" w:cs="Times New Roman"/>
                <w:color w:val="000000" w:themeColor="text1"/>
                <w:sz w:val="20"/>
                <w:szCs w:val="20"/>
              </w:rPr>
              <w:t>690</w:t>
            </w:r>
          </w:p>
        </w:tc>
        <w:tc>
          <w:tcPr>
            <w:tcW w:w="1066" w:type="dxa"/>
            <w:tcBorders>
              <w:top w:val="nil"/>
              <w:left w:val="nil"/>
              <w:bottom w:val="nil"/>
              <w:right w:val="nil"/>
            </w:tcBorders>
            <w:shd w:val="clear" w:color="auto" w:fill="auto"/>
            <w:vAlign w:val="center"/>
            <w:hideMark/>
          </w:tcPr>
          <w:p w14:paraId="6AB53F5D" w14:textId="77777777"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767 (10)</w:t>
            </w:r>
          </w:p>
        </w:tc>
        <w:tc>
          <w:tcPr>
            <w:tcW w:w="1066" w:type="dxa"/>
            <w:tcBorders>
              <w:top w:val="nil"/>
              <w:left w:val="nil"/>
              <w:bottom w:val="nil"/>
              <w:right w:val="nil"/>
            </w:tcBorders>
            <w:shd w:val="clear" w:color="auto" w:fill="auto"/>
            <w:vAlign w:val="center"/>
            <w:hideMark/>
          </w:tcPr>
          <w:p w14:paraId="464CC3B4" w14:textId="77777777"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793 (11)</w:t>
            </w:r>
          </w:p>
        </w:tc>
        <w:tc>
          <w:tcPr>
            <w:tcW w:w="1706" w:type="dxa"/>
            <w:tcBorders>
              <w:top w:val="nil"/>
              <w:left w:val="nil"/>
              <w:bottom w:val="nil"/>
              <w:right w:val="nil"/>
            </w:tcBorders>
            <w:shd w:val="clear" w:color="auto" w:fill="auto"/>
            <w:hideMark/>
          </w:tcPr>
          <w:p w14:paraId="09FC9FF8" w14:textId="5B34963B" w:rsidR="00670AAF" w:rsidRPr="007C03E6" w:rsidRDefault="00670AAF" w:rsidP="00372B6B">
            <w:pPr>
              <w:jc w:val="center"/>
              <w:rPr>
                <w:rFonts w:ascii="Times New Roman" w:eastAsia="Times New Roman" w:hAnsi="Times New Roman" w:cs="Times New Roman"/>
                <w:color w:val="000000" w:themeColor="text1"/>
                <w:sz w:val="20"/>
                <w:szCs w:val="20"/>
                <w:vertAlign w:val="superscript"/>
              </w:rPr>
            </w:pPr>
            <w:r w:rsidRPr="007C03E6">
              <w:rPr>
                <w:rFonts w:ascii="Times New Roman" w:eastAsia="Times New Roman" w:hAnsi="Times New Roman" w:cs="Times New Roman"/>
                <w:color w:val="000000" w:themeColor="text1"/>
                <w:sz w:val="20"/>
                <w:szCs w:val="20"/>
              </w:rPr>
              <w:t>1.1</w:t>
            </w:r>
            <w:r w:rsidR="00425660" w:rsidRPr="007C03E6">
              <w:rPr>
                <w:rFonts w:ascii="Times New Roman" w:eastAsia="Times New Roman" w:hAnsi="Times New Roman" w:cs="Times New Roman"/>
                <w:color w:val="000000" w:themeColor="text1"/>
                <w:sz w:val="20"/>
                <w:szCs w:val="20"/>
              </w:rPr>
              <w:t>0</w:t>
            </w:r>
            <w:r w:rsidRPr="007C03E6">
              <w:rPr>
                <w:rFonts w:ascii="Times New Roman" w:eastAsia="Times New Roman" w:hAnsi="Times New Roman" w:cs="Times New Roman"/>
                <w:color w:val="000000" w:themeColor="text1"/>
                <w:sz w:val="20"/>
                <w:szCs w:val="20"/>
              </w:rPr>
              <w:t xml:space="preserve"> (</w:t>
            </w:r>
            <w:r w:rsidR="00425660" w:rsidRPr="007C03E6">
              <w:rPr>
                <w:rFonts w:ascii="Times New Roman" w:eastAsia="Times New Roman" w:hAnsi="Times New Roman" w:cs="Times New Roman"/>
                <w:color w:val="000000" w:themeColor="text1"/>
                <w:sz w:val="20"/>
                <w:szCs w:val="20"/>
              </w:rPr>
              <w:t>1</w:t>
            </w:r>
            <w:r w:rsidRPr="007C03E6">
              <w:rPr>
                <w:rFonts w:ascii="Times New Roman" w:eastAsia="Times New Roman" w:hAnsi="Times New Roman" w:cs="Times New Roman"/>
                <w:color w:val="000000" w:themeColor="text1"/>
                <w:sz w:val="20"/>
                <w:szCs w:val="20"/>
              </w:rPr>
              <w:t>.</w:t>
            </w:r>
            <w:r w:rsidR="00425660" w:rsidRPr="007C03E6">
              <w:rPr>
                <w:rFonts w:ascii="Times New Roman" w:eastAsia="Times New Roman" w:hAnsi="Times New Roman" w:cs="Times New Roman"/>
                <w:color w:val="000000" w:themeColor="text1"/>
                <w:sz w:val="20"/>
                <w:szCs w:val="20"/>
              </w:rPr>
              <w:t>00</w:t>
            </w:r>
            <w:r w:rsidR="00372B6B">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1.</w:t>
            </w:r>
            <w:r w:rsidR="00425660" w:rsidRPr="007C03E6">
              <w:rPr>
                <w:rFonts w:ascii="Times New Roman" w:eastAsia="Times New Roman" w:hAnsi="Times New Roman" w:cs="Times New Roman"/>
                <w:color w:val="000000" w:themeColor="text1"/>
                <w:sz w:val="20"/>
                <w:szCs w:val="20"/>
              </w:rPr>
              <w:t>22</w:t>
            </w:r>
            <w:r w:rsidRPr="007C03E6">
              <w:rPr>
                <w:rFonts w:ascii="Times New Roman" w:eastAsia="Times New Roman" w:hAnsi="Times New Roman" w:cs="Times New Roman"/>
                <w:color w:val="000000" w:themeColor="text1"/>
                <w:sz w:val="20"/>
                <w:szCs w:val="20"/>
              </w:rPr>
              <w:t>)</w:t>
            </w:r>
            <w:r w:rsidR="00D430CC" w:rsidRPr="007C03E6">
              <w:rPr>
                <w:rFonts w:ascii="Times New Roman" w:eastAsia="Times New Roman" w:hAnsi="Times New Roman" w:cs="Times New Roman"/>
                <w:color w:val="000000" w:themeColor="text1"/>
                <w:sz w:val="20"/>
                <w:szCs w:val="20"/>
                <w:vertAlign w:val="superscript"/>
              </w:rPr>
              <w:t>b</w:t>
            </w:r>
          </w:p>
        </w:tc>
        <w:tc>
          <w:tcPr>
            <w:tcW w:w="850" w:type="dxa"/>
            <w:tcBorders>
              <w:top w:val="nil"/>
              <w:left w:val="nil"/>
              <w:bottom w:val="nil"/>
              <w:right w:val="nil"/>
            </w:tcBorders>
            <w:shd w:val="clear" w:color="auto" w:fill="auto"/>
            <w:hideMark/>
          </w:tcPr>
          <w:p w14:paraId="3B919CD3" w14:textId="1A3A3B90"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w:t>
            </w:r>
            <w:r w:rsidR="00127E58" w:rsidRPr="007C03E6">
              <w:rPr>
                <w:rFonts w:ascii="Times New Roman" w:eastAsia="Times New Roman" w:hAnsi="Times New Roman" w:cs="Times New Roman"/>
                <w:color w:val="000000" w:themeColor="text1"/>
                <w:sz w:val="20"/>
                <w:szCs w:val="20"/>
              </w:rPr>
              <w:t>059</w:t>
            </w:r>
          </w:p>
        </w:tc>
        <w:tc>
          <w:tcPr>
            <w:tcW w:w="1709" w:type="dxa"/>
            <w:tcBorders>
              <w:top w:val="nil"/>
              <w:left w:val="nil"/>
              <w:bottom w:val="nil"/>
              <w:right w:val="nil"/>
            </w:tcBorders>
            <w:shd w:val="clear" w:color="auto" w:fill="auto"/>
            <w:hideMark/>
          </w:tcPr>
          <w:p w14:paraId="5C3A192D" w14:textId="67F2FBE9" w:rsidR="00670AAF" w:rsidRPr="007C03E6" w:rsidRDefault="00670AAF" w:rsidP="00372B6B">
            <w:pPr>
              <w:jc w:val="center"/>
              <w:rPr>
                <w:rFonts w:ascii="Times New Roman" w:eastAsia="Times New Roman" w:hAnsi="Times New Roman" w:cs="Times New Roman"/>
                <w:color w:val="000000" w:themeColor="text1"/>
                <w:sz w:val="20"/>
                <w:szCs w:val="20"/>
                <w:vertAlign w:val="superscript"/>
              </w:rPr>
            </w:pPr>
            <w:r w:rsidRPr="007C03E6">
              <w:rPr>
                <w:rFonts w:ascii="Times New Roman" w:eastAsia="Times New Roman" w:hAnsi="Times New Roman" w:cs="Times New Roman"/>
                <w:color w:val="000000" w:themeColor="text1"/>
                <w:sz w:val="20"/>
                <w:szCs w:val="20"/>
              </w:rPr>
              <w:t>0.93 (0.7</w:t>
            </w:r>
            <w:r w:rsidR="00425660" w:rsidRPr="007C03E6">
              <w:rPr>
                <w:rFonts w:ascii="Times New Roman" w:eastAsia="Times New Roman" w:hAnsi="Times New Roman" w:cs="Times New Roman"/>
                <w:color w:val="000000" w:themeColor="text1"/>
                <w:sz w:val="20"/>
                <w:szCs w:val="20"/>
              </w:rPr>
              <w:t>9</w:t>
            </w:r>
            <w:r w:rsidR="00372B6B">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1.</w:t>
            </w:r>
            <w:r w:rsidR="00425660" w:rsidRPr="007C03E6">
              <w:rPr>
                <w:rFonts w:ascii="Times New Roman" w:eastAsia="Times New Roman" w:hAnsi="Times New Roman" w:cs="Times New Roman"/>
                <w:color w:val="000000" w:themeColor="text1"/>
                <w:sz w:val="20"/>
                <w:szCs w:val="20"/>
              </w:rPr>
              <w:t>10</w:t>
            </w:r>
            <w:r w:rsidRPr="007C03E6">
              <w:rPr>
                <w:rFonts w:ascii="Times New Roman" w:eastAsia="Times New Roman" w:hAnsi="Times New Roman" w:cs="Times New Roman"/>
                <w:color w:val="000000" w:themeColor="text1"/>
                <w:sz w:val="20"/>
                <w:szCs w:val="20"/>
              </w:rPr>
              <w:t>)</w:t>
            </w:r>
            <w:r w:rsidR="005314D2" w:rsidRPr="007C03E6">
              <w:rPr>
                <w:rFonts w:ascii="Times New Roman" w:eastAsia="Times New Roman" w:hAnsi="Times New Roman" w:cs="Times New Roman"/>
                <w:color w:val="000000" w:themeColor="text1"/>
                <w:sz w:val="20"/>
                <w:szCs w:val="20"/>
                <w:vertAlign w:val="superscript"/>
              </w:rPr>
              <w:t>b</w:t>
            </w:r>
          </w:p>
        </w:tc>
        <w:tc>
          <w:tcPr>
            <w:tcW w:w="917" w:type="dxa"/>
            <w:gridSpan w:val="2"/>
            <w:tcBorders>
              <w:top w:val="nil"/>
              <w:left w:val="nil"/>
              <w:bottom w:val="nil"/>
              <w:right w:val="nil"/>
            </w:tcBorders>
            <w:shd w:val="clear" w:color="auto" w:fill="auto"/>
            <w:hideMark/>
          </w:tcPr>
          <w:p w14:paraId="3BE4BAF9" w14:textId="70753671" w:rsidR="00670AAF" w:rsidRPr="007C03E6" w:rsidRDefault="00670AAF"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w:t>
            </w:r>
            <w:r w:rsidR="00425660" w:rsidRPr="007C03E6">
              <w:rPr>
                <w:rFonts w:ascii="Times New Roman" w:eastAsia="Times New Roman" w:hAnsi="Times New Roman" w:cs="Times New Roman"/>
                <w:color w:val="000000" w:themeColor="text1"/>
                <w:sz w:val="20"/>
                <w:szCs w:val="20"/>
              </w:rPr>
              <w:t>391</w:t>
            </w:r>
          </w:p>
        </w:tc>
      </w:tr>
      <w:tr w:rsidR="00AA5349" w:rsidRPr="007C03E6" w14:paraId="1C351831" w14:textId="77777777" w:rsidTr="002C2BA7">
        <w:trPr>
          <w:trHeight w:val="306"/>
          <w:jc w:val="center"/>
        </w:trPr>
        <w:tc>
          <w:tcPr>
            <w:tcW w:w="5130" w:type="dxa"/>
            <w:tcBorders>
              <w:top w:val="nil"/>
              <w:left w:val="nil"/>
              <w:bottom w:val="nil"/>
              <w:right w:val="nil"/>
            </w:tcBorders>
            <w:shd w:val="clear" w:color="auto" w:fill="auto"/>
            <w:vAlign w:val="center"/>
            <w:hideMark/>
          </w:tcPr>
          <w:p w14:paraId="19A91372" w14:textId="63ED0348" w:rsidR="00670AAF" w:rsidRPr="009E77F2" w:rsidRDefault="00670AAF" w:rsidP="00670AAF">
            <w:pPr>
              <w:jc w:val="both"/>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 xml:space="preserve">Postdelivery </w:t>
            </w:r>
            <w:r w:rsidR="00372B6B">
              <w:rPr>
                <w:rFonts w:ascii="Times New Roman" w:eastAsia="Times New Roman" w:hAnsi="Times New Roman" w:cs="Times New Roman"/>
                <w:b/>
                <w:bCs/>
                <w:color w:val="000000" w:themeColor="text1"/>
                <w:sz w:val="20"/>
                <w:szCs w:val="20"/>
              </w:rPr>
              <w:t>I</w:t>
            </w:r>
            <w:r w:rsidRPr="009E77F2">
              <w:rPr>
                <w:rFonts w:ascii="Times New Roman" w:eastAsia="Times New Roman" w:hAnsi="Times New Roman" w:cs="Times New Roman"/>
                <w:b/>
                <w:bCs/>
                <w:color w:val="000000" w:themeColor="text1"/>
                <w:sz w:val="20"/>
                <w:szCs w:val="20"/>
              </w:rPr>
              <w:t>nterventions</w:t>
            </w:r>
            <w:r w:rsidR="001622B3" w:rsidRPr="009E77F2">
              <w:rPr>
                <w:rFonts w:ascii="Times New Roman" w:eastAsia="Times New Roman" w:hAnsi="Times New Roman" w:cs="Times New Roman"/>
                <w:b/>
                <w:bCs/>
                <w:color w:val="000000" w:themeColor="text1"/>
                <w:sz w:val="20"/>
                <w:szCs w:val="20"/>
              </w:rPr>
              <w:t xml:space="preserve"> (sensitivity analysis 1)</w:t>
            </w:r>
          </w:p>
        </w:tc>
        <w:tc>
          <w:tcPr>
            <w:tcW w:w="1115" w:type="dxa"/>
            <w:tcBorders>
              <w:top w:val="nil"/>
              <w:left w:val="nil"/>
              <w:bottom w:val="nil"/>
              <w:right w:val="nil"/>
            </w:tcBorders>
            <w:shd w:val="clear" w:color="auto" w:fill="auto"/>
            <w:vAlign w:val="center"/>
            <w:hideMark/>
          </w:tcPr>
          <w:p w14:paraId="065BC2DA" w14:textId="77777777" w:rsidR="00670AAF" w:rsidRPr="0074081B" w:rsidRDefault="00670AAF" w:rsidP="00372B6B">
            <w:pPr>
              <w:jc w:val="center"/>
              <w:rPr>
                <w:rFonts w:ascii="Times New Roman" w:eastAsia="Times New Roman" w:hAnsi="Times New Roman" w:cs="Times New Roman"/>
                <w:b/>
                <w:bCs/>
                <w:color w:val="000000" w:themeColor="text1"/>
                <w:sz w:val="20"/>
                <w:szCs w:val="20"/>
              </w:rPr>
            </w:pPr>
            <w:r w:rsidRPr="0074081B">
              <w:rPr>
                <w:rFonts w:ascii="Times New Roman" w:eastAsia="Times New Roman" w:hAnsi="Times New Roman" w:cs="Times New Roman"/>
                <w:b/>
                <w:bCs/>
                <w:color w:val="000000" w:themeColor="text1"/>
                <w:sz w:val="20"/>
                <w:szCs w:val="20"/>
              </w:rPr>
              <w:t>n = 967</w:t>
            </w:r>
          </w:p>
        </w:tc>
        <w:tc>
          <w:tcPr>
            <w:tcW w:w="1126" w:type="dxa"/>
            <w:tcBorders>
              <w:top w:val="nil"/>
              <w:left w:val="nil"/>
              <w:bottom w:val="nil"/>
              <w:right w:val="nil"/>
            </w:tcBorders>
            <w:shd w:val="clear" w:color="auto" w:fill="auto"/>
            <w:vAlign w:val="center"/>
            <w:hideMark/>
          </w:tcPr>
          <w:p w14:paraId="094ECEC9" w14:textId="77777777" w:rsidR="00670AAF" w:rsidRPr="0074081B" w:rsidRDefault="00670AAF" w:rsidP="00372B6B">
            <w:pPr>
              <w:jc w:val="center"/>
              <w:rPr>
                <w:rFonts w:ascii="Times New Roman" w:eastAsia="Times New Roman" w:hAnsi="Times New Roman" w:cs="Times New Roman"/>
                <w:b/>
                <w:bCs/>
                <w:color w:val="000000" w:themeColor="text1"/>
                <w:sz w:val="20"/>
                <w:szCs w:val="20"/>
              </w:rPr>
            </w:pPr>
            <w:r w:rsidRPr="0074081B">
              <w:rPr>
                <w:rFonts w:ascii="Times New Roman" w:eastAsia="Times New Roman" w:hAnsi="Times New Roman" w:cs="Times New Roman"/>
                <w:b/>
                <w:bCs/>
                <w:color w:val="000000" w:themeColor="text1"/>
                <w:sz w:val="20"/>
                <w:szCs w:val="20"/>
              </w:rPr>
              <w:t>n = 947</w:t>
            </w:r>
          </w:p>
        </w:tc>
        <w:tc>
          <w:tcPr>
            <w:tcW w:w="1767" w:type="dxa"/>
            <w:tcBorders>
              <w:top w:val="nil"/>
              <w:left w:val="nil"/>
              <w:bottom w:val="nil"/>
              <w:right w:val="nil"/>
            </w:tcBorders>
            <w:shd w:val="clear" w:color="auto" w:fill="auto"/>
            <w:vAlign w:val="center"/>
            <w:hideMark/>
          </w:tcPr>
          <w:p w14:paraId="2F5FA13B" w14:textId="77777777" w:rsidR="00670AAF" w:rsidRPr="007C03E6" w:rsidRDefault="00670AAF" w:rsidP="00372B6B">
            <w:pPr>
              <w:jc w:val="center"/>
              <w:rPr>
                <w:rFonts w:ascii="Times New Roman" w:eastAsia="Times New Roman" w:hAnsi="Times New Roman" w:cs="Times New Roman"/>
                <w:color w:val="000000" w:themeColor="text1"/>
                <w:sz w:val="20"/>
                <w:szCs w:val="20"/>
              </w:rPr>
            </w:pPr>
          </w:p>
        </w:tc>
        <w:tc>
          <w:tcPr>
            <w:tcW w:w="916" w:type="dxa"/>
            <w:tcBorders>
              <w:top w:val="nil"/>
              <w:left w:val="nil"/>
              <w:bottom w:val="nil"/>
              <w:right w:val="nil"/>
            </w:tcBorders>
            <w:shd w:val="clear" w:color="auto" w:fill="auto"/>
            <w:vAlign w:val="center"/>
            <w:hideMark/>
          </w:tcPr>
          <w:p w14:paraId="02B90E5B" w14:textId="77777777" w:rsidR="00670AAF" w:rsidRPr="007C03E6" w:rsidRDefault="00670AAF" w:rsidP="00372B6B">
            <w:pPr>
              <w:jc w:val="center"/>
              <w:rPr>
                <w:rFonts w:ascii="Times New Roman" w:eastAsia="Times New Roman" w:hAnsi="Times New Roman" w:cs="Times New Roman"/>
                <w:color w:val="000000" w:themeColor="text1"/>
                <w:sz w:val="20"/>
                <w:szCs w:val="20"/>
              </w:rPr>
            </w:pPr>
          </w:p>
        </w:tc>
        <w:tc>
          <w:tcPr>
            <w:tcW w:w="1066" w:type="dxa"/>
            <w:tcBorders>
              <w:top w:val="nil"/>
              <w:left w:val="nil"/>
              <w:bottom w:val="nil"/>
              <w:right w:val="nil"/>
            </w:tcBorders>
            <w:shd w:val="clear" w:color="auto" w:fill="auto"/>
            <w:vAlign w:val="center"/>
            <w:hideMark/>
          </w:tcPr>
          <w:p w14:paraId="10687C33" w14:textId="77777777" w:rsidR="00670AAF" w:rsidRPr="007C03E6" w:rsidRDefault="00670AAF" w:rsidP="00372B6B">
            <w:pPr>
              <w:jc w:val="center"/>
              <w:rPr>
                <w:rFonts w:ascii="Times New Roman" w:eastAsia="Times New Roman" w:hAnsi="Times New Roman" w:cs="Times New Roman"/>
                <w:color w:val="000000" w:themeColor="text1"/>
                <w:sz w:val="20"/>
                <w:szCs w:val="20"/>
              </w:rPr>
            </w:pPr>
          </w:p>
        </w:tc>
        <w:tc>
          <w:tcPr>
            <w:tcW w:w="1066" w:type="dxa"/>
            <w:tcBorders>
              <w:top w:val="nil"/>
              <w:left w:val="nil"/>
              <w:bottom w:val="nil"/>
              <w:right w:val="nil"/>
            </w:tcBorders>
            <w:shd w:val="clear" w:color="auto" w:fill="auto"/>
            <w:vAlign w:val="center"/>
            <w:hideMark/>
          </w:tcPr>
          <w:p w14:paraId="13715A6B" w14:textId="77777777" w:rsidR="00670AAF" w:rsidRPr="007C03E6" w:rsidRDefault="00670AAF" w:rsidP="00372B6B">
            <w:pPr>
              <w:jc w:val="center"/>
              <w:rPr>
                <w:rFonts w:ascii="Times New Roman" w:eastAsia="Times New Roman" w:hAnsi="Times New Roman" w:cs="Times New Roman"/>
                <w:color w:val="000000" w:themeColor="text1"/>
                <w:sz w:val="20"/>
                <w:szCs w:val="20"/>
              </w:rPr>
            </w:pPr>
          </w:p>
        </w:tc>
        <w:tc>
          <w:tcPr>
            <w:tcW w:w="1706" w:type="dxa"/>
            <w:tcBorders>
              <w:top w:val="nil"/>
              <w:left w:val="nil"/>
              <w:bottom w:val="nil"/>
              <w:right w:val="nil"/>
            </w:tcBorders>
            <w:shd w:val="clear" w:color="auto" w:fill="auto"/>
            <w:noWrap/>
            <w:vAlign w:val="bottom"/>
            <w:hideMark/>
          </w:tcPr>
          <w:p w14:paraId="7EA67397" w14:textId="77777777" w:rsidR="00670AAF" w:rsidRPr="007C03E6" w:rsidRDefault="00670AAF" w:rsidP="00372B6B">
            <w:pPr>
              <w:jc w:val="center"/>
              <w:rPr>
                <w:rFonts w:ascii="Times New Roman" w:eastAsia="Times New Roman" w:hAnsi="Times New Roman" w:cs="Times New Roman"/>
                <w:color w:val="000000" w:themeColor="text1"/>
                <w:sz w:val="20"/>
                <w:szCs w:val="20"/>
              </w:rPr>
            </w:pPr>
          </w:p>
        </w:tc>
        <w:tc>
          <w:tcPr>
            <w:tcW w:w="850" w:type="dxa"/>
            <w:tcBorders>
              <w:top w:val="nil"/>
              <w:left w:val="nil"/>
              <w:bottom w:val="nil"/>
              <w:right w:val="nil"/>
            </w:tcBorders>
            <w:shd w:val="clear" w:color="auto" w:fill="auto"/>
            <w:noWrap/>
            <w:vAlign w:val="bottom"/>
            <w:hideMark/>
          </w:tcPr>
          <w:p w14:paraId="52AD54F3" w14:textId="77777777" w:rsidR="00670AAF" w:rsidRPr="007C03E6" w:rsidRDefault="00670AAF" w:rsidP="00372B6B">
            <w:pPr>
              <w:jc w:val="center"/>
              <w:rPr>
                <w:rFonts w:ascii="Times New Roman" w:eastAsia="Times New Roman" w:hAnsi="Times New Roman" w:cs="Times New Roman"/>
                <w:color w:val="000000" w:themeColor="text1"/>
                <w:sz w:val="20"/>
                <w:szCs w:val="20"/>
              </w:rPr>
            </w:pPr>
          </w:p>
        </w:tc>
        <w:tc>
          <w:tcPr>
            <w:tcW w:w="1709" w:type="dxa"/>
            <w:tcBorders>
              <w:top w:val="nil"/>
              <w:left w:val="nil"/>
              <w:bottom w:val="nil"/>
              <w:right w:val="nil"/>
            </w:tcBorders>
            <w:shd w:val="clear" w:color="auto" w:fill="auto"/>
            <w:noWrap/>
            <w:vAlign w:val="bottom"/>
            <w:hideMark/>
          </w:tcPr>
          <w:p w14:paraId="5EA0DA19" w14:textId="77777777" w:rsidR="00670AAF" w:rsidRPr="007C03E6" w:rsidRDefault="00670AAF" w:rsidP="00372B6B">
            <w:pPr>
              <w:jc w:val="center"/>
              <w:rPr>
                <w:rFonts w:ascii="Times New Roman" w:eastAsia="Times New Roman" w:hAnsi="Times New Roman" w:cs="Times New Roman"/>
                <w:color w:val="000000" w:themeColor="text1"/>
                <w:sz w:val="20"/>
                <w:szCs w:val="20"/>
              </w:rPr>
            </w:pPr>
          </w:p>
        </w:tc>
        <w:tc>
          <w:tcPr>
            <w:tcW w:w="917" w:type="dxa"/>
            <w:gridSpan w:val="2"/>
            <w:tcBorders>
              <w:top w:val="nil"/>
              <w:left w:val="nil"/>
              <w:bottom w:val="nil"/>
              <w:right w:val="nil"/>
            </w:tcBorders>
            <w:shd w:val="clear" w:color="auto" w:fill="auto"/>
            <w:noWrap/>
            <w:vAlign w:val="bottom"/>
            <w:hideMark/>
          </w:tcPr>
          <w:p w14:paraId="5BDBD988" w14:textId="77777777" w:rsidR="00670AAF" w:rsidRPr="007C03E6" w:rsidRDefault="00670AAF" w:rsidP="00372B6B">
            <w:pPr>
              <w:jc w:val="center"/>
              <w:rPr>
                <w:rFonts w:ascii="Times New Roman" w:eastAsia="Times New Roman" w:hAnsi="Times New Roman" w:cs="Times New Roman"/>
                <w:color w:val="000000" w:themeColor="text1"/>
                <w:sz w:val="20"/>
                <w:szCs w:val="20"/>
              </w:rPr>
            </w:pPr>
          </w:p>
        </w:tc>
      </w:tr>
      <w:tr w:rsidR="0074081B" w:rsidRPr="007C03E6" w14:paraId="6A13102E" w14:textId="77777777" w:rsidTr="002C2BA7">
        <w:trPr>
          <w:trHeight w:val="306"/>
          <w:jc w:val="center"/>
        </w:trPr>
        <w:tc>
          <w:tcPr>
            <w:tcW w:w="5130" w:type="dxa"/>
            <w:tcBorders>
              <w:top w:val="nil"/>
              <w:left w:val="nil"/>
              <w:bottom w:val="nil"/>
              <w:right w:val="nil"/>
            </w:tcBorders>
            <w:shd w:val="clear" w:color="auto" w:fill="auto"/>
            <w:vAlign w:val="center"/>
            <w:hideMark/>
          </w:tcPr>
          <w:p w14:paraId="3BEDC4DA" w14:textId="3DEE1302" w:rsidR="0074081B" w:rsidRPr="007C03E6" w:rsidRDefault="0074081B" w:rsidP="0074081B">
            <w:pP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 xml:space="preserve">   Secondary uterotonic use</w:t>
            </w:r>
            <w:r>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rPr>
              <w:t>n</w:t>
            </w:r>
            <w:r>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rPr>
              <w:t>%)</w:t>
            </w:r>
          </w:p>
        </w:tc>
        <w:tc>
          <w:tcPr>
            <w:tcW w:w="1115" w:type="dxa"/>
            <w:tcBorders>
              <w:top w:val="nil"/>
              <w:left w:val="nil"/>
              <w:bottom w:val="nil"/>
              <w:right w:val="nil"/>
            </w:tcBorders>
            <w:shd w:val="clear" w:color="auto" w:fill="auto"/>
            <w:vAlign w:val="center"/>
            <w:hideMark/>
          </w:tcPr>
          <w:p w14:paraId="2BA5A9C0"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90 (9.3)</w:t>
            </w:r>
          </w:p>
        </w:tc>
        <w:tc>
          <w:tcPr>
            <w:tcW w:w="1126" w:type="dxa"/>
            <w:tcBorders>
              <w:top w:val="nil"/>
              <w:left w:val="nil"/>
              <w:bottom w:val="nil"/>
              <w:right w:val="nil"/>
            </w:tcBorders>
            <w:shd w:val="clear" w:color="auto" w:fill="auto"/>
            <w:vAlign w:val="center"/>
            <w:hideMark/>
          </w:tcPr>
          <w:p w14:paraId="0D6DFA54"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88 (9.3)</w:t>
            </w:r>
          </w:p>
        </w:tc>
        <w:tc>
          <w:tcPr>
            <w:tcW w:w="1767" w:type="dxa"/>
            <w:tcBorders>
              <w:top w:val="nil"/>
              <w:left w:val="nil"/>
              <w:bottom w:val="nil"/>
              <w:right w:val="nil"/>
            </w:tcBorders>
            <w:shd w:val="clear" w:color="auto" w:fill="auto"/>
            <w:hideMark/>
          </w:tcPr>
          <w:p w14:paraId="4F29183F" w14:textId="143E4B89" w:rsidR="0074081B" w:rsidRPr="007C03E6" w:rsidRDefault="0074081B" w:rsidP="00372B6B">
            <w:pPr>
              <w:jc w:val="center"/>
              <w:rPr>
                <w:rFonts w:ascii="Times New Roman" w:eastAsia="Times New Roman" w:hAnsi="Times New Roman" w:cs="Times New Roman"/>
                <w:color w:val="000000" w:themeColor="text1"/>
                <w:sz w:val="20"/>
                <w:szCs w:val="20"/>
                <w:vertAlign w:val="superscript"/>
              </w:rPr>
            </w:pPr>
            <w:r w:rsidRPr="007C03E6">
              <w:rPr>
                <w:rFonts w:ascii="Times New Roman" w:eastAsia="Times New Roman" w:hAnsi="Times New Roman" w:cs="Times New Roman"/>
                <w:color w:val="000000" w:themeColor="text1"/>
                <w:sz w:val="20"/>
                <w:szCs w:val="20"/>
              </w:rPr>
              <w:t>0.91 (0.41</w:t>
            </w:r>
            <w:r w:rsidR="00372B6B">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2.01)</w:t>
            </w:r>
            <w:r w:rsidRPr="007C03E6">
              <w:rPr>
                <w:rFonts w:ascii="Times New Roman" w:eastAsia="Times New Roman" w:hAnsi="Times New Roman" w:cs="Times New Roman"/>
                <w:color w:val="000000" w:themeColor="text1"/>
                <w:sz w:val="20"/>
                <w:szCs w:val="20"/>
                <w:vertAlign w:val="superscript"/>
              </w:rPr>
              <w:t>c</w:t>
            </w:r>
          </w:p>
        </w:tc>
        <w:tc>
          <w:tcPr>
            <w:tcW w:w="916" w:type="dxa"/>
            <w:tcBorders>
              <w:top w:val="nil"/>
              <w:left w:val="nil"/>
              <w:bottom w:val="nil"/>
              <w:right w:val="nil"/>
            </w:tcBorders>
            <w:shd w:val="clear" w:color="auto" w:fill="auto"/>
            <w:hideMark/>
          </w:tcPr>
          <w:p w14:paraId="7693F769" w14:textId="470BCD44"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.818</w:t>
            </w:r>
          </w:p>
        </w:tc>
        <w:tc>
          <w:tcPr>
            <w:tcW w:w="1066" w:type="dxa"/>
            <w:tcBorders>
              <w:top w:val="nil"/>
              <w:left w:val="nil"/>
              <w:bottom w:val="nil"/>
              <w:right w:val="nil"/>
            </w:tcBorders>
            <w:shd w:val="clear" w:color="auto" w:fill="auto"/>
            <w:hideMark/>
          </w:tcPr>
          <w:p w14:paraId="25875EC6" w14:textId="3669DFA4"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066" w:type="dxa"/>
            <w:tcBorders>
              <w:top w:val="nil"/>
              <w:left w:val="nil"/>
              <w:bottom w:val="nil"/>
              <w:right w:val="nil"/>
            </w:tcBorders>
            <w:shd w:val="clear" w:color="auto" w:fill="auto"/>
            <w:hideMark/>
          </w:tcPr>
          <w:p w14:paraId="554B8D7F" w14:textId="36B0ED33"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6" w:type="dxa"/>
            <w:tcBorders>
              <w:top w:val="nil"/>
              <w:left w:val="nil"/>
              <w:bottom w:val="nil"/>
              <w:right w:val="nil"/>
            </w:tcBorders>
            <w:shd w:val="clear" w:color="auto" w:fill="auto"/>
            <w:hideMark/>
          </w:tcPr>
          <w:p w14:paraId="4E802A7C" w14:textId="14D3E003"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850" w:type="dxa"/>
            <w:tcBorders>
              <w:top w:val="nil"/>
              <w:left w:val="nil"/>
              <w:bottom w:val="nil"/>
              <w:right w:val="nil"/>
            </w:tcBorders>
            <w:shd w:val="clear" w:color="auto" w:fill="auto"/>
            <w:hideMark/>
          </w:tcPr>
          <w:p w14:paraId="25EABFB9" w14:textId="642C69F9"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9" w:type="dxa"/>
            <w:tcBorders>
              <w:top w:val="nil"/>
              <w:left w:val="nil"/>
              <w:bottom w:val="nil"/>
              <w:right w:val="nil"/>
            </w:tcBorders>
            <w:shd w:val="clear" w:color="auto" w:fill="auto"/>
            <w:hideMark/>
          </w:tcPr>
          <w:p w14:paraId="39C9EC88" w14:textId="3303EB1D"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917" w:type="dxa"/>
            <w:gridSpan w:val="2"/>
            <w:tcBorders>
              <w:top w:val="nil"/>
              <w:left w:val="nil"/>
              <w:bottom w:val="nil"/>
              <w:right w:val="nil"/>
            </w:tcBorders>
            <w:shd w:val="clear" w:color="auto" w:fill="auto"/>
            <w:hideMark/>
          </w:tcPr>
          <w:p w14:paraId="1283EC75" w14:textId="0F841559"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r>
      <w:tr w:rsidR="0074081B" w:rsidRPr="007C03E6" w14:paraId="23F269F1" w14:textId="77777777" w:rsidTr="002C2BA7">
        <w:trPr>
          <w:trHeight w:val="350"/>
          <w:jc w:val="center"/>
        </w:trPr>
        <w:tc>
          <w:tcPr>
            <w:tcW w:w="5130" w:type="dxa"/>
            <w:tcBorders>
              <w:top w:val="nil"/>
              <w:left w:val="nil"/>
              <w:bottom w:val="nil"/>
              <w:right w:val="nil"/>
            </w:tcBorders>
            <w:shd w:val="clear" w:color="auto" w:fill="auto"/>
            <w:vAlign w:val="center"/>
            <w:hideMark/>
          </w:tcPr>
          <w:p w14:paraId="7860A014" w14:textId="3BD63492" w:rsidR="0074081B" w:rsidRPr="007C03E6" w:rsidRDefault="0074081B" w:rsidP="0074081B">
            <w:pP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 xml:space="preserve">   PPH management interventions</w:t>
            </w:r>
            <w:r w:rsidRPr="007C03E6">
              <w:rPr>
                <w:rFonts w:ascii="Times New Roman" w:eastAsia="Times New Roman" w:hAnsi="Times New Roman" w:cs="Times New Roman"/>
                <w:color w:val="000000" w:themeColor="text1"/>
                <w:sz w:val="20"/>
                <w:szCs w:val="20"/>
                <w:vertAlign w:val="superscript"/>
              </w:rPr>
              <w:t>b</w:t>
            </w:r>
            <w:r>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rPr>
              <w:t xml:space="preserve">n </w:t>
            </w:r>
            <w:r>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w:t>
            </w:r>
          </w:p>
        </w:tc>
        <w:tc>
          <w:tcPr>
            <w:tcW w:w="1115" w:type="dxa"/>
            <w:tcBorders>
              <w:top w:val="nil"/>
              <w:left w:val="nil"/>
              <w:bottom w:val="nil"/>
              <w:right w:val="nil"/>
            </w:tcBorders>
            <w:shd w:val="clear" w:color="auto" w:fill="auto"/>
            <w:vAlign w:val="center"/>
            <w:hideMark/>
          </w:tcPr>
          <w:p w14:paraId="2DEA2AA2"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20 (2.1)</w:t>
            </w:r>
          </w:p>
        </w:tc>
        <w:tc>
          <w:tcPr>
            <w:tcW w:w="1126" w:type="dxa"/>
            <w:tcBorders>
              <w:top w:val="nil"/>
              <w:left w:val="nil"/>
              <w:bottom w:val="nil"/>
              <w:right w:val="nil"/>
            </w:tcBorders>
            <w:shd w:val="clear" w:color="auto" w:fill="auto"/>
            <w:vAlign w:val="center"/>
            <w:hideMark/>
          </w:tcPr>
          <w:p w14:paraId="0B725D00"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20 (2.1)</w:t>
            </w:r>
          </w:p>
        </w:tc>
        <w:tc>
          <w:tcPr>
            <w:tcW w:w="1767" w:type="dxa"/>
            <w:tcBorders>
              <w:top w:val="nil"/>
              <w:left w:val="nil"/>
              <w:bottom w:val="nil"/>
              <w:right w:val="nil"/>
            </w:tcBorders>
            <w:shd w:val="clear" w:color="auto" w:fill="auto"/>
            <w:hideMark/>
          </w:tcPr>
          <w:p w14:paraId="3D667BCD" w14:textId="3E354454" w:rsidR="0074081B" w:rsidRPr="007C03E6" w:rsidRDefault="0074081B" w:rsidP="00372B6B">
            <w:pPr>
              <w:jc w:val="center"/>
              <w:rPr>
                <w:rFonts w:ascii="Times New Roman" w:eastAsia="Times New Roman" w:hAnsi="Times New Roman" w:cs="Times New Roman"/>
                <w:color w:val="000000" w:themeColor="text1"/>
                <w:sz w:val="20"/>
                <w:szCs w:val="20"/>
                <w:vertAlign w:val="superscript"/>
              </w:rPr>
            </w:pPr>
            <w:r w:rsidRPr="007C03E6">
              <w:rPr>
                <w:rFonts w:ascii="Times New Roman" w:eastAsia="Times New Roman" w:hAnsi="Times New Roman" w:cs="Times New Roman"/>
                <w:color w:val="000000" w:themeColor="text1"/>
                <w:sz w:val="20"/>
                <w:szCs w:val="20"/>
              </w:rPr>
              <w:t>0.69 (0.14</w:t>
            </w:r>
            <w:r w:rsidR="00372B6B">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3.26)</w:t>
            </w:r>
            <w:r w:rsidRPr="007C03E6">
              <w:rPr>
                <w:rFonts w:ascii="Times New Roman" w:eastAsia="Times New Roman" w:hAnsi="Times New Roman" w:cs="Times New Roman"/>
                <w:color w:val="000000" w:themeColor="text1"/>
                <w:sz w:val="20"/>
                <w:szCs w:val="20"/>
                <w:vertAlign w:val="superscript"/>
              </w:rPr>
              <w:t>c</w:t>
            </w:r>
          </w:p>
        </w:tc>
        <w:tc>
          <w:tcPr>
            <w:tcW w:w="916" w:type="dxa"/>
            <w:tcBorders>
              <w:top w:val="nil"/>
              <w:left w:val="nil"/>
              <w:bottom w:val="nil"/>
              <w:right w:val="nil"/>
            </w:tcBorders>
            <w:shd w:val="clear" w:color="auto" w:fill="auto"/>
            <w:hideMark/>
          </w:tcPr>
          <w:p w14:paraId="1FA84729" w14:textId="2ACE8E42"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.635</w:t>
            </w:r>
          </w:p>
        </w:tc>
        <w:tc>
          <w:tcPr>
            <w:tcW w:w="1066" w:type="dxa"/>
            <w:tcBorders>
              <w:top w:val="nil"/>
              <w:left w:val="nil"/>
              <w:bottom w:val="nil"/>
              <w:right w:val="nil"/>
            </w:tcBorders>
            <w:shd w:val="clear" w:color="auto" w:fill="auto"/>
            <w:hideMark/>
          </w:tcPr>
          <w:p w14:paraId="15BEA1A6" w14:textId="46A70D13"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066" w:type="dxa"/>
            <w:tcBorders>
              <w:top w:val="nil"/>
              <w:left w:val="nil"/>
              <w:bottom w:val="nil"/>
              <w:right w:val="nil"/>
            </w:tcBorders>
            <w:shd w:val="clear" w:color="auto" w:fill="auto"/>
            <w:hideMark/>
          </w:tcPr>
          <w:p w14:paraId="4D4C2828" w14:textId="5DC232BA"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6" w:type="dxa"/>
            <w:tcBorders>
              <w:top w:val="nil"/>
              <w:left w:val="nil"/>
              <w:bottom w:val="nil"/>
              <w:right w:val="nil"/>
            </w:tcBorders>
            <w:shd w:val="clear" w:color="auto" w:fill="auto"/>
            <w:hideMark/>
          </w:tcPr>
          <w:p w14:paraId="7DAD71FA" w14:textId="49E9331B"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850" w:type="dxa"/>
            <w:tcBorders>
              <w:top w:val="nil"/>
              <w:left w:val="nil"/>
              <w:bottom w:val="nil"/>
              <w:right w:val="nil"/>
            </w:tcBorders>
            <w:shd w:val="clear" w:color="auto" w:fill="auto"/>
            <w:hideMark/>
          </w:tcPr>
          <w:p w14:paraId="01FA6FCC" w14:textId="369A97A8"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9" w:type="dxa"/>
            <w:tcBorders>
              <w:top w:val="nil"/>
              <w:left w:val="nil"/>
              <w:bottom w:val="nil"/>
              <w:right w:val="nil"/>
            </w:tcBorders>
            <w:shd w:val="clear" w:color="auto" w:fill="auto"/>
            <w:hideMark/>
          </w:tcPr>
          <w:p w14:paraId="7F9F8ED7" w14:textId="460279EB"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917" w:type="dxa"/>
            <w:gridSpan w:val="2"/>
            <w:tcBorders>
              <w:top w:val="nil"/>
              <w:left w:val="nil"/>
              <w:bottom w:val="nil"/>
              <w:right w:val="nil"/>
            </w:tcBorders>
            <w:shd w:val="clear" w:color="auto" w:fill="auto"/>
            <w:hideMark/>
          </w:tcPr>
          <w:p w14:paraId="2737D4FB" w14:textId="2FE47096"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r>
      <w:tr w:rsidR="0074081B" w:rsidRPr="007C03E6" w14:paraId="7D28B6BD" w14:textId="77777777" w:rsidTr="002C2BA7">
        <w:trPr>
          <w:trHeight w:val="306"/>
          <w:jc w:val="center"/>
        </w:trPr>
        <w:tc>
          <w:tcPr>
            <w:tcW w:w="5130" w:type="dxa"/>
            <w:tcBorders>
              <w:top w:val="nil"/>
              <w:left w:val="nil"/>
              <w:bottom w:val="nil"/>
              <w:right w:val="nil"/>
            </w:tcBorders>
            <w:shd w:val="clear" w:color="auto" w:fill="auto"/>
            <w:vAlign w:val="center"/>
            <w:hideMark/>
          </w:tcPr>
          <w:p w14:paraId="25D70457" w14:textId="190CF0B1" w:rsidR="0074081B" w:rsidRPr="007C03E6" w:rsidRDefault="0074081B" w:rsidP="0074081B">
            <w:pPr>
              <w:ind w:firstLineChars="200" w:firstLine="400"/>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 xml:space="preserve">   Blood transfusion</w:t>
            </w:r>
            <w:r>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 xml:space="preserve"> n</w:t>
            </w:r>
            <w:r>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rPr>
              <w:t>%)</w:t>
            </w:r>
          </w:p>
        </w:tc>
        <w:tc>
          <w:tcPr>
            <w:tcW w:w="1115" w:type="dxa"/>
            <w:tcBorders>
              <w:top w:val="nil"/>
              <w:left w:val="nil"/>
              <w:bottom w:val="nil"/>
              <w:right w:val="nil"/>
            </w:tcBorders>
            <w:shd w:val="clear" w:color="auto" w:fill="auto"/>
            <w:vAlign w:val="center"/>
            <w:hideMark/>
          </w:tcPr>
          <w:p w14:paraId="44CE4383"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13 (1.3)</w:t>
            </w:r>
          </w:p>
        </w:tc>
        <w:tc>
          <w:tcPr>
            <w:tcW w:w="1126" w:type="dxa"/>
            <w:tcBorders>
              <w:top w:val="nil"/>
              <w:left w:val="nil"/>
              <w:bottom w:val="nil"/>
              <w:right w:val="nil"/>
            </w:tcBorders>
            <w:shd w:val="clear" w:color="auto" w:fill="auto"/>
            <w:vAlign w:val="center"/>
            <w:hideMark/>
          </w:tcPr>
          <w:p w14:paraId="3800E47D"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11 (1.2)</w:t>
            </w:r>
          </w:p>
        </w:tc>
        <w:tc>
          <w:tcPr>
            <w:tcW w:w="1767" w:type="dxa"/>
            <w:tcBorders>
              <w:top w:val="nil"/>
              <w:left w:val="nil"/>
              <w:bottom w:val="nil"/>
              <w:right w:val="nil"/>
            </w:tcBorders>
            <w:shd w:val="clear" w:color="auto" w:fill="auto"/>
            <w:vAlign w:val="center"/>
            <w:hideMark/>
          </w:tcPr>
          <w:p w14:paraId="154A5878" w14:textId="1F9124E7" w:rsidR="0074081B" w:rsidRPr="007C03E6" w:rsidRDefault="0074081B" w:rsidP="00372B6B">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916" w:type="dxa"/>
            <w:tcBorders>
              <w:top w:val="nil"/>
              <w:left w:val="nil"/>
              <w:bottom w:val="nil"/>
              <w:right w:val="nil"/>
            </w:tcBorders>
            <w:shd w:val="clear" w:color="auto" w:fill="auto"/>
            <w:vAlign w:val="center"/>
            <w:hideMark/>
          </w:tcPr>
          <w:p w14:paraId="6030AAE4" w14:textId="48FF6466" w:rsidR="0074081B" w:rsidRPr="007C03E6" w:rsidRDefault="0074081B" w:rsidP="00372B6B">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1066" w:type="dxa"/>
            <w:tcBorders>
              <w:top w:val="nil"/>
              <w:left w:val="nil"/>
              <w:bottom w:val="nil"/>
              <w:right w:val="nil"/>
            </w:tcBorders>
            <w:shd w:val="clear" w:color="auto" w:fill="auto"/>
            <w:hideMark/>
          </w:tcPr>
          <w:p w14:paraId="4618C89E" w14:textId="43255F8D"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066" w:type="dxa"/>
            <w:tcBorders>
              <w:top w:val="nil"/>
              <w:left w:val="nil"/>
              <w:bottom w:val="nil"/>
              <w:right w:val="nil"/>
            </w:tcBorders>
            <w:shd w:val="clear" w:color="auto" w:fill="auto"/>
            <w:hideMark/>
          </w:tcPr>
          <w:p w14:paraId="3FD51C6E" w14:textId="4FE9177F"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6" w:type="dxa"/>
            <w:tcBorders>
              <w:top w:val="nil"/>
              <w:left w:val="nil"/>
              <w:bottom w:val="nil"/>
              <w:right w:val="nil"/>
            </w:tcBorders>
            <w:shd w:val="clear" w:color="auto" w:fill="auto"/>
            <w:hideMark/>
          </w:tcPr>
          <w:p w14:paraId="6DB0894A" w14:textId="31DEAFCA"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850" w:type="dxa"/>
            <w:tcBorders>
              <w:top w:val="nil"/>
              <w:left w:val="nil"/>
              <w:bottom w:val="nil"/>
              <w:right w:val="nil"/>
            </w:tcBorders>
            <w:shd w:val="clear" w:color="auto" w:fill="auto"/>
            <w:hideMark/>
          </w:tcPr>
          <w:p w14:paraId="288FDA37" w14:textId="435FA07B"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9" w:type="dxa"/>
            <w:tcBorders>
              <w:top w:val="nil"/>
              <w:left w:val="nil"/>
              <w:bottom w:val="nil"/>
              <w:right w:val="nil"/>
            </w:tcBorders>
            <w:shd w:val="clear" w:color="auto" w:fill="auto"/>
            <w:hideMark/>
          </w:tcPr>
          <w:p w14:paraId="31B32D0C" w14:textId="2E548E71"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917" w:type="dxa"/>
            <w:gridSpan w:val="2"/>
            <w:tcBorders>
              <w:top w:val="nil"/>
              <w:left w:val="nil"/>
              <w:bottom w:val="nil"/>
              <w:right w:val="nil"/>
            </w:tcBorders>
            <w:shd w:val="clear" w:color="auto" w:fill="auto"/>
            <w:hideMark/>
          </w:tcPr>
          <w:p w14:paraId="41D4009F" w14:textId="061426D3"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r>
      <w:tr w:rsidR="0074081B" w:rsidRPr="007C03E6" w14:paraId="367058FA" w14:textId="77777777" w:rsidTr="002C2BA7">
        <w:trPr>
          <w:trHeight w:val="306"/>
          <w:jc w:val="center"/>
        </w:trPr>
        <w:tc>
          <w:tcPr>
            <w:tcW w:w="5130" w:type="dxa"/>
            <w:tcBorders>
              <w:top w:val="nil"/>
              <w:left w:val="nil"/>
              <w:bottom w:val="nil"/>
              <w:right w:val="nil"/>
            </w:tcBorders>
            <w:shd w:val="clear" w:color="auto" w:fill="auto"/>
            <w:vAlign w:val="center"/>
            <w:hideMark/>
          </w:tcPr>
          <w:p w14:paraId="1DF76ED8" w14:textId="1B53950A" w:rsidR="0074081B" w:rsidRPr="007C03E6" w:rsidRDefault="0074081B" w:rsidP="0074081B">
            <w:pPr>
              <w:ind w:firstLineChars="200" w:firstLine="400"/>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 xml:space="preserve">   Vasopressor administration</w:t>
            </w:r>
            <w:r>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rPr>
              <w:t>n</w:t>
            </w:r>
            <w:r>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rPr>
              <w:t>%)</w:t>
            </w:r>
          </w:p>
        </w:tc>
        <w:tc>
          <w:tcPr>
            <w:tcW w:w="1115" w:type="dxa"/>
            <w:tcBorders>
              <w:top w:val="nil"/>
              <w:left w:val="nil"/>
              <w:bottom w:val="nil"/>
              <w:right w:val="nil"/>
            </w:tcBorders>
            <w:shd w:val="clear" w:color="auto" w:fill="auto"/>
            <w:vAlign w:val="center"/>
            <w:hideMark/>
          </w:tcPr>
          <w:p w14:paraId="38640373"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6 (0.6)</w:t>
            </w:r>
          </w:p>
        </w:tc>
        <w:tc>
          <w:tcPr>
            <w:tcW w:w="1126" w:type="dxa"/>
            <w:tcBorders>
              <w:top w:val="nil"/>
              <w:left w:val="nil"/>
              <w:bottom w:val="nil"/>
              <w:right w:val="nil"/>
            </w:tcBorders>
            <w:shd w:val="clear" w:color="auto" w:fill="auto"/>
            <w:vAlign w:val="center"/>
            <w:hideMark/>
          </w:tcPr>
          <w:p w14:paraId="6FE52858"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7 (0.7)</w:t>
            </w:r>
          </w:p>
        </w:tc>
        <w:tc>
          <w:tcPr>
            <w:tcW w:w="1767" w:type="dxa"/>
            <w:tcBorders>
              <w:top w:val="nil"/>
              <w:left w:val="nil"/>
              <w:bottom w:val="nil"/>
              <w:right w:val="nil"/>
            </w:tcBorders>
            <w:shd w:val="clear" w:color="auto" w:fill="auto"/>
            <w:vAlign w:val="center"/>
            <w:hideMark/>
          </w:tcPr>
          <w:p w14:paraId="4549A271" w14:textId="438E3907" w:rsidR="0074081B" w:rsidRPr="007C03E6" w:rsidRDefault="0074081B" w:rsidP="00372B6B">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916" w:type="dxa"/>
            <w:tcBorders>
              <w:top w:val="nil"/>
              <w:left w:val="nil"/>
              <w:bottom w:val="nil"/>
              <w:right w:val="nil"/>
            </w:tcBorders>
            <w:shd w:val="clear" w:color="auto" w:fill="auto"/>
            <w:vAlign w:val="center"/>
            <w:hideMark/>
          </w:tcPr>
          <w:p w14:paraId="34E9A73D" w14:textId="38C37B97" w:rsidR="0074081B" w:rsidRPr="007C03E6" w:rsidRDefault="0074081B" w:rsidP="00372B6B">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1066" w:type="dxa"/>
            <w:tcBorders>
              <w:top w:val="nil"/>
              <w:left w:val="nil"/>
              <w:bottom w:val="nil"/>
              <w:right w:val="nil"/>
            </w:tcBorders>
            <w:shd w:val="clear" w:color="auto" w:fill="auto"/>
            <w:hideMark/>
          </w:tcPr>
          <w:p w14:paraId="02C18F01" w14:textId="32F5D40B"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066" w:type="dxa"/>
            <w:tcBorders>
              <w:top w:val="nil"/>
              <w:left w:val="nil"/>
              <w:bottom w:val="nil"/>
              <w:right w:val="nil"/>
            </w:tcBorders>
            <w:shd w:val="clear" w:color="auto" w:fill="auto"/>
            <w:hideMark/>
          </w:tcPr>
          <w:p w14:paraId="5697C38C" w14:textId="2DBDD968"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6" w:type="dxa"/>
            <w:tcBorders>
              <w:top w:val="nil"/>
              <w:left w:val="nil"/>
              <w:bottom w:val="nil"/>
              <w:right w:val="nil"/>
            </w:tcBorders>
            <w:shd w:val="clear" w:color="auto" w:fill="auto"/>
            <w:hideMark/>
          </w:tcPr>
          <w:p w14:paraId="1735B5D2" w14:textId="7D78A800"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850" w:type="dxa"/>
            <w:tcBorders>
              <w:top w:val="nil"/>
              <w:left w:val="nil"/>
              <w:bottom w:val="nil"/>
              <w:right w:val="nil"/>
            </w:tcBorders>
            <w:shd w:val="clear" w:color="auto" w:fill="auto"/>
            <w:hideMark/>
          </w:tcPr>
          <w:p w14:paraId="028CE93F" w14:textId="7A9EE01F"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9" w:type="dxa"/>
            <w:tcBorders>
              <w:top w:val="nil"/>
              <w:left w:val="nil"/>
              <w:bottom w:val="nil"/>
              <w:right w:val="nil"/>
            </w:tcBorders>
            <w:shd w:val="clear" w:color="auto" w:fill="auto"/>
            <w:hideMark/>
          </w:tcPr>
          <w:p w14:paraId="72DCD2F3" w14:textId="1B69765D"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917" w:type="dxa"/>
            <w:gridSpan w:val="2"/>
            <w:tcBorders>
              <w:top w:val="nil"/>
              <w:left w:val="nil"/>
              <w:bottom w:val="nil"/>
              <w:right w:val="nil"/>
            </w:tcBorders>
            <w:shd w:val="clear" w:color="auto" w:fill="auto"/>
            <w:hideMark/>
          </w:tcPr>
          <w:p w14:paraId="1C95B5E8" w14:textId="0B886293"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r>
      <w:tr w:rsidR="0074081B" w:rsidRPr="007C03E6" w14:paraId="210412EB" w14:textId="77777777" w:rsidTr="002C2BA7">
        <w:trPr>
          <w:trHeight w:val="306"/>
          <w:jc w:val="center"/>
        </w:trPr>
        <w:tc>
          <w:tcPr>
            <w:tcW w:w="5130" w:type="dxa"/>
            <w:tcBorders>
              <w:top w:val="nil"/>
              <w:left w:val="nil"/>
              <w:bottom w:val="nil"/>
              <w:right w:val="nil"/>
            </w:tcBorders>
            <w:shd w:val="clear" w:color="auto" w:fill="auto"/>
            <w:vAlign w:val="center"/>
            <w:hideMark/>
          </w:tcPr>
          <w:p w14:paraId="0F12448B" w14:textId="26BA8E7E" w:rsidR="0074081B" w:rsidRPr="007C03E6" w:rsidRDefault="0074081B" w:rsidP="0074081B">
            <w:pPr>
              <w:ind w:firstLineChars="200" w:firstLine="400"/>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 xml:space="preserve">   Surgical management</w:t>
            </w:r>
            <w:r>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rPr>
              <w:t>n</w:t>
            </w:r>
            <w:r>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rPr>
              <w:t>%)</w:t>
            </w:r>
          </w:p>
        </w:tc>
        <w:tc>
          <w:tcPr>
            <w:tcW w:w="1115" w:type="dxa"/>
            <w:tcBorders>
              <w:top w:val="nil"/>
              <w:left w:val="nil"/>
              <w:bottom w:val="nil"/>
              <w:right w:val="nil"/>
            </w:tcBorders>
            <w:shd w:val="clear" w:color="auto" w:fill="auto"/>
            <w:vAlign w:val="center"/>
            <w:hideMark/>
          </w:tcPr>
          <w:p w14:paraId="4ADC342E"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13 (1.3)</w:t>
            </w:r>
          </w:p>
        </w:tc>
        <w:tc>
          <w:tcPr>
            <w:tcW w:w="1126" w:type="dxa"/>
            <w:tcBorders>
              <w:top w:val="nil"/>
              <w:left w:val="nil"/>
              <w:bottom w:val="nil"/>
              <w:right w:val="nil"/>
            </w:tcBorders>
            <w:shd w:val="clear" w:color="auto" w:fill="auto"/>
            <w:vAlign w:val="center"/>
            <w:hideMark/>
          </w:tcPr>
          <w:p w14:paraId="7CCA9E93"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10 (1.1)</w:t>
            </w:r>
          </w:p>
        </w:tc>
        <w:tc>
          <w:tcPr>
            <w:tcW w:w="1767" w:type="dxa"/>
            <w:tcBorders>
              <w:top w:val="nil"/>
              <w:left w:val="nil"/>
              <w:bottom w:val="nil"/>
              <w:right w:val="nil"/>
            </w:tcBorders>
            <w:shd w:val="clear" w:color="auto" w:fill="auto"/>
            <w:vAlign w:val="center"/>
            <w:hideMark/>
          </w:tcPr>
          <w:p w14:paraId="043273C1" w14:textId="648B7B49" w:rsidR="0074081B" w:rsidRPr="007C03E6" w:rsidRDefault="0074081B" w:rsidP="00372B6B">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916" w:type="dxa"/>
            <w:tcBorders>
              <w:top w:val="nil"/>
              <w:left w:val="nil"/>
              <w:bottom w:val="nil"/>
              <w:right w:val="nil"/>
            </w:tcBorders>
            <w:shd w:val="clear" w:color="auto" w:fill="auto"/>
            <w:vAlign w:val="center"/>
            <w:hideMark/>
          </w:tcPr>
          <w:p w14:paraId="1E8F5A74" w14:textId="5C38C4ED" w:rsidR="0074081B" w:rsidRPr="007C03E6" w:rsidRDefault="0074081B" w:rsidP="00372B6B">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1066" w:type="dxa"/>
            <w:tcBorders>
              <w:top w:val="nil"/>
              <w:left w:val="nil"/>
              <w:bottom w:val="nil"/>
              <w:right w:val="nil"/>
            </w:tcBorders>
            <w:shd w:val="clear" w:color="auto" w:fill="auto"/>
            <w:hideMark/>
          </w:tcPr>
          <w:p w14:paraId="7C8DD57A" w14:textId="43AA10B7"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066" w:type="dxa"/>
            <w:tcBorders>
              <w:top w:val="nil"/>
              <w:left w:val="nil"/>
              <w:bottom w:val="nil"/>
              <w:right w:val="nil"/>
            </w:tcBorders>
            <w:shd w:val="clear" w:color="auto" w:fill="auto"/>
            <w:hideMark/>
          </w:tcPr>
          <w:p w14:paraId="68439225" w14:textId="279ED4C8"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6" w:type="dxa"/>
            <w:tcBorders>
              <w:top w:val="nil"/>
              <w:left w:val="nil"/>
              <w:bottom w:val="nil"/>
              <w:right w:val="nil"/>
            </w:tcBorders>
            <w:shd w:val="clear" w:color="auto" w:fill="auto"/>
            <w:hideMark/>
          </w:tcPr>
          <w:p w14:paraId="034A73C8" w14:textId="4C18CA12"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850" w:type="dxa"/>
            <w:tcBorders>
              <w:top w:val="nil"/>
              <w:left w:val="nil"/>
              <w:bottom w:val="nil"/>
              <w:right w:val="nil"/>
            </w:tcBorders>
            <w:shd w:val="clear" w:color="auto" w:fill="auto"/>
            <w:hideMark/>
          </w:tcPr>
          <w:p w14:paraId="5A486711" w14:textId="42206C99"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9" w:type="dxa"/>
            <w:tcBorders>
              <w:top w:val="nil"/>
              <w:left w:val="nil"/>
              <w:bottom w:val="nil"/>
              <w:right w:val="nil"/>
            </w:tcBorders>
            <w:shd w:val="clear" w:color="auto" w:fill="auto"/>
            <w:hideMark/>
          </w:tcPr>
          <w:p w14:paraId="26A6E5D9" w14:textId="5443749D"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917" w:type="dxa"/>
            <w:gridSpan w:val="2"/>
            <w:tcBorders>
              <w:top w:val="nil"/>
              <w:left w:val="nil"/>
              <w:bottom w:val="nil"/>
              <w:right w:val="nil"/>
            </w:tcBorders>
            <w:shd w:val="clear" w:color="auto" w:fill="auto"/>
            <w:hideMark/>
          </w:tcPr>
          <w:p w14:paraId="6BCC8B2C" w14:textId="78E5C3C8"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r>
      <w:tr w:rsidR="0074081B" w:rsidRPr="007C03E6" w14:paraId="22764E95" w14:textId="77777777" w:rsidTr="002C2BA7">
        <w:trPr>
          <w:trHeight w:val="306"/>
          <w:jc w:val="center"/>
        </w:trPr>
        <w:tc>
          <w:tcPr>
            <w:tcW w:w="5130" w:type="dxa"/>
            <w:tcBorders>
              <w:top w:val="nil"/>
              <w:left w:val="nil"/>
              <w:bottom w:val="nil"/>
              <w:right w:val="nil"/>
            </w:tcBorders>
            <w:shd w:val="clear" w:color="auto" w:fill="auto"/>
            <w:vAlign w:val="center"/>
            <w:hideMark/>
          </w:tcPr>
          <w:p w14:paraId="345685A2" w14:textId="7CBEC4CA" w:rsidR="0074081B" w:rsidRPr="009E77F2" w:rsidRDefault="0074081B" w:rsidP="0074081B">
            <w:pPr>
              <w:jc w:val="both"/>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Hematocrit-</w:t>
            </w:r>
            <w:r w:rsidR="00372B6B">
              <w:rPr>
                <w:rFonts w:ascii="Times New Roman" w:eastAsia="Times New Roman" w:hAnsi="Times New Roman" w:cs="Times New Roman"/>
                <w:b/>
                <w:bCs/>
                <w:color w:val="000000" w:themeColor="text1"/>
                <w:sz w:val="20"/>
                <w:szCs w:val="20"/>
              </w:rPr>
              <w:t>B</w:t>
            </w:r>
            <w:r w:rsidRPr="009E77F2">
              <w:rPr>
                <w:rFonts w:ascii="Times New Roman" w:eastAsia="Times New Roman" w:hAnsi="Times New Roman" w:cs="Times New Roman"/>
                <w:b/>
                <w:bCs/>
                <w:color w:val="000000" w:themeColor="text1"/>
                <w:sz w:val="20"/>
                <w:szCs w:val="20"/>
              </w:rPr>
              <w:t xml:space="preserve">ased </w:t>
            </w:r>
            <w:r w:rsidR="00372B6B">
              <w:rPr>
                <w:rFonts w:ascii="Times New Roman" w:eastAsia="Times New Roman" w:hAnsi="Times New Roman" w:cs="Times New Roman"/>
                <w:b/>
                <w:bCs/>
                <w:color w:val="000000" w:themeColor="text1"/>
                <w:sz w:val="20"/>
                <w:szCs w:val="20"/>
              </w:rPr>
              <w:t>O</w:t>
            </w:r>
            <w:r w:rsidRPr="009E77F2">
              <w:rPr>
                <w:rFonts w:ascii="Times New Roman" w:eastAsia="Times New Roman" w:hAnsi="Times New Roman" w:cs="Times New Roman"/>
                <w:b/>
                <w:bCs/>
                <w:color w:val="000000" w:themeColor="text1"/>
                <w:sz w:val="20"/>
                <w:szCs w:val="20"/>
              </w:rPr>
              <w:t>utcomes (sensitivity analysis 1)</w:t>
            </w:r>
          </w:p>
        </w:tc>
        <w:tc>
          <w:tcPr>
            <w:tcW w:w="1115" w:type="dxa"/>
            <w:tcBorders>
              <w:top w:val="nil"/>
              <w:left w:val="nil"/>
              <w:bottom w:val="nil"/>
              <w:right w:val="nil"/>
            </w:tcBorders>
            <w:shd w:val="clear" w:color="auto" w:fill="auto"/>
            <w:vAlign w:val="center"/>
            <w:hideMark/>
          </w:tcPr>
          <w:p w14:paraId="76515D88" w14:textId="77777777" w:rsidR="0074081B" w:rsidRPr="0074081B" w:rsidRDefault="0074081B" w:rsidP="00372B6B">
            <w:pPr>
              <w:jc w:val="center"/>
              <w:rPr>
                <w:rFonts w:ascii="Times New Roman" w:eastAsia="Times New Roman" w:hAnsi="Times New Roman" w:cs="Times New Roman"/>
                <w:b/>
                <w:bCs/>
                <w:color w:val="000000" w:themeColor="text1"/>
                <w:sz w:val="20"/>
                <w:szCs w:val="20"/>
              </w:rPr>
            </w:pPr>
            <w:r w:rsidRPr="0074081B">
              <w:rPr>
                <w:rFonts w:ascii="Times New Roman" w:eastAsia="Times New Roman" w:hAnsi="Times New Roman" w:cs="Times New Roman"/>
                <w:b/>
                <w:bCs/>
                <w:color w:val="000000" w:themeColor="text1"/>
                <w:sz w:val="20"/>
                <w:szCs w:val="20"/>
              </w:rPr>
              <w:t>n = 160</w:t>
            </w:r>
          </w:p>
        </w:tc>
        <w:tc>
          <w:tcPr>
            <w:tcW w:w="1126" w:type="dxa"/>
            <w:tcBorders>
              <w:top w:val="nil"/>
              <w:left w:val="nil"/>
              <w:bottom w:val="nil"/>
              <w:right w:val="nil"/>
            </w:tcBorders>
            <w:shd w:val="clear" w:color="auto" w:fill="auto"/>
            <w:vAlign w:val="center"/>
            <w:hideMark/>
          </w:tcPr>
          <w:p w14:paraId="2A7E27C3" w14:textId="77777777" w:rsidR="0074081B" w:rsidRPr="0074081B" w:rsidRDefault="0074081B" w:rsidP="00372B6B">
            <w:pPr>
              <w:jc w:val="center"/>
              <w:rPr>
                <w:rFonts w:ascii="Times New Roman" w:eastAsia="Times New Roman" w:hAnsi="Times New Roman" w:cs="Times New Roman"/>
                <w:b/>
                <w:bCs/>
                <w:color w:val="000000" w:themeColor="text1"/>
                <w:sz w:val="20"/>
                <w:szCs w:val="20"/>
              </w:rPr>
            </w:pPr>
            <w:r w:rsidRPr="0074081B">
              <w:rPr>
                <w:rFonts w:ascii="Times New Roman" w:eastAsia="Times New Roman" w:hAnsi="Times New Roman" w:cs="Times New Roman"/>
                <w:b/>
                <w:bCs/>
                <w:color w:val="000000" w:themeColor="text1"/>
                <w:sz w:val="20"/>
                <w:szCs w:val="20"/>
              </w:rPr>
              <w:t>n = 189</w:t>
            </w:r>
          </w:p>
        </w:tc>
        <w:tc>
          <w:tcPr>
            <w:tcW w:w="1767" w:type="dxa"/>
            <w:tcBorders>
              <w:top w:val="nil"/>
              <w:left w:val="nil"/>
              <w:bottom w:val="nil"/>
              <w:right w:val="nil"/>
            </w:tcBorders>
            <w:shd w:val="clear" w:color="auto" w:fill="auto"/>
            <w:vAlign w:val="center"/>
            <w:hideMark/>
          </w:tcPr>
          <w:p w14:paraId="44C83955" w14:textId="0E64AD15" w:rsidR="0074081B" w:rsidRPr="007C03E6" w:rsidRDefault="0074081B" w:rsidP="00372B6B">
            <w:pPr>
              <w:jc w:val="center"/>
              <w:rPr>
                <w:rFonts w:ascii="Times New Roman" w:eastAsia="Times New Roman" w:hAnsi="Times New Roman" w:cs="Times New Roman"/>
                <w:color w:val="000000" w:themeColor="text1"/>
                <w:sz w:val="20"/>
                <w:szCs w:val="20"/>
              </w:rPr>
            </w:pPr>
          </w:p>
        </w:tc>
        <w:tc>
          <w:tcPr>
            <w:tcW w:w="916" w:type="dxa"/>
            <w:tcBorders>
              <w:top w:val="nil"/>
              <w:left w:val="nil"/>
              <w:bottom w:val="nil"/>
              <w:right w:val="nil"/>
            </w:tcBorders>
            <w:shd w:val="clear" w:color="auto" w:fill="auto"/>
            <w:vAlign w:val="center"/>
            <w:hideMark/>
          </w:tcPr>
          <w:p w14:paraId="504C5562" w14:textId="77777777" w:rsidR="0074081B" w:rsidRPr="007C03E6" w:rsidRDefault="0074081B" w:rsidP="00372B6B">
            <w:pPr>
              <w:jc w:val="center"/>
              <w:rPr>
                <w:rFonts w:ascii="Times New Roman" w:eastAsia="Times New Roman" w:hAnsi="Times New Roman" w:cs="Times New Roman"/>
                <w:color w:val="000000" w:themeColor="text1"/>
                <w:sz w:val="20"/>
                <w:szCs w:val="20"/>
              </w:rPr>
            </w:pPr>
          </w:p>
        </w:tc>
        <w:tc>
          <w:tcPr>
            <w:tcW w:w="1066" w:type="dxa"/>
            <w:tcBorders>
              <w:top w:val="nil"/>
              <w:left w:val="nil"/>
              <w:bottom w:val="nil"/>
              <w:right w:val="nil"/>
            </w:tcBorders>
            <w:shd w:val="clear" w:color="auto" w:fill="auto"/>
            <w:hideMark/>
          </w:tcPr>
          <w:p w14:paraId="1B7472D6" w14:textId="6E5013B2"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066" w:type="dxa"/>
            <w:tcBorders>
              <w:top w:val="nil"/>
              <w:left w:val="nil"/>
              <w:bottom w:val="nil"/>
              <w:right w:val="nil"/>
            </w:tcBorders>
            <w:shd w:val="clear" w:color="auto" w:fill="auto"/>
            <w:hideMark/>
          </w:tcPr>
          <w:p w14:paraId="5D66343D" w14:textId="1355B4C8"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6" w:type="dxa"/>
            <w:tcBorders>
              <w:top w:val="nil"/>
              <w:left w:val="nil"/>
              <w:bottom w:val="nil"/>
              <w:right w:val="nil"/>
            </w:tcBorders>
            <w:shd w:val="clear" w:color="auto" w:fill="auto"/>
            <w:hideMark/>
          </w:tcPr>
          <w:p w14:paraId="34EEE05A" w14:textId="6E0CE22A"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850" w:type="dxa"/>
            <w:tcBorders>
              <w:top w:val="nil"/>
              <w:left w:val="nil"/>
              <w:bottom w:val="nil"/>
              <w:right w:val="nil"/>
            </w:tcBorders>
            <w:shd w:val="clear" w:color="auto" w:fill="auto"/>
            <w:hideMark/>
          </w:tcPr>
          <w:p w14:paraId="4B21AE84" w14:textId="70F2F88E"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9" w:type="dxa"/>
            <w:tcBorders>
              <w:top w:val="nil"/>
              <w:left w:val="nil"/>
              <w:bottom w:val="nil"/>
              <w:right w:val="nil"/>
            </w:tcBorders>
            <w:shd w:val="clear" w:color="auto" w:fill="auto"/>
            <w:hideMark/>
          </w:tcPr>
          <w:p w14:paraId="6630E547" w14:textId="3ADD91C3"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917" w:type="dxa"/>
            <w:gridSpan w:val="2"/>
            <w:tcBorders>
              <w:top w:val="nil"/>
              <w:left w:val="nil"/>
              <w:bottom w:val="nil"/>
              <w:right w:val="nil"/>
            </w:tcBorders>
            <w:shd w:val="clear" w:color="auto" w:fill="auto"/>
            <w:hideMark/>
          </w:tcPr>
          <w:p w14:paraId="7CD8C123" w14:textId="2194BF74"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r>
      <w:tr w:rsidR="0074081B" w:rsidRPr="007C03E6" w14:paraId="3923D75D" w14:textId="77777777" w:rsidTr="002C2BA7">
        <w:trPr>
          <w:trHeight w:val="306"/>
          <w:jc w:val="center"/>
        </w:trPr>
        <w:tc>
          <w:tcPr>
            <w:tcW w:w="5130" w:type="dxa"/>
            <w:tcBorders>
              <w:top w:val="nil"/>
              <w:left w:val="nil"/>
              <w:bottom w:val="nil"/>
              <w:right w:val="nil"/>
            </w:tcBorders>
            <w:shd w:val="clear" w:color="auto" w:fill="auto"/>
            <w:vAlign w:val="center"/>
            <w:hideMark/>
          </w:tcPr>
          <w:p w14:paraId="2FB16F24" w14:textId="28006691" w:rsidR="0074081B" w:rsidRPr="007C03E6" w:rsidRDefault="0074081B" w:rsidP="0074081B">
            <w:pPr>
              <w:jc w:val="both"/>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 xml:space="preserve">   Hematocrit nadir </w:t>
            </w:r>
            <w:r>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rPr>
              <w:t>mean (SD)</w:t>
            </w:r>
          </w:p>
        </w:tc>
        <w:tc>
          <w:tcPr>
            <w:tcW w:w="1115" w:type="dxa"/>
            <w:tcBorders>
              <w:top w:val="nil"/>
              <w:left w:val="nil"/>
              <w:bottom w:val="nil"/>
              <w:right w:val="nil"/>
            </w:tcBorders>
            <w:shd w:val="clear" w:color="auto" w:fill="auto"/>
            <w:vAlign w:val="center"/>
            <w:hideMark/>
          </w:tcPr>
          <w:p w14:paraId="450176B8"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28.5 (4.8)</w:t>
            </w:r>
          </w:p>
        </w:tc>
        <w:tc>
          <w:tcPr>
            <w:tcW w:w="1126" w:type="dxa"/>
            <w:tcBorders>
              <w:top w:val="nil"/>
              <w:left w:val="nil"/>
              <w:bottom w:val="nil"/>
              <w:right w:val="nil"/>
            </w:tcBorders>
            <w:shd w:val="clear" w:color="auto" w:fill="auto"/>
            <w:vAlign w:val="center"/>
            <w:hideMark/>
          </w:tcPr>
          <w:p w14:paraId="643444FD"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29.4 (4.3)</w:t>
            </w:r>
          </w:p>
        </w:tc>
        <w:tc>
          <w:tcPr>
            <w:tcW w:w="1767" w:type="dxa"/>
            <w:tcBorders>
              <w:top w:val="nil"/>
              <w:left w:val="nil"/>
              <w:bottom w:val="nil"/>
              <w:right w:val="nil"/>
            </w:tcBorders>
            <w:shd w:val="clear" w:color="auto" w:fill="auto"/>
            <w:noWrap/>
            <w:hideMark/>
          </w:tcPr>
          <w:p w14:paraId="44477713" w14:textId="135A625F" w:rsidR="0074081B" w:rsidRPr="007C03E6" w:rsidRDefault="0074081B" w:rsidP="00372B6B">
            <w:pPr>
              <w:jc w:val="center"/>
              <w:rPr>
                <w:rFonts w:ascii="Times New Roman" w:eastAsia="Times New Roman" w:hAnsi="Times New Roman" w:cs="Times New Roman"/>
                <w:color w:val="000000" w:themeColor="text1"/>
                <w:sz w:val="20"/>
                <w:szCs w:val="20"/>
                <w:vertAlign w:val="superscript"/>
              </w:rPr>
            </w:pPr>
            <w:r w:rsidRPr="007C03E6">
              <w:rPr>
                <w:rFonts w:ascii="Times New Roman" w:eastAsia="Times New Roman" w:hAnsi="Times New Roman" w:cs="Times New Roman"/>
                <w:color w:val="000000" w:themeColor="text1"/>
                <w:sz w:val="20"/>
                <w:szCs w:val="20"/>
              </w:rPr>
              <w:t>0.3 (-2.2</w:t>
            </w:r>
            <w:r>
              <w:rPr>
                <w:rFonts w:ascii="Times New Roman" w:eastAsia="Times New Roman" w:hAnsi="Times New Roman" w:cs="Times New Roman"/>
                <w:color w:val="000000" w:themeColor="text1"/>
                <w:sz w:val="20"/>
                <w:szCs w:val="20"/>
              </w:rPr>
              <w:t xml:space="preserve"> to </w:t>
            </w:r>
            <w:r w:rsidRPr="007C03E6">
              <w:rPr>
                <w:rFonts w:ascii="Times New Roman" w:eastAsia="Times New Roman" w:hAnsi="Times New Roman" w:cs="Times New Roman"/>
                <w:color w:val="000000" w:themeColor="text1"/>
                <w:sz w:val="20"/>
                <w:szCs w:val="20"/>
              </w:rPr>
              <w:t>2.8)</w:t>
            </w:r>
            <w:r w:rsidRPr="007C03E6">
              <w:rPr>
                <w:rFonts w:ascii="Times New Roman" w:eastAsia="Times New Roman" w:hAnsi="Times New Roman" w:cs="Times New Roman"/>
                <w:color w:val="000000" w:themeColor="text1"/>
                <w:sz w:val="20"/>
                <w:szCs w:val="20"/>
                <w:vertAlign w:val="superscript"/>
              </w:rPr>
              <w:t>d</w:t>
            </w:r>
          </w:p>
        </w:tc>
        <w:tc>
          <w:tcPr>
            <w:tcW w:w="916" w:type="dxa"/>
            <w:tcBorders>
              <w:top w:val="nil"/>
              <w:left w:val="nil"/>
              <w:bottom w:val="nil"/>
              <w:right w:val="nil"/>
            </w:tcBorders>
            <w:shd w:val="clear" w:color="auto" w:fill="auto"/>
            <w:hideMark/>
          </w:tcPr>
          <w:p w14:paraId="04AFF397" w14:textId="51344AAC"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.821</w:t>
            </w:r>
          </w:p>
        </w:tc>
        <w:tc>
          <w:tcPr>
            <w:tcW w:w="1066" w:type="dxa"/>
            <w:tcBorders>
              <w:top w:val="nil"/>
              <w:left w:val="nil"/>
              <w:bottom w:val="nil"/>
              <w:right w:val="nil"/>
            </w:tcBorders>
            <w:shd w:val="clear" w:color="auto" w:fill="auto"/>
            <w:hideMark/>
          </w:tcPr>
          <w:p w14:paraId="6D20999B" w14:textId="40BE2329"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066" w:type="dxa"/>
            <w:tcBorders>
              <w:top w:val="nil"/>
              <w:left w:val="nil"/>
              <w:bottom w:val="nil"/>
              <w:right w:val="nil"/>
            </w:tcBorders>
            <w:shd w:val="clear" w:color="auto" w:fill="auto"/>
            <w:hideMark/>
          </w:tcPr>
          <w:p w14:paraId="16B1C087" w14:textId="0F9096CB"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6" w:type="dxa"/>
            <w:tcBorders>
              <w:top w:val="nil"/>
              <w:left w:val="nil"/>
              <w:bottom w:val="nil"/>
              <w:right w:val="nil"/>
            </w:tcBorders>
            <w:shd w:val="clear" w:color="auto" w:fill="auto"/>
            <w:hideMark/>
          </w:tcPr>
          <w:p w14:paraId="3C33C034" w14:textId="5282E7EE"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850" w:type="dxa"/>
            <w:tcBorders>
              <w:top w:val="nil"/>
              <w:left w:val="nil"/>
              <w:bottom w:val="nil"/>
              <w:right w:val="nil"/>
            </w:tcBorders>
            <w:shd w:val="clear" w:color="auto" w:fill="auto"/>
            <w:hideMark/>
          </w:tcPr>
          <w:p w14:paraId="28615778" w14:textId="21DAFE9A"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9" w:type="dxa"/>
            <w:tcBorders>
              <w:top w:val="nil"/>
              <w:left w:val="nil"/>
              <w:bottom w:val="nil"/>
              <w:right w:val="nil"/>
            </w:tcBorders>
            <w:shd w:val="clear" w:color="auto" w:fill="auto"/>
            <w:hideMark/>
          </w:tcPr>
          <w:p w14:paraId="3965627F" w14:textId="334A65F2"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917" w:type="dxa"/>
            <w:gridSpan w:val="2"/>
            <w:tcBorders>
              <w:top w:val="nil"/>
              <w:left w:val="nil"/>
              <w:bottom w:val="nil"/>
              <w:right w:val="nil"/>
            </w:tcBorders>
            <w:shd w:val="clear" w:color="auto" w:fill="auto"/>
            <w:hideMark/>
          </w:tcPr>
          <w:p w14:paraId="01807C0E" w14:textId="1C08968E"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r>
      <w:tr w:rsidR="0074081B" w:rsidRPr="007C03E6" w14:paraId="73063A19" w14:textId="77777777" w:rsidTr="002C2BA7">
        <w:trPr>
          <w:trHeight w:val="306"/>
          <w:jc w:val="center"/>
        </w:trPr>
        <w:tc>
          <w:tcPr>
            <w:tcW w:w="5130" w:type="dxa"/>
            <w:tcBorders>
              <w:top w:val="nil"/>
              <w:left w:val="nil"/>
              <w:bottom w:val="nil"/>
              <w:right w:val="nil"/>
            </w:tcBorders>
            <w:shd w:val="clear" w:color="auto" w:fill="auto"/>
            <w:vAlign w:val="center"/>
            <w:hideMark/>
          </w:tcPr>
          <w:p w14:paraId="2F09E00E" w14:textId="03A72685" w:rsidR="0074081B" w:rsidRPr="007C03E6" w:rsidRDefault="0074081B" w:rsidP="0074081B">
            <w:pPr>
              <w:jc w:val="both"/>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 xml:space="preserve">   Hematocrit drop, </w:t>
            </w:r>
            <w:r w:rsidRPr="007C03E6">
              <w:rPr>
                <w:rFonts w:ascii="Times New Roman" w:hAnsi="Times New Roman" w:cs="Times New Roman"/>
                <w:sz w:val="18"/>
                <w:szCs w:val="18"/>
              </w:rPr>
              <w:t>≥</w:t>
            </w:r>
            <w:r w:rsidRPr="007C03E6">
              <w:rPr>
                <w:rFonts w:ascii="Times New Roman" w:eastAsia="Times New Roman" w:hAnsi="Times New Roman" w:cs="Times New Roman"/>
                <w:color w:val="000000" w:themeColor="text1"/>
                <w:sz w:val="20"/>
                <w:szCs w:val="20"/>
              </w:rPr>
              <w:t>10%</w:t>
            </w:r>
            <w:r>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rPr>
              <w:t xml:space="preserve">n </w:t>
            </w:r>
            <w:r>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w:t>
            </w:r>
          </w:p>
        </w:tc>
        <w:tc>
          <w:tcPr>
            <w:tcW w:w="1115" w:type="dxa"/>
            <w:tcBorders>
              <w:top w:val="nil"/>
              <w:left w:val="nil"/>
              <w:bottom w:val="nil"/>
              <w:right w:val="nil"/>
            </w:tcBorders>
            <w:shd w:val="clear" w:color="auto" w:fill="auto"/>
            <w:vAlign w:val="center"/>
            <w:hideMark/>
          </w:tcPr>
          <w:p w14:paraId="28E55327"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50 (31.3)</w:t>
            </w:r>
          </w:p>
        </w:tc>
        <w:tc>
          <w:tcPr>
            <w:tcW w:w="1126" w:type="dxa"/>
            <w:tcBorders>
              <w:top w:val="nil"/>
              <w:left w:val="nil"/>
              <w:bottom w:val="nil"/>
              <w:right w:val="nil"/>
            </w:tcBorders>
            <w:shd w:val="clear" w:color="auto" w:fill="auto"/>
            <w:vAlign w:val="center"/>
            <w:hideMark/>
          </w:tcPr>
          <w:p w14:paraId="00B3BF63"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38 (20.1)</w:t>
            </w:r>
          </w:p>
        </w:tc>
        <w:tc>
          <w:tcPr>
            <w:tcW w:w="1767" w:type="dxa"/>
            <w:tcBorders>
              <w:top w:val="nil"/>
              <w:left w:val="nil"/>
              <w:bottom w:val="nil"/>
              <w:right w:val="nil"/>
            </w:tcBorders>
            <w:shd w:val="clear" w:color="auto" w:fill="auto"/>
            <w:hideMark/>
          </w:tcPr>
          <w:p w14:paraId="0AC1DFA2" w14:textId="5C027F32" w:rsidR="0074081B" w:rsidRPr="007C03E6" w:rsidRDefault="0074081B" w:rsidP="00372B6B">
            <w:pPr>
              <w:jc w:val="center"/>
              <w:rPr>
                <w:rFonts w:ascii="Times New Roman" w:eastAsia="Times New Roman" w:hAnsi="Times New Roman" w:cs="Times New Roman"/>
                <w:color w:val="000000" w:themeColor="text1"/>
                <w:sz w:val="20"/>
                <w:szCs w:val="20"/>
                <w:vertAlign w:val="superscript"/>
              </w:rPr>
            </w:pPr>
            <w:r w:rsidRPr="007C03E6">
              <w:rPr>
                <w:rFonts w:ascii="Times New Roman" w:eastAsia="Times New Roman" w:hAnsi="Times New Roman" w:cs="Times New Roman"/>
                <w:color w:val="000000" w:themeColor="text1"/>
                <w:sz w:val="20"/>
                <w:szCs w:val="20"/>
              </w:rPr>
              <w:t>0.82 (0.22</w:t>
            </w:r>
            <w:r w:rsidR="00372B6B">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3.02)</w:t>
            </w:r>
            <w:r w:rsidRPr="007C03E6">
              <w:rPr>
                <w:rFonts w:ascii="Times New Roman" w:eastAsia="Times New Roman" w:hAnsi="Times New Roman" w:cs="Times New Roman"/>
                <w:color w:val="000000" w:themeColor="text1"/>
                <w:sz w:val="20"/>
                <w:szCs w:val="20"/>
                <w:vertAlign w:val="superscript"/>
              </w:rPr>
              <w:t>c</w:t>
            </w:r>
          </w:p>
        </w:tc>
        <w:tc>
          <w:tcPr>
            <w:tcW w:w="916" w:type="dxa"/>
            <w:tcBorders>
              <w:top w:val="nil"/>
              <w:left w:val="nil"/>
              <w:bottom w:val="nil"/>
              <w:right w:val="nil"/>
            </w:tcBorders>
            <w:shd w:val="clear" w:color="auto" w:fill="auto"/>
            <w:hideMark/>
          </w:tcPr>
          <w:p w14:paraId="4AACF2D7" w14:textId="5E219A60"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.769</w:t>
            </w:r>
          </w:p>
        </w:tc>
        <w:tc>
          <w:tcPr>
            <w:tcW w:w="1066" w:type="dxa"/>
            <w:tcBorders>
              <w:top w:val="nil"/>
              <w:left w:val="nil"/>
              <w:bottom w:val="nil"/>
              <w:right w:val="nil"/>
            </w:tcBorders>
            <w:shd w:val="clear" w:color="auto" w:fill="auto"/>
            <w:hideMark/>
          </w:tcPr>
          <w:p w14:paraId="67ECEECB" w14:textId="123A7D9F"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066" w:type="dxa"/>
            <w:tcBorders>
              <w:top w:val="nil"/>
              <w:left w:val="nil"/>
              <w:bottom w:val="nil"/>
              <w:right w:val="nil"/>
            </w:tcBorders>
            <w:shd w:val="clear" w:color="auto" w:fill="auto"/>
            <w:hideMark/>
          </w:tcPr>
          <w:p w14:paraId="0791CB40" w14:textId="435AF155"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6" w:type="dxa"/>
            <w:tcBorders>
              <w:top w:val="nil"/>
              <w:left w:val="nil"/>
              <w:bottom w:val="nil"/>
              <w:right w:val="nil"/>
            </w:tcBorders>
            <w:shd w:val="clear" w:color="auto" w:fill="auto"/>
            <w:hideMark/>
          </w:tcPr>
          <w:p w14:paraId="7F2F0022" w14:textId="774C1B80"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850" w:type="dxa"/>
            <w:tcBorders>
              <w:top w:val="nil"/>
              <w:left w:val="nil"/>
              <w:bottom w:val="nil"/>
              <w:right w:val="nil"/>
            </w:tcBorders>
            <w:shd w:val="clear" w:color="auto" w:fill="auto"/>
            <w:hideMark/>
          </w:tcPr>
          <w:p w14:paraId="492506CC" w14:textId="0DC6FB42"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9" w:type="dxa"/>
            <w:tcBorders>
              <w:top w:val="nil"/>
              <w:left w:val="nil"/>
              <w:bottom w:val="nil"/>
              <w:right w:val="nil"/>
            </w:tcBorders>
            <w:shd w:val="clear" w:color="auto" w:fill="auto"/>
            <w:hideMark/>
          </w:tcPr>
          <w:p w14:paraId="2C82900F" w14:textId="4FB49D0A"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917" w:type="dxa"/>
            <w:gridSpan w:val="2"/>
            <w:tcBorders>
              <w:top w:val="nil"/>
              <w:left w:val="nil"/>
              <w:bottom w:val="nil"/>
              <w:right w:val="nil"/>
            </w:tcBorders>
            <w:shd w:val="clear" w:color="auto" w:fill="auto"/>
            <w:hideMark/>
          </w:tcPr>
          <w:p w14:paraId="27DD6206" w14:textId="485B477F"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r>
      <w:tr w:rsidR="0074081B" w:rsidRPr="007C03E6" w14:paraId="3928CED6" w14:textId="77777777" w:rsidTr="002C2BA7">
        <w:trPr>
          <w:trHeight w:val="306"/>
          <w:jc w:val="center"/>
        </w:trPr>
        <w:tc>
          <w:tcPr>
            <w:tcW w:w="5130" w:type="dxa"/>
            <w:tcBorders>
              <w:top w:val="nil"/>
              <w:left w:val="nil"/>
              <w:bottom w:val="nil"/>
              <w:right w:val="nil"/>
            </w:tcBorders>
            <w:shd w:val="clear" w:color="auto" w:fill="auto"/>
            <w:vAlign w:val="center"/>
            <w:hideMark/>
          </w:tcPr>
          <w:p w14:paraId="50EFBA95" w14:textId="11B472B6" w:rsidR="0074081B" w:rsidRPr="007C03E6" w:rsidRDefault="0074081B" w:rsidP="0074081B">
            <w:pPr>
              <w:jc w:val="both"/>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 xml:space="preserve">   Difference </w:t>
            </w:r>
            <w:r>
              <w:rPr>
                <w:rFonts w:ascii="Times New Roman" w:eastAsia="Times New Roman" w:hAnsi="Times New Roman" w:cs="Times New Roman"/>
                <w:color w:val="000000" w:themeColor="text1"/>
                <w:sz w:val="20"/>
                <w:szCs w:val="20"/>
              </w:rPr>
              <w:t>between</w:t>
            </w:r>
            <w:r w:rsidRPr="007C03E6">
              <w:rPr>
                <w:rFonts w:ascii="Times New Roman" w:eastAsia="Times New Roman" w:hAnsi="Times New Roman" w:cs="Times New Roman"/>
                <w:color w:val="000000" w:themeColor="text1"/>
                <w:sz w:val="20"/>
                <w:szCs w:val="20"/>
              </w:rPr>
              <w:t xml:space="preserve"> vBL or tBL and cBL</w:t>
            </w:r>
            <w:r>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rPr>
              <w:t>(mL)</w:t>
            </w:r>
            <w:r>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 xml:space="preserve"> mean (SD)</w:t>
            </w:r>
          </w:p>
        </w:tc>
        <w:tc>
          <w:tcPr>
            <w:tcW w:w="1115" w:type="dxa"/>
            <w:tcBorders>
              <w:top w:val="nil"/>
              <w:left w:val="nil"/>
              <w:bottom w:val="nil"/>
              <w:right w:val="nil"/>
            </w:tcBorders>
            <w:shd w:val="clear" w:color="auto" w:fill="auto"/>
            <w:vAlign w:val="center"/>
            <w:hideMark/>
          </w:tcPr>
          <w:p w14:paraId="17D5B661"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-600 (596)</w:t>
            </w:r>
          </w:p>
        </w:tc>
        <w:tc>
          <w:tcPr>
            <w:tcW w:w="1126" w:type="dxa"/>
            <w:tcBorders>
              <w:top w:val="nil"/>
              <w:left w:val="nil"/>
              <w:bottom w:val="nil"/>
              <w:right w:val="nil"/>
            </w:tcBorders>
            <w:shd w:val="clear" w:color="auto" w:fill="auto"/>
            <w:vAlign w:val="center"/>
            <w:hideMark/>
          </w:tcPr>
          <w:p w14:paraId="7CC26F51"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-318 (502)</w:t>
            </w:r>
          </w:p>
        </w:tc>
        <w:tc>
          <w:tcPr>
            <w:tcW w:w="1767" w:type="dxa"/>
            <w:tcBorders>
              <w:top w:val="nil"/>
              <w:left w:val="nil"/>
              <w:bottom w:val="nil"/>
              <w:right w:val="nil"/>
            </w:tcBorders>
            <w:shd w:val="clear" w:color="auto" w:fill="auto"/>
            <w:noWrap/>
            <w:hideMark/>
          </w:tcPr>
          <w:p w14:paraId="4A356C96" w14:textId="6E73DB8F" w:rsidR="0074081B" w:rsidRPr="007C03E6" w:rsidRDefault="0074081B" w:rsidP="00372B6B">
            <w:pPr>
              <w:jc w:val="center"/>
              <w:rPr>
                <w:rFonts w:ascii="Times New Roman" w:eastAsia="Times New Roman" w:hAnsi="Times New Roman" w:cs="Times New Roman"/>
                <w:color w:val="000000" w:themeColor="text1"/>
                <w:sz w:val="20"/>
                <w:szCs w:val="20"/>
                <w:vertAlign w:val="superscript"/>
              </w:rPr>
            </w:pPr>
            <w:r w:rsidRPr="007C03E6">
              <w:rPr>
                <w:rFonts w:ascii="Times New Roman" w:eastAsia="Times New Roman" w:hAnsi="Times New Roman" w:cs="Times New Roman"/>
                <w:color w:val="000000" w:themeColor="text1"/>
                <w:sz w:val="20"/>
                <w:szCs w:val="20"/>
              </w:rPr>
              <w:t>270 (-32</w:t>
            </w:r>
            <w:r>
              <w:rPr>
                <w:rFonts w:ascii="Times New Roman" w:eastAsia="Times New Roman" w:hAnsi="Times New Roman" w:cs="Times New Roman"/>
                <w:color w:val="000000" w:themeColor="text1"/>
                <w:sz w:val="20"/>
                <w:szCs w:val="20"/>
              </w:rPr>
              <w:t xml:space="preserve"> to</w:t>
            </w:r>
            <w:r w:rsidRPr="007C03E6">
              <w:rPr>
                <w:rFonts w:ascii="Times New Roman" w:eastAsia="Times New Roman" w:hAnsi="Times New Roman" w:cs="Times New Roman"/>
                <w:color w:val="000000" w:themeColor="text1"/>
                <w:sz w:val="20"/>
                <w:szCs w:val="20"/>
              </w:rPr>
              <w:t xml:space="preserve"> 573)</w:t>
            </w:r>
            <w:r w:rsidRPr="007C03E6">
              <w:rPr>
                <w:rFonts w:ascii="Times New Roman" w:eastAsia="Times New Roman" w:hAnsi="Times New Roman" w:cs="Times New Roman"/>
                <w:color w:val="000000" w:themeColor="text1"/>
                <w:sz w:val="20"/>
                <w:szCs w:val="20"/>
                <w:vertAlign w:val="superscript"/>
              </w:rPr>
              <w:t>d</w:t>
            </w:r>
          </w:p>
        </w:tc>
        <w:tc>
          <w:tcPr>
            <w:tcW w:w="916" w:type="dxa"/>
            <w:tcBorders>
              <w:top w:val="nil"/>
              <w:left w:val="nil"/>
              <w:bottom w:val="nil"/>
              <w:right w:val="nil"/>
            </w:tcBorders>
            <w:shd w:val="clear" w:color="auto" w:fill="auto"/>
            <w:hideMark/>
          </w:tcPr>
          <w:p w14:paraId="7E93A190" w14:textId="4A2C324F"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.080</w:t>
            </w:r>
          </w:p>
        </w:tc>
        <w:tc>
          <w:tcPr>
            <w:tcW w:w="1066" w:type="dxa"/>
            <w:tcBorders>
              <w:top w:val="nil"/>
              <w:left w:val="nil"/>
              <w:bottom w:val="nil"/>
              <w:right w:val="nil"/>
            </w:tcBorders>
            <w:shd w:val="clear" w:color="auto" w:fill="auto"/>
            <w:hideMark/>
          </w:tcPr>
          <w:p w14:paraId="00AA00CF" w14:textId="272C6838"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066" w:type="dxa"/>
            <w:tcBorders>
              <w:top w:val="nil"/>
              <w:left w:val="nil"/>
              <w:bottom w:val="nil"/>
              <w:right w:val="nil"/>
            </w:tcBorders>
            <w:shd w:val="clear" w:color="auto" w:fill="auto"/>
            <w:hideMark/>
          </w:tcPr>
          <w:p w14:paraId="14EDC378" w14:textId="16FD6525"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6" w:type="dxa"/>
            <w:tcBorders>
              <w:top w:val="nil"/>
              <w:left w:val="nil"/>
              <w:bottom w:val="nil"/>
              <w:right w:val="nil"/>
            </w:tcBorders>
            <w:shd w:val="clear" w:color="auto" w:fill="auto"/>
            <w:hideMark/>
          </w:tcPr>
          <w:p w14:paraId="007083E7" w14:textId="3CE1051E"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850" w:type="dxa"/>
            <w:tcBorders>
              <w:top w:val="nil"/>
              <w:left w:val="nil"/>
              <w:bottom w:val="nil"/>
              <w:right w:val="nil"/>
            </w:tcBorders>
            <w:shd w:val="clear" w:color="auto" w:fill="auto"/>
            <w:hideMark/>
          </w:tcPr>
          <w:p w14:paraId="7780E176" w14:textId="4D521EC4"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9" w:type="dxa"/>
            <w:tcBorders>
              <w:top w:val="nil"/>
              <w:left w:val="nil"/>
              <w:bottom w:val="nil"/>
              <w:right w:val="nil"/>
            </w:tcBorders>
            <w:shd w:val="clear" w:color="auto" w:fill="auto"/>
            <w:hideMark/>
          </w:tcPr>
          <w:p w14:paraId="26565854" w14:textId="21BC1CB0"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917" w:type="dxa"/>
            <w:gridSpan w:val="2"/>
            <w:tcBorders>
              <w:top w:val="nil"/>
              <w:left w:val="nil"/>
              <w:bottom w:val="nil"/>
              <w:right w:val="nil"/>
            </w:tcBorders>
            <w:shd w:val="clear" w:color="auto" w:fill="auto"/>
            <w:hideMark/>
          </w:tcPr>
          <w:p w14:paraId="59875DDD" w14:textId="5EC9B2E7"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r>
      <w:tr w:rsidR="0074081B" w:rsidRPr="007C03E6" w14:paraId="236B1FBC" w14:textId="77777777" w:rsidTr="002C2BA7">
        <w:trPr>
          <w:trHeight w:val="306"/>
          <w:jc w:val="center"/>
        </w:trPr>
        <w:tc>
          <w:tcPr>
            <w:tcW w:w="5130" w:type="dxa"/>
            <w:tcBorders>
              <w:top w:val="nil"/>
              <w:left w:val="nil"/>
              <w:bottom w:val="nil"/>
              <w:right w:val="nil"/>
            </w:tcBorders>
            <w:shd w:val="clear" w:color="auto" w:fill="auto"/>
            <w:vAlign w:val="center"/>
            <w:hideMark/>
          </w:tcPr>
          <w:p w14:paraId="6D93C2A1" w14:textId="5142D912" w:rsidR="0074081B" w:rsidRPr="009E77F2" w:rsidRDefault="0074081B" w:rsidP="0074081B">
            <w:pPr>
              <w:jc w:val="both"/>
              <w:rPr>
                <w:rFonts w:ascii="Times New Roman" w:eastAsia="Times New Roman" w:hAnsi="Times New Roman" w:cs="Times New Roman"/>
                <w:b/>
                <w:bCs/>
                <w:color w:val="000000" w:themeColor="text1"/>
                <w:sz w:val="20"/>
                <w:szCs w:val="20"/>
              </w:rPr>
            </w:pPr>
            <w:r w:rsidRPr="009E77F2">
              <w:rPr>
                <w:rFonts w:ascii="Times New Roman" w:eastAsia="Times New Roman" w:hAnsi="Times New Roman" w:cs="Times New Roman"/>
                <w:b/>
                <w:bCs/>
                <w:color w:val="000000" w:themeColor="text1"/>
                <w:sz w:val="20"/>
                <w:szCs w:val="20"/>
              </w:rPr>
              <w:t>Hematocrit-</w:t>
            </w:r>
            <w:r w:rsidR="00372B6B">
              <w:rPr>
                <w:rFonts w:ascii="Times New Roman" w:eastAsia="Times New Roman" w:hAnsi="Times New Roman" w:cs="Times New Roman"/>
                <w:b/>
                <w:bCs/>
                <w:color w:val="000000" w:themeColor="text1"/>
                <w:sz w:val="20"/>
                <w:szCs w:val="20"/>
              </w:rPr>
              <w:t>B</w:t>
            </w:r>
            <w:r w:rsidRPr="009E77F2">
              <w:rPr>
                <w:rFonts w:ascii="Times New Roman" w:eastAsia="Times New Roman" w:hAnsi="Times New Roman" w:cs="Times New Roman"/>
                <w:b/>
                <w:bCs/>
                <w:color w:val="000000" w:themeColor="text1"/>
                <w:sz w:val="20"/>
                <w:szCs w:val="20"/>
              </w:rPr>
              <w:t xml:space="preserve">ased </w:t>
            </w:r>
            <w:r w:rsidR="00372B6B">
              <w:rPr>
                <w:rFonts w:ascii="Times New Roman" w:eastAsia="Times New Roman" w:hAnsi="Times New Roman" w:cs="Times New Roman"/>
                <w:b/>
                <w:bCs/>
                <w:color w:val="000000" w:themeColor="text1"/>
                <w:sz w:val="20"/>
                <w:szCs w:val="20"/>
              </w:rPr>
              <w:t>O</w:t>
            </w:r>
            <w:r w:rsidRPr="009E77F2">
              <w:rPr>
                <w:rFonts w:ascii="Times New Roman" w:eastAsia="Times New Roman" w:hAnsi="Times New Roman" w:cs="Times New Roman"/>
                <w:b/>
                <w:bCs/>
                <w:color w:val="000000" w:themeColor="text1"/>
                <w:sz w:val="20"/>
                <w:szCs w:val="20"/>
              </w:rPr>
              <w:t>utcomes (sensitivity analysis 2)</w:t>
            </w:r>
          </w:p>
        </w:tc>
        <w:tc>
          <w:tcPr>
            <w:tcW w:w="1115" w:type="dxa"/>
            <w:tcBorders>
              <w:top w:val="nil"/>
              <w:left w:val="nil"/>
              <w:bottom w:val="nil"/>
              <w:right w:val="nil"/>
            </w:tcBorders>
            <w:shd w:val="clear" w:color="auto" w:fill="auto"/>
            <w:vAlign w:val="center"/>
            <w:hideMark/>
          </w:tcPr>
          <w:p w14:paraId="589E80FD" w14:textId="77777777" w:rsidR="0074081B" w:rsidRPr="0074081B" w:rsidRDefault="0074081B" w:rsidP="00372B6B">
            <w:pPr>
              <w:jc w:val="center"/>
              <w:rPr>
                <w:rFonts w:ascii="Times New Roman" w:eastAsia="Times New Roman" w:hAnsi="Times New Roman" w:cs="Times New Roman"/>
                <w:b/>
                <w:bCs/>
                <w:color w:val="000000" w:themeColor="text1"/>
                <w:sz w:val="20"/>
                <w:szCs w:val="20"/>
              </w:rPr>
            </w:pPr>
            <w:r w:rsidRPr="0074081B">
              <w:rPr>
                <w:rFonts w:ascii="Times New Roman" w:eastAsia="Times New Roman" w:hAnsi="Times New Roman" w:cs="Times New Roman"/>
                <w:b/>
                <w:bCs/>
                <w:color w:val="000000" w:themeColor="text1"/>
                <w:sz w:val="20"/>
                <w:szCs w:val="20"/>
              </w:rPr>
              <w:t>n = 147</w:t>
            </w:r>
          </w:p>
        </w:tc>
        <w:tc>
          <w:tcPr>
            <w:tcW w:w="1126" w:type="dxa"/>
            <w:tcBorders>
              <w:top w:val="nil"/>
              <w:left w:val="nil"/>
              <w:bottom w:val="nil"/>
              <w:right w:val="nil"/>
            </w:tcBorders>
            <w:shd w:val="clear" w:color="auto" w:fill="auto"/>
            <w:vAlign w:val="center"/>
            <w:hideMark/>
          </w:tcPr>
          <w:p w14:paraId="53C75655" w14:textId="77777777" w:rsidR="0074081B" w:rsidRPr="0074081B" w:rsidRDefault="0074081B" w:rsidP="00372B6B">
            <w:pPr>
              <w:jc w:val="center"/>
              <w:rPr>
                <w:rFonts w:ascii="Times New Roman" w:eastAsia="Times New Roman" w:hAnsi="Times New Roman" w:cs="Times New Roman"/>
                <w:b/>
                <w:bCs/>
                <w:color w:val="000000" w:themeColor="text1"/>
                <w:sz w:val="20"/>
                <w:szCs w:val="20"/>
              </w:rPr>
            </w:pPr>
            <w:r w:rsidRPr="0074081B">
              <w:rPr>
                <w:rFonts w:ascii="Times New Roman" w:eastAsia="Times New Roman" w:hAnsi="Times New Roman" w:cs="Times New Roman"/>
                <w:b/>
                <w:bCs/>
                <w:color w:val="000000" w:themeColor="text1"/>
                <w:sz w:val="20"/>
                <w:szCs w:val="20"/>
              </w:rPr>
              <w:t>n = 120</w:t>
            </w:r>
          </w:p>
        </w:tc>
        <w:tc>
          <w:tcPr>
            <w:tcW w:w="1767" w:type="dxa"/>
            <w:tcBorders>
              <w:top w:val="nil"/>
              <w:left w:val="nil"/>
              <w:bottom w:val="nil"/>
              <w:right w:val="nil"/>
            </w:tcBorders>
            <w:shd w:val="clear" w:color="auto" w:fill="auto"/>
            <w:vAlign w:val="center"/>
            <w:hideMark/>
          </w:tcPr>
          <w:p w14:paraId="2147CE5A" w14:textId="77777777" w:rsidR="0074081B" w:rsidRPr="007C03E6" w:rsidRDefault="0074081B" w:rsidP="00372B6B">
            <w:pPr>
              <w:jc w:val="center"/>
              <w:rPr>
                <w:rFonts w:ascii="Times New Roman" w:eastAsia="Times New Roman" w:hAnsi="Times New Roman" w:cs="Times New Roman"/>
                <w:color w:val="000000" w:themeColor="text1"/>
                <w:sz w:val="20"/>
                <w:szCs w:val="20"/>
              </w:rPr>
            </w:pPr>
          </w:p>
        </w:tc>
        <w:tc>
          <w:tcPr>
            <w:tcW w:w="916" w:type="dxa"/>
            <w:tcBorders>
              <w:top w:val="nil"/>
              <w:left w:val="nil"/>
              <w:bottom w:val="nil"/>
              <w:right w:val="nil"/>
            </w:tcBorders>
            <w:shd w:val="clear" w:color="auto" w:fill="auto"/>
            <w:vAlign w:val="center"/>
            <w:hideMark/>
          </w:tcPr>
          <w:p w14:paraId="5AC41382" w14:textId="77777777" w:rsidR="0074081B" w:rsidRPr="007C03E6" w:rsidRDefault="0074081B" w:rsidP="00372B6B">
            <w:pPr>
              <w:jc w:val="center"/>
              <w:rPr>
                <w:rFonts w:ascii="Times New Roman" w:eastAsia="Times New Roman" w:hAnsi="Times New Roman" w:cs="Times New Roman"/>
                <w:color w:val="000000" w:themeColor="text1"/>
                <w:sz w:val="20"/>
                <w:szCs w:val="20"/>
              </w:rPr>
            </w:pPr>
          </w:p>
        </w:tc>
        <w:tc>
          <w:tcPr>
            <w:tcW w:w="1066" w:type="dxa"/>
            <w:tcBorders>
              <w:top w:val="nil"/>
              <w:left w:val="nil"/>
              <w:bottom w:val="nil"/>
              <w:right w:val="nil"/>
            </w:tcBorders>
            <w:shd w:val="clear" w:color="auto" w:fill="auto"/>
            <w:hideMark/>
          </w:tcPr>
          <w:p w14:paraId="2F2D40A3" w14:textId="6DA6EEBA"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066" w:type="dxa"/>
            <w:tcBorders>
              <w:top w:val="nil"/>
              <w:left w:val="nil"/>
              <w:bottom w:val="nil"/>
              <w:right w:val="nil"/>
            </w:tcBorders>
            <w:shd w:val="clear" w:color="auto" w:fill="auto"/>
            <w:hideMark/>
          </w:tcPr>
          <w:p w14:paraId="761581F5" w14:textId="121DFF6E"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6" w:type="dxa"/>
            <w:tcBorders>
              <w:top w:val="nil"/>
              <w:left w:val="nil"/>
              <w:bottom w:val="nil"/>
              <w:right w:val="nil"/>
            </w:tcBorders>
            <w:shd w:val="clear" w:color="auto" w:fill="auto"/>
            <w:hideMark/>
          </w:tcPr>
          <w:p w14:paraId="32277E8E" w14:textId="1F8E2279"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850" w:type="dxa"/>
            <w:tcBorders>
              <w:top w:val="nil"/>
              <w:left w:val="nil"/>
              <w:bottom w:val="nil"/>
              <w:right w:val="nil"/>
            </w:tcBorders>
            <w:shd w:val="clear" w:color="auto" w:fill="auto"/>
            <w:hideMark/>
          </w:tcPr>
          <w:p w14:paraId="302ECC74" w14:textId="62731A52"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9" w:type="dxa"/>
            <w:tcBorders>
              <w:top w:val="nil"/>
              <w:left w:val="nil"/>
              <w:bottom w:val="nil"/>
              <w:right w:val="nil"/>
            </w:tcBorders>
            <w:shd w:val="clear" w:color="auto" w:fill="auto"/>
            <w:hideMark/>
          </w:tcPr>
          <w:p w14:paraId="0E6640D5" w14:textId="48A5628E"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917" w:type="dxa"/>
            <w:gridSpan w:val="2"/>
            <w:tcBorders>
              <w:top w:val="nil"/>
              <w:left w:val="nil"/>
              <w:bottom w:val="nil"/>
              <w:right w:val="nil"/>
            </w:tcBorders>
            <w:shd w:val="clear" w:color="auto" w:fill="auto"/>
            <w:hideMark/>
          </w:tcPr>
          <w:p w14:paraId="03D1D1D2" w14:textId="7AE13071"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r>
      <w:tr w:rsidR="0074081B" w:rsidRPr="007C03E6" w14:paraId="29C6B661" w14:textId="77777777" w:rsidTr="002C2BA7">
        <w:trPr>
          <w:trHeight w:val="306"/>
          <w:jc w:val="center"/>
        </w:trPr>
        <w:tc>
          <w:tcPr>
            <w:tcW w:w="5130" w:type="dxa"/>
            <w:tcBorders>
              <w:top w:val="nil"/>
              <w:left w:val="nil"/>
              <w:bottom w:val="nil"/>
              <w:right w:val="nil"/>
            </w:tcBorders>
            <w:shd w:val="clear" w:color="auto" w:fill="auto"/>
            <w:vAlign w:val="center"/>
            <w:hideMark/>
          </w:tcPr>
          <w:p w14:paraId="5FAD3CD9" w14:textId="35CD1A8D" w:rsidR="0074081B" w:rsidRPr="007C03E6" w:rsidRDefault="0074081B" w:rsidP="0074081B">
            <w:pPr>
              <w:jc w:val="both"/>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 xml:space="preserve">   Hematocrit nadir </w:t>
            </w:r>
            <w:r>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 xml:space="preserve"> mean (SD)</w:t>
            </w:r>
          </w:p>
        </w:tc>
        <w:tc>
          <w:tcPr>
            <w:tcW w:w="1115" w:type="dxa"/>
            <w:tcBorders>
              <w:top w:val="nil"/>
              <w:left w:val="nil"/>
              <w:bottom w:val="nil"/>
              <w:right w:val="nil"/>
            </w:tcBorders>
            <w:shd w:val="clear" w:color="auto" w:fill="auto"/>
            <w:vAlign w:val="center"/>
            <w:hideMark/>
          </w:tcPr>
          <w:p w14:paraId="14042A99"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29 (4.5)</w:t>
            </w:r>
          </w:p>
        </w:tc>
        <w:tc>
          <w:tcPr>
            <w:tcW w:w="1126" w:type="dxa"/>
            <w:tcBorders>
              <w:top w:val="nil"/>
              <w:left w:val="nil"/>
              <w:bottom w:val="nil"/>
              <w:right w:val="nil"/>
            </w:tcBorders>
            <w:shd w:val="clear" w:color="auto" w:fill="auto"/>
            <w:vAlign w:val="center"/>
            <w:hideMark/>
          </w:tcPr>
          <w:p w14:paraId="7EE2FA48"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30.4 (3.9)</w:t>
            </w:r>
          </w:p>
        </w:tc>
        <w:tc>
          <w:tcPr>
            <w:tcW w:w="1767" w:type="dxa"/>
            <w:tcBorders>
              <w:top w:val="nil"/>
              <w:left w:val="nil"/>
              <w:bottom w:val="nil"/>
              <w:right w:val="nil"/>
            </w:tcBorders>
            <w:shd w:val="clear" w:color="auto" w:fill="auto"/>
            <w:noWrap/>
            <w:hideMark/>
          </w:tcPr>
          <w:p w14:paraId="64A8A007" w14:textId="12312737" w:rsidR="0074081B" w:rsidRPr="007C03E6" w:rsidRDefault="0074081B" w:rsidP="00372B6B">
            <w:pPr>
              <w:jc w:val="center"/>
              <w:rPr>
                <w:rFonts w:ascii="Times New Roman" w:eastAsia="Times New Roman" w:hAnsi="Times New Roman" w:cs="Times New Roman"/>
                <w:color w:val="000000" w:themeColor="text1"/>
                <w:sz w:val="20"/>
                <w:szCs w:val="20"/>
                <w:vertAlign w:val="superscript"/>
              </w:rPr>
            </w:pPr>
            <w:r w:rsidRPr="007C03E6">
              <w:rPr>
                <w:rFonts w:ascii="Times New Roman" w:eastAsia="Times New Roman" w:hAnsi="Times New Roman" w:cs="Times New Roman"/>
                <w:color w:val="000000" w:themeColor="text1"/>
                <w:sz w:val="20"/>
                <w:szCs w:val="20"/>
              </w:rPr>
              <w:t>0.9 (-1.7</w:t>
            </w:r>
            <w:r>
              <w:rPr>
                <w:rFonts w:ascii="Times New Roman" w:eastAsia="Times New Roman" w:hAnsi="Times New Roman" w:cs="Times New Roman"/>
                <w:color w:val="000000" w:themeColor="text1"/>
                <w:sz w:val="20"/>
                <w:szCs w:val="20"/>
              </w:rPr>
              <w:t xml:space="preserve"> to</w:t>
            </w:r>
            <w:r w:rsidRPr="007C03E6">
              <w:rPr>
                <w:rFonts w:ascii="Times New Roman" w:eastAsia="Times New Roman" w:hAnsi="Times New Roman" w:cs="Times New Roman"/>
                <w:color w:val="000000" w:themeColor="text1"/>
                <w:sz w:val="20"/>
                <w:szCs w:val="20"/>
              </w:rPr>
              <w:t xml:space="preserve"> 3.4)</w:t>
            </w:r>
            <w:r w:rsidRPr="007C03E6">
              <w:rPr>
                <w:rFonts w:ascii="Times New Roman" w:eastAsia="Times New Roman" w:hAnsi="Times New Roman" w:cs="Times New Roman"/>
                <w:color w:val="000000" w:themeColor="text1"/>
                <w:sz w:val="20"/>
                <w:szCs w:val="20"/>
                <w:vertAlign w:val="superscript"/>
              </w:rPr>
              <w:t>d</w:t>
            </w:r>
          </w:p>
        </w:tc>
        <w:tc>
          <w:tcPr>
            <w:tcW w:w="916" w:type="dxa"/>
            <w:tcBorders>
              <w:top w:val="nil"/>
              <w:left w:val="nil"/>
              <w:bottom w:val="nil"/>
              <w:right w:val="nil"/>
            </w:tcBorders>
            <w:shd w:val="clear" w:color="auto" w:fill="auto"/>
            <w:hideMark/>
          </w:tcPr>
          <w:p w14:paraId="341020C2" w14:textId="1C92EDF2"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.510</w:t>
            </w:r>
          </w:p>
        </w:tc>
        <w:tc>
          <w:tcPr>
            <w:tcW w:w="1066" w:type="dxa"/>
            <w:tcBorders>
              <w:top w:val="nil"/>
              <w:left w:val="nil"/>
              <w:bottom w:val="nil"/>
              <w:right w:val="nil"/>
            </w:tcBorders>
            <w:shd w:val="clear" w:color="auto" w:fill="auto"/>
            <w:hideMark/>
          </w:tcPr>
          <w:p w14:paraId="69C581C0" w14:textId="7182A312"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066" w:type="dxa"/>
            <w:tcBorders>
              <w:top w:val="nil"/>
              <w:left w:val="nil"/>
              <w:bottom w:val="nil"/>
              <w:right w:val="nil"/>
            </w:tcBorders>
            <w:shd w:val="clear" w:color="auto" w:fill="auto"/>
            <w:hideMark/>
          </w:tcPr>
          <w:p w14:paraId="590F8355" w14:textId="6BBB0AC0"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6" w:type="dxa"/>
            <w:tcBorders>
              <w:top w:val="nil"/>
              <w:left w:val="nil"/>
              <w:bottom w:val="nil"/>
              <w:right w:val="nil"/>
            </w:tcBorders>
            <w:shd w:val="clear" w:color="auto" w:fill="auto"/>
            <w:hideMark/>
          </w:tcPr>
          <w:p w14:paraId="432E32E3" w14:textId="1D98BBE0"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850" w:type="dxa"/>
            <w:tcBorders>
              <w:top w:val="nil"/>
              <w:left w:val="nil"/>
              <w:bottom w:val="nil"/>
              <w:right w:val="nil"/>
            </w:tcBorders>
            <w:shd w:val="clear" w:color="auto" w:fill="auto"/>
            <w:hideMark/>
          </w:tcPr>
          <w:p w14:paraId="5E631497" w14:textId="5D03FC66"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9" w:type="dxa"/>
            <w:tcBorders>
              <w:top w:val="nil"/>
              <w:left w:val="nil"/>
              <w:bottom w:val="nil"/>
              <w:right w:val="nil"/>
            </w:tcBorders>
            <w:shd w:val="clear" w:color="auto" w:fill="auto"/>
            <w:hideMark/>
          </w:tcPr>
          <w:p w14:paraId="1A19D4CD" w14:textId="487A97D2"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917" w:type="dxa"/>
            <w:gridSpan w:val="2"/>
            <w:tcBorders>
              <w:top w:val="nil"/>
              <w:left w:val="nil"/>
              <w:bottom w:val="nil"/>
              <w:right w:val="nil"/>
            </w:tcBorders>
            <w:shd w:val="clear" w:color="auto" w:fill="auto"/>
            <w:hideMark/>
          </w:tcPr>
          <w:p w14:paraId="6C057E2F" w14:textId="6E2B5AE9"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r>
      <w:tr w:rsidR="0074081B" w:rsidRPr="007C03E6" w14:paraId="2011F215" w14:textId="77777777" w:rsidTr="002C2BA7">
        <w:trPr>
          <w:trHeight w:val="306"/>
          <w:jc w:val="center"/>
        </w:trPr>
        <w:tc>
          <w:tcPr>
            <w:tcW w:w="5130" w:type="dxa"/>
            <w:tcBorders>
              <w:top w:val="nil"/>
              <w:left w:val="nil"/>
              <w:bottom w:val="nil"/>
              <w:right w:val="nil"/>
            </w:tcBorders>
            <w:shd w:val="clear" w:color="auto" w:fill="auto"/>
            <w:vAlign w:val="center"/>
            <w:hideMark/>
          </w:tcPr>
          <w:p w14:paraId="474F70E5" w14:textId="607B4196" w:rsidR="0074081B" w:rsidRPr="007C03E6" w:rsidRDefault="0074081B" w:rsidP="0074081B">
            <w:pPr>
              <w:jc w:val="both"/>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 xml:space="preserve">   Hematocrit drop,</w:t>
            </w:r>
            <w:r>
              <w:rPr>
                <w:rFonts w:ascii="Times New Roman" w:eastAsia="Times New Roman" w:hAnsi="Times New Roman" w:cs="Times New Roman"/>
                <w:color w:val="000000" w:themeColor="text1"/>
                <w:sz w:val="20"/>
                <w:szCs w:val="20"/>
              </w:rPr>
              <w:t xml:space="preserve"> </w:t>
            </w:r>
            <w:r w:rsidRPr="007C03E6">
              <w:rPr>
                <w:rFonts w:ascii="Times New Roman" w:hAnsi="Times New Roman" w:cs="Times New Roman"/>
                <w:sz w:val="18"/>
                <w:szCs w:val="18"/>
              </w:rPr>
              <w:t>≥</w:t>
            </w:r>
            <w:r w:rsidRPr="007C03E6">
              <w:rPr>
                <w:rFonts w:ascii="Times New Roman" w:eastAsia="Times New Roman" w:hAnsi="Times New Roman" w:cs="Times New Roman"/>
                <w:color w:val="000000" w:themeColor="text1"/>
                <w:sz w:val="20"/>
                <w:szCs w:val="20"/>
              </w:rPr>
              <w:t>10%</w:t>
            </w:r>
            <w:r>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rPr>
              <w:t>n</w:t>
            </w:r>
            <w:r>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rPr>
              <w:t>%)</w:t>
            </w:r>
          </w:p>
        </w:tc>
        <w:tc>
          <w:tcPr>
            <w:tcW w:w="1115" w:type="dxa"/>
            <w:tcBorders>
              <w:top w:val="nil"/>
              <w:left w:val="nil"/>
              <w:bottom w:val="nil"/>
              <w:right w:val="nil"/>
            </w:tcBorders>
            <w:shd w:val="clear" w:color="auto" w:fill="auto"/>
            <w:vAlign w:val="center"/>
            <w:hideMark/>
          </w:tcPr>
          <w:p w14:paraId="4DAAC9DF"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38 (25.9)</w:t>
            </w:r>
          </w:p>
        </w:tc>
        <w:tc>
          <w:tcPr>
            <w:tcW w:w="1126" w:type="dxa"/>
            <w:tcBorders>
              <w:top w:val="nil"/>
              <w:left w:val="nil"/>
              <w:bottom w:val="nil"/>
              <w:right w:val="nil"/>
            </w:tcBorders>
            <w:shd w:val="clear" w:color="auto" w:fill="auto"/>
            <w:vAlign w:val="center"/>
            <w:hideMark/>
          </w:tcPr>
          <w:p w14:paraId="2C0F5132"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20 (16.7)</w:t>
            </w:r>
          </w:p>
        </w:tc>
        <w:tc>
          <w:tcPr>
            <w:tcW w:w="1767" w:type="dxa"/>
            <w:tcBorders>
              <w:top w:val="nil"/>
              <w:left w:val="nil"/>
              <w:bottom w:val="nil"/>
              <w:right w:val="nil"/>
            </w:tcBorders>
            <w:shd w:val="clear" w:color="auto" w:fill="auto"/>
            <w:hideMark/>
          </w:tcPr>
          <w:p w14:paraId="62AAB531" w14:textId="6CF69FFC" w:rsidR="0074081B" w:rsidRPr="007C03E6" w:rsidRDefault="0074081B" w:rsidP="00372B6B">
            <w:pPr>
              <w:jc w:val="center"/>
              <w:rPr>
                <w:rFonts w:ascii="Times New Roman" w:eastAsia="Times New Roman" w:hAnsi="Times New Roman" w:cs="Times New Roman"/>
                <w:color w:val="000000" w:themeColor="text1"/>
                <w:sz w:val="20"/>
                <w:szCs w:val="20"/>
                <w:vertAlign w:val="superscript"/>
              </w:rPr>
            </w:pPr>
            <w:r w:rsidRPr="007C03E6">
              <w:rPr>
                <w:rFonts w:ascii="Times New Roman" w:eastAsia="Times New Roman" w:hAnsi="Times New Roman" w:cs="Times New Roman"/>
                <w:color w:val="000000" w:themeColor="text1"/>
                <w:sz w:val="20"/>
                <w:szCs w:val="20"/>
              </w:rPr>
              <w:t>0.68 (0.15</w:t>
            </w:r>
            <w:r w:rsidR="00372B6B">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3.00)</w:t>
            </w:r>
            <w:r w:rsidRPr="007C03E6">
              <w:rPr>
                <w:rFonts w:ascii="Times New Roman" w:eastAsia="Times New Roman" w:hAnsi="Times New Roman" w:cs="Times New Roman"/>
                <w:color w:val="000000" w:themeColor="text1"/>
                <w:sz w:val="20"/>
                <w:szCs w:val="20"/>
                <w:vertAlign w:val="superscript"/>
              </w:rPr>
              <w:t>c</w:t>
            </w:r>
          </w:p>
        </w:tc>
        <w:tc>
          <w:tcPr>
            <w:tcW w:w="916" w:type="dxa"/>
            <w:tcBorders>
              <w:top w:val="nil"/>
              <w:left w:val="nil"/>
              <w:bottom w:val="nil"/>
              <w:right w:val="nil"/>
            </w:tcBorders>
            <w:shd w:val="clear" w:color="auto" w:fill="auto"/>
            <w:hideMark/>
          </w:tcPr>
          <w:p w14:paraId="49F60453" w14:textId="4BBF304F"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.609</w:t>
            </w:r>
          </w:p>
        </w:tc>
        <w:tc>
          <w:tcPr>
            <w:tcW w:w="1066" w:type="dxa"/>
            <w:tcBorders>
              <w:top w:val="nil"/>
              <w:left w:val="nil"/>
              <w:bottom w:val="nil"/>
              <w:right w:val="nil"/>
            </w:tcBorders>
            <w:shd w:val="clear" w:color="auto" w:fill="auto"/>
            <w:hideMark/>
          </w:tcPr>
          <w:p w14:paraId="7E10B0BA" w14:textId="722C5B76"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066" w:type="dxa"/>
            <w:tcBorders>
              <w:top w:val="nil"/>
              <w:left w:val="nil"/>
              <w:bottom w:val="nil"/>
              <w:right w:val="nil"/>
            </w:tcBorders>
            <w:shd w:val="clear" w:color="auto" w:fill="auto"/>
            <w:hideMark/>
          </w:tcPr>
          <w:p w14:paraId="6158C1D6" w14:textId="4D3AE003"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6" w:type="dxa"/>
            <w:tcBorders>
              <w:top w:val="nil"/>
              <w:left w:val="nil"/>
              <w:bottom w:val="nil"/>
              <w:right w:val="nil"/>
            </w:tcBorders>
            <w:shd w:val="clear" w:color="auto" w:fill="auto"/>
            <w:hideMark/>
          </w:tcPr>
          <w:p w14:paraId="251108BC" w14:textId="615DD234"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850" w:type="dxa"/>
            <w:tcBorders>
              <w:top w:val="nil"/>
              <w:left w:val="nil"/>
              <w:bottom w:val="nil"/>
              <w:right w:val="nil"/>
            </w:tcBorders>
            <w:shd w:val="clear" w:color="auto" w:fill="auto"/>
            <w:hideMark/>
          </w:tcPr>
          <w:p w14:paraId="1988CD8B" w14:textId="1F1ED32D"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9" w:type="dxa"/>
            <w:tcBorders>
              <w:top w:val="nil"/>
              <w:left w:val="nil"/>
              <w:bottom w:val="nil"/>
              <w:right w:val="nil"/>
            </w:tcBorders>
            <w:shd w:val="clear" w:color="auto" w:fill="auto"/>
            <w:hideMark/>
          </w:tcPr>
          <w:p w14:paraId="30421EA5" w14:textId="22AB4A4C"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917" w:type="dxa"/>
            <w:gridSpan w:val="2"/>
            <w:tcBorders>
              <w:top w:val="nil"/>
              <w:left w:val="nil"/>
              <w:bottom w:val="nil"/>
              <w:right w:val="nil"/>
            </w:tcBorders>
            <w:shd w:val="clear" w:color="auto" w:fill="auto"/>
            <w:hideMark/>
          </w:tcPr>
          <w:p w14:paraId="739E6EEA" w14:textId="3FA7A456"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r>
      <w:tr w:rsidR="0074081B" w:rsidRPr="007C03E6" w14:paraId="2FC5CCA2" w14:textId="77777777" w:rsidTr="002C2BA7">
        <w:trPr>
          <w:trHeight w:val="328"/>
          <w:jc w:val="center"/>
        </w:trPr>
        <w:tc>
          <w:tcPr>
            <w:tcW w:w="5130" w:type="dxa"/>
            <w:tcBorders>
              <w:top w:val="nil"/>
              <w:left w:val="nil"/>
              <w:bottom w:val="single" w:sz="8" w:space="0" w:color="auto"/>
              <w:right w:val="nil"/>
            </w:tcBorders>
            <w:shd w:val="clear" w:color="auto" w:fill="auto"/>
            <w:vAlign w:val="center"/>
            <w:hideMark/>
          </w:tcPr>
          <w:p w14:paraId="6B80D8D5" w14:textId="577A2340" w:rsidR="0074081B" w:rsidRPr="007C03E6" w:rsidRDefault="0074081B" w:rsidP="0074081B">
            <w:pPr>
              <w:jc w:val="both"/>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 xml:space="preserve">   Difference between vBL or tBL and cBL (mL)</w:t>
            </w:r>
            <w:r>
              <w:rPr>
                <w:rFonts w:ascii="Times New Roman" w:eastAsia="Times New Roman" w:hAnsi="Times New Roman" w:cs="Times New Roman"/>
                <w:color w:val="000000" w:themeColor="text1"/>
                <w:sz w:val="20"/>
                <w:szCs w:val="20"/>
              </w:rPr>
              <w:t xml:space="preserve">, </w:t>
            </w:r>
            <w:r w:rsidRPr="007C03E6">
              <w:rPr>
                <w:rFonts w:ascii="Times New Roman" w:eastAsia="Times New Roman" w:hAnsi="Times New Roman" w:cs="Times New Roman"/>
                <w:color w:val="000000" w:themeColor="text1"/>
                <w:sz w:val="20"/>
                <w:szCs w:val="20"/>
              </w:rPr>
              <w:t>mean (SD)</w:t>
            </w:r>
          </w:p>
        </w:tc>
        <w:tc>
          <w:tcPr>
            <w:tcW w:w="1115" w:type="dxa"/>
            <w:tcBorders>
              <w:top w:val="nil"/>
              <w:left w:val="nil"/>
              <w:bottom w:val="single" w:sz="8" w:space="0" w:color="auto"/>
              <w:right w:val="nil"/>
            </w:tcBorders>
            <w:shd w:val="clear" w:color="auto" w:fill="auto"/>
            <w:vAlign w:val="center"/>
            <w:hideMark/>
          </w:tcPr>
          <w:p w14:paraId="490B4EFA"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-568 (548)</w:t>
            </w:r>
          </w:p>
        </w:tc>
        <w:tc>
          <w:tcPr>
            <w:tcW w:w="1126" w:type="dxa"/>
            <w:tcBorders>
              <w:top w:val="nil"/>
              <w:left w:val="nil"/>
              <w:bottom w:val="single" w:sz="8" w:space="0" w:color="auto"/>
              <w:right w:val="nil"/>
            </w:tcBorders>
            <w:shd w:val="clear" w:color="auto" w:fill="auto"/>
            <w:vAlign w:val="center"/>
            <w:hideMark/>
          </w:tcPr>
          <w:p w14:paraId="51E1A05D" w14:textId="77777777"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-186 (483)</w:t>
            </w:r>
          </w:p>
        </w:tc>
        <w:tc>
          <w:tcPr>
            <w:tcW w:w="1767" w:type="dxa"/>
            <w:tcBorders>
              <w:top w:val="nil"/>
              <w:left w:val="nil"/>
              <w:bottom w:val="single" w:sz="8" w:space="0" w:color="auto"/>
              <w:right w:val="nil"/>
            </w:tcBorders>
            <w:shd w:val="clear" w:color="auto" w:fill="auto"/>
            <w:hideMark/>
          </w:tcPr>
          <w:p w14:paraId="57D1FDEE" w14:textId="451ADCEC" w:rsidR="0074081B" w:rsidRPr="007C03E6" w:rsidRDefault="0074081B" w:rsidP="00372B6B">
            <w:pPr>
              <w:jc w:val="center"/>
              <w:rPr>
                <w:rFonts w:ascii="Times New Roman" w:eastAsia="Times New Roman" w:hAnsi="Times New Roman" w:cs="Times New Roman"/>
                <w:color w:val="000000" w:themeColor="text1"/>
                <w:sz w:val="20"/>
                <w:szCs w:val="20"/>
                <w:vertAlign w:val="superscript"/>
              </w:rPr>
            </w:pPr>
            <w:r w:rsidRPr="007C03E6">
              <w:rPr>
                <w:rFonts w:ascii="Times New Roman" w:eastAsia="Times New Roman" w:hAnsi="Times New Roman" w:cs="Times New Roman"/>
                <w:color w:val="000000" w:themeColor="text1"/>
                <w:sz w:val="20"/>
                <w:szCs w:val="20"/>
              </w:rPr>
              <w:t>322 (6</w:t>
            </w:r>
            <w:r w:rsidR="00372B6B">
              <w:rPr>
                <w:rFonts w:ascii="Times New Roman" w:eastAsia="Times New Roman" w:hAnsi="Times New Roman" w:cs="Times New Roman"/>
                <w:color w:val="000000" w:themeColor="text1"/>
                <w:sz w:val="20"/>
                <w:szCs w:val="20"/>
              </w:rPr>
              <w:t>-</w:t>
            </w:r>
            <w:r w:rsidRPr="007C03E6">
              <w:rPr>
                <w:rFonts w:ascii="Times New Roman" w:eastAsia="Times New Roman" w:hAnsi="Times New Roman" w:cs="Times New Roman"/>
                <w:color w:val="000000" w:themeColor="text1"/>
                <w:sz w:val="20"/>
                <w:szCs w:val="20"/>
              </w:rPr>
              <w:t>638)</w:t>
            </w:r>
            <w:r w:rsidRPr="007C03E6">
              <w:rPr>
                <w:rFonts w:ascii="Times New Roman" w:eastAsia="Times New Roman" w:hAnsi="Times New Roman" w:cs="Times New Roman"/>
                <w:color w:val="000000" w:themeColor="text1"/>
                <w:sz w:val="20"/>
                <w:szCs w:val="20"/>
                <w:vertAlign w:val="superscript"/>
              </w:rPr>
              <w:t>d</w:t>
            </w:r>
          </w:p>
        </w:tc>
        <w:tc>
          <w:tcPr>
            <w:tcW w:w="916" w:type="dxa"/>
            <w:tcBorders>
              <w:top w:val="nil"/>
              <w:left w:val="nil"/>
              <w:bottom w:val="single" w:sz="8" w:space="0" w:color="auto"/>
              <w:right w:val="nil"/>
            </w:tcBorders>
            <w:shd w:val="clear" w:color="auto" w:fill="auto"/>
            <w:hideMark/>
          </w:tcPr>
          <w:p w14:paraId="2E076DC0" w14:textId="00AD26E9" w:rsidR="0074081B" w:rsidRPr="007C03E6" w:rsidRDefault="0074081B" w:rsidP="00372B6B">
            <w:pPr>
              <w:jc w:val="center"/>
              <w:rPr>
                <w:rFonts w:ascii="Times New Roman" w:eastAsia="Times New Roman" w:hAnsi="Times New Roman" w:cs="Times New Roman"/>
                <w:color w:val="000000" w:themeColor="text1"/>
                <w:sz w:val="20"/>
                <w:szCs w:val="20"/>
              </w:rPr>
            </w:pPr>
            <w:r w:rsidRPr="007C03E6">
              <w:rPr>
                <w:rFonts w:ascii="Times New Roman" w:eastAsia="Times New Roman" w:hAnsi="Times New Roman" w:cs="Times New Roman"/>
                <w:color w:val="000000" w:themeColor="text1"/>
                <w:sz w:val="20"/>
                <w:szCs w:val="20"/>
              </w:rPr>
              <w:t>.046</w:t>
            </w:r>
          </w:p>
        </w:tc>
        <w:tc>
          <w:tcPr>
            <w:tcW w:w="1066" w:type="dxa"/>
            <w:tcBorders>
              <w:top w:val="nil"/>
              <w:left w:val="nil"/>
              <w:bottom w:val="single" w:sz="8" w:space="0" w:color="auto"/>
              <w:right w:val="nil"/>
            </w:tcBorders>
            <w:shd w:val="clear" w:color="auto" w:fill="auto"/>
            <w:hideMark/>
          </w:tcPr>
          <w:p w14:paraId="6E0A33DE" w14:textId="4AD5BA02"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066" w:type="dxa"/>
            <w:tcBorders>
              <w:top w:val="nil"/>
              <w:left w:val="nil"/>
              <w:bottom w:val="single" w:sz="8" w:space="0" w:color="auto"/>
              <w:right w:val="nil"/>
            </w:tcBorders>
            <w:shd w:val="clear" w:color="auto" w:fill="auto"/>
            <w:hideMark/>
          </w:tcPr>
          <w:p w14:paraId="1874B2AD" w14:textId="20D33B86"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6" w:type="dxa"/>
            <w:tcBorders>
              <w:top w:val="nil"/>
              <w:left w:val="nil"/>
              <w:bottom w:val="single" w:sz="8" w:space="0" w:color="auto"/>
              <w:right w:val="nil"/>
            </w:tcBorders>
            <w:shd w:val="clear" w:color="auto" w:fill="auto"/>
            <w:hideMark/>
          </w:tcPr>
          <w:p w14:paraId="4FF76765" w14:textId="6AF2DCB8"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850" w:type="dxa"/>
            <w:tcBorders>
              <w:top w:val="nil"/>
              <w:left w:val="nil"/>
              <w:bottom w:val="single" w:sz="8" w:space="0" w:color="auto"/>
              <w:right w:val="nil"/>
            </w:tcBorders>
            <w:shd w:val="clear" w:color="auto" w:fill="auto"/>
            <w:hideMark/>
          </w:tcPr>
          <w:p w14:paraId="614671A5" w14:textId="738416BC"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1709" w:type="dxa"/>
            <w:tcBorders>
              <w:top w:val="nil"/>
              <w:left w:val="nil"/>
              <w:bottom w:val="single" w:sz="8" w:space="0" w:color="auto"/>
              <w:right w:val="nil"/>
            </w:tcBorders>
            <w:shd w:val="clear" w:color="auto" w:fill="auto"/>
            <w:hideMark/>
          </w:tcPr>
          <w:p w14:paraId="6682AC9E" w14:textId="6E926209"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c>
          <w:tcPr>
            <w:tcW w:w="917" w:type="dxa"/>
            <w:gridSpan w:val="2"/>
            <w:tcBorders>
              <w:top w:val="nil"/>
              <w:left w:val="nil"/>
              <w:bottom w:val="single" w:sz="8" w:space="0" w:color="auto"/>
              <w:right w:val="nil"/>
            </w:tcBorders>
            <w:shd w:val="clear" w:color="auto" w:fill="auto"/>
            <w:hideMark/>
          </w:tcPr>
          <w:p w14:paraId="3E2515E5" w14:textId="5EB894FB" w:rsidR="0074081B" w:rsidRPr="007C03E6" w:rsidRDefault="0074081B" w:rsidP="00372B6B">
            <w:pPr>
              <w:jc w:val="center"/>
              <w:rPr>
                <w:rFonts w:ascii="Times New Roman" w:eastAsia="Times New Roman" w:hAnsi="Times New Roman" w:cs="Times New Roman"/>
                <w:color w:val="000000" w:themeColor="text1"/>
                <w:sz w:val="20"/>
                <w:szCs w:val="20"/>
              </w:rPr>
            </w:pPr>
            <w:r w:rsidRPr="00741709">
              <w:rPr>
                <w:rFonts w:ascii="Times New Roman" w:eastAsia="Times New Roman" w:hAnsi="Times New Roman" w:cs="Times New Roman"/>
                <w:color w:val="000000" w:themeColor="text1"/>
                <w:sz w:val="20"/>
                <w:szCs w:val="20"/>
              </w:rPr>
              <w:t>…</w:t>
            </w:r>
          </w:p>
        </w:tc>
      </w:tr>
      <w:tr w:rsidR="00AA5349" w:rsidRPr="007C03E6" w14:paraId="33EEF648" w14:textId="77777777" w:rsidTr="00E66DEE">
        <w:trPr>
          <w:trHeight w:val="722"/>
          <w:jc w:val="center"/>
        </w:trPr>
        <w:tc>
          <w:tcPr>
            <w:tcW w:w="17368" w:type="dxa"/>
            <w:gridSpan w:val="12"/>
            <w:tcBorders>
              <w:top w:val="nil"/>
              <w:left w:val="nil"/>
              <w:bottom w:val="nil"/>
              <w:right w:val="nil"/>
            </w:tcBorders>
            <w:shd w:val="clear" w:color="auto" w:fill="auto"/>
            <w:vAlign w:val="center"/>
            <w:hideMark/>
          </w:tcPr>
          <w:p w14:paraId="52481F8B" w14:textId="4F6D86F5" w:rsidR="00CE31BB" w:rsidRPr="00372B6B" w:rsidRDefault="008E2CC7" w:rsidP="00773020">
            <w:pPr>
              <w:pStyle w:val="NormalWeb"/>
              <w:spacing w:before="0" w:beforeAutospacing="0" w:after="0" w:afterAutospacing="0"/>
              <w:rPr>
                <w:sz w:val="18"/>
                <w:szCs w:val="18"/>
              </w:rPr>
            </w:pPr>
            <w:r w:rsidRPr="00372B6B">
              <w:rPr>
                <w:sz w:val="18"/>
                <w:szCs w:val="18"/>
              </w:rPr>
              <w:t>PPH management interventions: transfusion, vasopressor administration, and/or surgical procedures.</w:t>
            </w:r>
            <w:r w:rsidRPr="00372B6B">
              <w:rPr>
                <w:sz w:val="18"/>
                <w:szCs w:val="18"/>
              </w:rPr>
              <w:br/>
              <w:t>Abbreviations: cBL, calculated blood loss; CD, cesarean deliveries (the control series); CI, confidence interval; IPTW-ATT, inverse probability of treatment weights to estimate the average treatment effect on the treated; PPH, postpartum hemorrhage defined as blood loss ≥500 mL for vaginal deliveries and ≥1000 mL for cesarean deliveries; SD, standard deviation; SE, standard error; tBL, gravimetric and volumetric estimation of blood loss; vBL, visual estimation of blood loss; VD, vaginal deliveries (the treatment series).</w:t>
            </w:r>
          </w:p>
        </w:tc>
      </w:tr>
      <w:tr w:rsidR="00AA5349" w:rsidRPr="007C03E6" w14:paraId="2FEDD42F" w14:textId="77777777" w:rsidTr="00E66DEE">
        <w:trPr>
          <w:trHeight w:val="344"/>
          <w:jc w:val="center"/>
        </w:trPr>
        <w:tc>
          <w:tcPr>
            <w:tcW w:w="17368" w:type="dxa"/>
            <w:gridSpan w:val="12"/>
            <w:tcBorders>
              <w:top w:val="nil"/>
              <w:left w:val="nil"/>
              <w:bottom w:val="nil"/>
              <w:right w:val="nil"/>
            </w:tcBorders>
            <w:shd w:val="clear" w:color="auto" w:fill="auto"/>
            <w:vAlign w:val="center"/>
            <w:hideMark/>
          </w:tcPr>
          <w:p w14:paraId="3B7C80A1" w14:textId="621F7FEE" w:rsidR="00AF3E5E" w:rsidRPr="00372B6B" w:rsidRDefault="00AF3E5E" w:rsidP="00773020">
            <w:pPr>
              <w:jc w:val="both"/>
              <w:rPr>
                <w:rFonts w:ascii="Times New Roman" w:eastAsia="Times New Roman" w:hAnsi="Times New Roman" w:cs="Times New Roman"/>
                <w:iCs/>
                <w:color w:val="000000" w:themeColor="text1"/>
                <w:sz w:val="18"/>
                <w:szCs w:val="18"/>
              </w:rPr>
            </w:pPr>
            <w:r w:rsidRPr="00372B6B">
              <w:rPr>
                <w:rFonts w:ascii="Times New Roman" w:eastAsia="Times New Roman" w:hAnsi="Times New Roman" w:cs="Times New Roman"/>
                <w:iCs/>
                <w:color w:val="000000" w:themeColor="text1"/>
                <w:sz w:val="18"/>
                <w:szCs w:val="18"/>
              </w:rPr>
              <w:t>Sensitivity analysis 1</w:t>
            </w:r>
            <w:r w:rsidR="00CE31BB" w:rsidRPr="00372B6B">
              <w:rPr>
                <w:rFonts w:ascii="Times New Roman" w:eastAsia="Times New Roman" w:hAnsi="Times New Roman" w:cs="Times New Roman"/>
                <w:iCs/>
                <w:color w:val="000000" w:themeColor="text1"/>
                <w:sz w:val="18"/>
                <w:szCs w:val="18"/>
              </w:rPr>
              <w:t xml:space="preserve"> includes vaginal deliveries </w:t>
            </w:r>
            <w:r w:rsidR="00773020" w:rsidRPr="00372B6B">
              <w:rPr>
                <w:rFonts w:ascii="Times New Roman" w:eastAsia="Times New Roman" w:hAnsi="Times New Roman" w:cs="Times New Roman"/>
                <w:iCs/>
                <w:color w:val="000000" w:themeColor="text1"/>
                <w:sz w:val="18"/>
                <w:szCs w:val="18"/>
              </w:rPr>
              <w:t>after</w:t>
            </w:r>
            <w:r w:rsidR="00CE31BB" w:rsidRPr="00372B6B">
              <w:rPr>
                <w:rFonts w:ascii="Times New Roman" w:eastAsia="Times New Roman" w:hAnsi="Times New Roman" w:cs="Times New Roman"/>
                <w:iCs/>
                <w:color w:val="000000" w:themeColor="text1"/>
                <w:sz w:val="18"/>
                <w:szCs w:val="18"/>
              </w:rPr>
              <w:t xml:space="preserve"> device implementation with no evidence of quantitative blood loss device use. </w:t>
            </w:r>
          </w:p>
          <w:p w14:paraId="22F45762" w14:textId="1781F719" w:rsidR="00AF3E5E" w:rsidRPr="00372B6B" w:rsidRDefault="00AF3E5E" w:rsidP="00773020">
            <w:pPr>
              <w:jc w:val="both"/>
              <w:rPr>
                <w:rFonts w:ascii="Times New Roman" w:eastAsia="Times New Roman" w:hAnsi="Times New Roman" w:cs="Times New Roman"/>
                <w:iCs/>
                <w:color w:val="000000" w:themeColor="text1"/>
                <w:sz w:val="18"/>
                <w:szCs w:val="18"/>
              </w:rPr>
            </w:pPr>
            <w:r w:rsidRPr="00372B6B">
              <w:rPr>
                <w:rFonts w:ascii="Times New Roman" w:eastAsia="Times New Roman" w:hAnsi="Times New Roman" w:cs="Times New Roman"/>
                <w:iCs/>
                <w:color w:val="000000" w:themeColor="text1"/>
                <w:sz w:val="18"/>
                <w:szCs w:val="18"/>
              </w:rPr>
              <w:t>Sensitivity analysis 2</w:t>
            </w:r>
            <w:r w:rsidR="00CE31BB" w:rsidRPr="00372B6B">
              <w:rPr>
                <w:rFonts w:ascii="Times New Roman" w:eastAsia="Times New Roman" w:hAnsi="Times New Roman" w:cs="Times New Roman"/>
                <w:iCs/>
                <w:color w:val="000000" w:themeColor="text1"/>
                <w:sz w:val="18"/>
                <w:szCs w:val="18"/>
              </w:rPr>
              <w:t xml:space="preserve"> excludes </w:t>
            </w:r>
            <w:r w:rsidR="00205968" w:rsidRPr="00372B6B">
              <w:rPr>
                <w:rFonts w:ascii="Times New Roman" w:eastAsia="Times New Roman" w:hAnsi="Times New Roman" w:cs="Times New Roman"/>
                <w:iCs/>
                <w:color w:val="000000" w:themeColor="text1"/>
                <w:sz w:val="18"/>
                <w:szCs w:val="18"/>
              </w:rPr>
              <w:t>vaginal deliveries</w:t>
            </w:r>
            <w:r w:rsidR="00CE31BB" w:rsidRPr="00372B6B">
              <w:rPr>
                <w:rFonts w:ascii="Times New Roman" w:eastAsia="Times New Roman" w:hAnsi="Times New Roman" w:cs="Times New Roman"/>
                <w:iCs/>
                <w:color w:val="000000" w:themeColor="text1"/>
                <w:sz w:val="18"/>
                <w:szCs w:val="18"/>
              </w:rPr>
              <w:t xml:space="preserve"> </w:t>
            </w:r>
            <w:r w:rsidR="00773020" w:rsidRPr="00372B6B">
              <w:rPr>
                <w:rFonts w:ascii="Times New Roman" w:eastAsia="Times New Roman" w:hAnsi="Times New Roman" w:cs="Times New Roman"/>
                <w:iCs/>
                <w:color w:val="000000" w:themeColor="text1"/>
                <w:sz w:val="18"/>
                <w:szCs w:val="18"/>
              </w:rPr>
              <w:t xml:space="preserve">from the primary analysis </w:t>
            </w:r>
            <w:r w:rsidR="00CE31BB" w:rsidRPr="00372B6B">
              <w:rPr>
                <w:rFonts w:ascii="Times New Roman" w:eastAsia="Times New Roman" w:hAnsi="Times New Roman" w:cs="Times New Roman"/>
                <w:iCs/>
                <w:color w:val="000000" w:themeColor="text1"/>
                <w:sz w:val="18"/>
                <w:szCs w:val="18"/>
              </w:rPr>
              <w:t>who received a blood transfusion.</w:t>
            </w:r>
          </w:p>
          <w:p w14:paraId="28714191" w14:textId="040AB194" w:rsidR="00773020" w:rsidRPr="00372B6B" w:rsidRDefault="00773020" w:rsidP="00773020">
            <w:pPr>
              <w:pStyle w:val="NormalWeb"/>
              <w:spacing w:before="0" w:beforeAutospacing="0" w:after="0" w:afterAutospacing="0"/>
              <w:rPr>
                <w:iCs/>
                <w:sz w:val="18"/>
                <w:szCs w:val="18"/>
              </w:rPr>
            </w:pPr>
            <w:r w:rsidRPr="00372B6B">
              <w:rPr>
                <w:iCs/>
                <w:position w:val="4"/>
                <w:sz w:val="18"/>
                <w:szCs w:val="18"/>
                <w:vertAlign w:val="superscript"/>
              </w:rPr>
              <w:t>a</w:t>
            </w:r>
            <w:r w:rsidRPr="00372B6B">
              <w:rPr>
                <w:iCs/>
                <w:sz w:val="18"/>
                <w:szCs w:val="18"/>
              </w:rPr>
              <w:t>Weighted odds ratios and 95% CIs obtained using the combination of β</w:t>
            </w:r>
            <w:r w:rsidRPr="00372B6B">
              <w:rPr>
                <w:iCs/>
                <w:position w:val="-2"/>
                <w:sz w:val="18"/>
                <w:szCs w:val="18"/>
                <w:vertAlign w:val="subscript"/>
              </w:rPr>
              <w:t>2</w:t>
            </w:r>
            <w:r w:rsidRPr="00372B6B">
              <w:rPr>
                <w:iCs/>
                <w:position w:val="-2"/>
                <w:sz w:val="18"/>
                <w:szCs w:val="18"/>
              </w:rPr>
              <w:t xml:space="preserve"> </w:t>
            </w:r>
            <w:r w:rsidRPr="00372B6B">
              <w:rPr>
                <w:iCs/>
                <w:sz w:val="18"/>
                <w:szCs w:val="18"/>
              </w:rPr>
              <w:t>and β</w:t>
            </w:r>
            <w:r w:rsidRPr="00372B6B">
              <w:rPr>
                <w:iCs/>
                <w:position w:val="-2"/>
                <w:sz w:val="18"/>
                <w:szCs w:val="18"/>
                <w:vertAlign w:val="subscript"/>
              </w:rPr>
              <w:t>6</w:t>
            </w:r>
            <w:r w:rsidRPr="00372B6B">
              <w:rPr>
                <w:iCs/>
                <w:position w:val="-2"/>
                <w:sz w:val="18"/>
                <w:szCs w:val="18"/>
              </w:rPr>
              <w:t xml:space="preserve"> </w:t>
            </w:r>
            <w:r w:rsidRPr="00372B6B">
              <w:rPr>
                <w:iCs/>
                <w:sz w:val="18"/>
                <w:szCs w:val="18"/>
              </w:rPr>
              <w:t>for VD, β</w:t>
            </w:r>
            <w:r w:rsidRPr="00372B6B">
              <w:rPr>
                <w:iCs/>
                <w:position w:val="-2"/>
                <w:sz w:val="18"/>
                <w:szCs w:val="18"/>
                <w:vertAlign w:val="subscript"/>
              </w:rPr>
              <w:t>2</w:t>
            </w:r>
            <w:r w:rsidRPr="00372B6B">
              <w:rPr>
                <w:iCs/>
                <w:position w:val="-2"/>
                <w:sz w:val="18"/>
                <w:szCs w:val="18"/>
              </w:rPr>
              <w:t xml:space="preserve"> </w:t>
            </w:r>
            <w:r w:rsidRPr="00372B6B">
              <w:rPr>
                <w:iCs/>
                <w:sz w:val="18"/>
                <w:szCs w:val="18"/>
              </w:rPr>
              <w:t>for CD, and β</w:t>
            </w:r>
            <w:r w:rsidRPr="00372B6B">
              <w:rPr>
                <w:iCs/>
                <w:position w:val="-2"/>
                <w:sz w:val="18"/>
                <w:szCs w:val="18"/>
                <w:vertAlign w:val="subscript"/>
              </w:rPr>
              <w:t>6</w:t>
            </w:r>
            <w:r w:rsidRPr="00372B6B">
              <w:rPr>
                <w:iCs/>
                <w:position w:val="-2"/>
                <w:sz w:val="18"/>
                <w:szCs w:val="18"/>
              </w:rPr>
              <w:t xml:space="preserve"> </w:t>
            </w:r>
            <w:r w:rsidRPr="00372B6B">
              <w:rPr>
                <w:iCs/>
                <w:sz w:val="18"/>
                <w:szCs w:val="18"/>
              </w:rPr>
              <w:t xml:space="preserve">for VD versus CD from corresponding IPTW-ATT-weighted segmented logistic regression models. </w:t>
            </w:r>
          </w:p>
          <w:p w14:paraId="1BED3231" w14:textId="4E6E8444" w:rsidR="00773020" w:rsidRPr="00372B6B" w:rsidRDefault="00773020" w:rsidP="00773020">
            <w:pPr>
              <w:pStyle w:val="NormalWeb"/>
              <w:spacing w:before="0" w:beforeAutospacing="0" w:after="0" w:afterAutospacing="0"/>
              <w:rPr>
                <w:iCs/>
                <w:sz w:val="18"/>
                <w:szCs w:val="18"/>
              </w:rPr>
            </w:pPr>
            <w:r w:rsidRPr="00372B6B">
              <w:rPr>
                <w:iCs/>
                <w:position w:val="4"/>
                <w:sz w:val="18"/>
                <w:szCs w:val="18"/>
                <w:vertAlign w:val="superscript"/>
              </w:rPr>
              <w:t>b</w:t>
            </w:r>
            <w:r w:rsidRPr="00372B6B">
              <w:rPr>
                <w:iCs/>
                <w:sz w:val="18"/>
                <w:szCs w:val="18"/>
              </w:rPr>
              <w:t>Weighted ratios of geometric means and 95% CIs obtained using the combination of β</w:t>
            </w:r>
            <w:r w:rsidRPr="00372B6B">
              <w:rPr>
                <w:iCs/>
                <w:position w:val="-2"/>
                <w:sz w:val="18"/>
                <w:szCs w:val="18"/>
                <w:vertAlign w:val="subscript"/>
              </w:rPr>
              <w:t>2</w:t>
            </w:r>
            <w:r w:rsidRPr="00372B6B">
              <w:rPr>
                <w:iCs/>
                <w:position w:val="-2"/>
                <w:sz w:val="18"/>
                <w:szCs w:val="18"/>
              </w:rPr>
              <w:t xml:space="preserve"> </w:t>
            </w:r>
            <w:r w:rsidRPr="00372B6B">
              <w:rPr>
                <w:iCs/>
                <w:sz w:val="18"/>
                <w:szCs w:val="18"/>
              </w:rPr>
              <w:t>and β</w:t>
            </w:r>
            <w:r w:rsidRPr="00372B6B">
              <w:rPr>
                <w:iCs/>
                <w:position w:val="-2"/>
                <w:sz w:val="18"/>
                <w:szCs w:val="18"/>
                <w:vertAlign w:val="subscript"/>
              </w:rPr>
              <w:t>6</w:t>
            </w:r>
            <w:r w:rsidRPr="00372B6B">
              <w:rPr>
                <w:iCs/>
                <w:position w:val="-2"/>
                <w:sz w:val="18"/>
                <w:szCs w:val="18"/>
              </w:rPr>
              <w:t xml:space="preserve"> </w:t>
            </w:r>
            <w:r w:rsidRPr="00372B6B">
              <w:rPr>
                <w:iCs/>
                <w:sz w:val="18"/>
                <w:szCs w:val="18"/>
              </w:rPr>
              <w:t>for VD, β</w:t>
            </w:r>
            <w:r w:rsidRPr="00372B6B">
              <w:rPr>
                <w:iCs/>
                <w:position w:val="-2"/>
                <w:sz w:val="18"/>
                <w:szCs w:val="18"/>
                <w:vertAlign w:val="subscript"/>
              </w:rPr>
              <w:t>2</w:t>
            </w:r>
            <w:r w:rsidRPr="00372B6B">
              <w:rPr>
                <w:iCs/>
                <w:position w:val="-2"/>
                <w:sz w:val="18"/>
                <w:szCs w:val="18"/>
              </w:rPr>
              <w:t xml:space="preserve"> </w:t>
            </w:r>
            <w:r w:rsidRPr="00372B6B">
              <w:rPr>
                <w:iCs/>
                <w:sz w:val="18"/>
                <w:szCs w:val="18"/>
              </w:rPr>
              <w:t>for CD, and β</w:t>
            </w:r>
            <w:r w:rsidRPr="00372B6B">
              <w:rPr>
                <w:iCs/>
                <w:sz w:val="18"/>
                <w:szCs w:val="18"/>
                <w:vertAlign w:val="subscript"/>
              </w:rPr>
              <w:t>6</w:t>
            </w:r>
            <w:r w:rsidRPr="00372B6B">
              <w:rPr>
                <w:iCs/>
                <w:sz w:val="18"/>
                <w:szCs w:val="18"/>
              </w:rPr>
              <w:t xml:space="preserve"> for VD versus CD from corresponding IPTW-ATT–weighted segmented linear regression models.</w:t>
            </w:r>
            <w:r w:rsidRPr="00372B6B">
              <w:rPr>
                <w:iCs/>
                <w:sz w:val="18"/>
                <w:szCs w:val="18"/>
              </w:rPr>
              <w:br/>
            </w:r>
            <w:r w:rsidRPr="00372B6B">
              <w:rPr>
                <w:iCs/>
                <w:position w:val="4"/>
                <w:sz w:val="18"/>
                <w:szCs w:val="18"/>
                <w:vertAlign w:val="superscript"/>
              </w:rPr>
              <w:t>c</w:t>
            </w:r>
            <w:r w:rsidRPr="00372B6B">
              <w:rPr>
                <w:iCs/>
                <w:sz w:val="18"/>
                <w:szCs w:val="18"/>
              </w:rPr>
              <w:t>Weighted odds ratios and 95% CIs obtained using β</w:t>
            </w:r>
            <w:r w:rsidRPr="00372B6B">
              <w:rPr>
                <w:iCs/>
                <w:position w:val="-2"/>
                <w:sz w:val="18"/>
                <w:szCs w:val="18"/>
                <w:vertAlign w:val="subscript"/>
              </w:rPr>
              <w:t>2</w:t>
            </w:r>
            <w:r w:rsidRPr="00372B6B">
              <w:rPr>
                <w:iCs/>
                <w:position w:val="-2"/>
                <w:sz w:val="18"/>
                <w:szCs w:val="18"/>
              </w:rPr>
              <w:t xml:space="preserve"> </w:t>
            </w:r>
            <w:r w:rsidRPr="00372B6B">
              <w:rPr>
                <w:iCs/>
                <w:sz w:val="18"/>
                <w:szCs w:val="18"/>
              </w:rPr>
              <w:t>from corresponding IPTW-ATT–weighted segmented logistic regression models.</w:t>
            </w:r>
            <w:r w:rsidRPr="00372B6B">
              <w:rPr>
                <w:iCs/>
                <w:sz w:val="18"/>
                <w:szCs w:val="18"/>
              </w:rPr>
              <w:br/>
            </w:r>
            <w:r w:rsidRPr="00372B6B">
              <w:rPr>
                <w:iCs/>
                <w:position w:val="4"/>
                <w:sz w:val="18"/>
                <w:szCs w:val="18"/>
                <w:vertAlign w:val="superscript"/>
              </w:rPr>
              <w:t>d</w:t>
            </w:r>
            <w:r w:rsidRPr="00372B6B">
              <w:rPr>
                <w:iCs/>
                <w:sz w:val="18"/>
                <w:szCs w:val="18"/>
              </w:rPr>
              <w:t>Weighted differences in means and 95% CIs obtained using β</w:t>
            </w:r>
            <w:r w:rsidRPr="00372B6B">
              <w:rPr>
                <w:iCs/>
                <w:position w:val="-2"/>
                <w:sz w:val="18"/>
                <w:szCs w:val="18"/>
                <w:vertAlign w:val="subscript"/>
              </w:rPr>
              <w:t>2</w:t>
            </w:r>
            <w:r w:rsidRPr="00372B6B">
              <w:rPr>
                <w:iCs/>
                <w:position w:val="-2"/>
                <w:sz w:val="18"/>
                <w:szCs w:val="18"/>
              </w:rPr>
              <w:t xml:space="preserve"> </w:t>
            </w:r>
            <w:r w:rsidRPr="00372B6B">
              <w:rPr>
                <w:iCs/>
                <w:sz w:val="18"/>
                <w:szCs w:val="18"/>
              </w:rPr>
              <w:t xml:space="preserve">from corresponding IPTW-ATT–weighted segmented linear regression models. </w:t>
            </w:r>
          </w:p>
          <w:p w14:paraId="716AF960" w14:textId="7C0AEAB3" w:rsidR="00670AAF" w:rsidRPr="00372B6B" w:rsidRDefault="00670AAF" w:rsidP="00773020">
            <w:pPr>
              <w:jc w:val="both"/>
              <w:rPr>
                <w:rFonts w:ascii="Times New Roman" w:eastAsia="Times New Roman" w:hAnsi="Times New Roman" w:cs="Times New Roman"/>
                <w:iCs/>
                <w:color w:val="000000" w:themeColor="text1"/>
                <w:sz w:val="18"/>
                <w:szCs w:val="18"/>
              </w:rPr>
            </w:pPr>
          </w:p>
        </w:tc>
      </w:tr>
    </w:tbl>
    <w:p w14:paraId="6F43CEA9" w14:textId="77777777" w:rsidR="005314D2" w:rsidRPr="004C5EF8" w:rsidRDefault="005314D2" w:rsidP="00A3795B">
      <w:pPr>
        <w:jc w:val="both"/>
        <w:rPr>
          <w:rFonts w:ascii="Times New Roman" w:hAnsi="Times New Roman" w:cs="Times New Roman"/>
          <w:color w:val="000000" w:themeColor="text1"/>
        </w:rPr>
      </w:pPr>
    </w:p>
    <w:sectPr w:rsidR="005314D2" w:rsidRPr="004C5EF8" w:rsidSect="00C3433D">
      <w:pgSz w:w="2016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HGGothicE">
    <w:panose1 w:val="020B0909000000000000"/>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5B"/>
    <w:rsid w:val="00003DDA"/>
    <w:rsid w:val="0003474B"/>
    <w:rsid w:val="00052474"/>
    <w:rsid w:val="000B44F5"/>
    <w:rsid w:val="000C2ACD"/>
    <w:rsid w:val="000F56C1"/>
    <w:rsid w:val="000F7165"/>
    <w:rsid w:val="00113DF5"/>
    <w:rsid w:val="00124C1C"/>
    <w:rsid w:val="00127E58"/>
    <w:rsid w:val="001349A0"/>
    <w:rsid w:val="001579F0"/>
    <w:rsid w:val="001622B3"/>
    <w:rsid w:val="001627E7"/>
    <w:rsid w:val="001668F0"/>
    <w:rsid w:val="00201DF2"/>
    <w:rsid w:val="00204528"/>
    <w:rsid w:val="00205968"/>
    <w:rsid w:val="00265104"/>
    <w:rsid w:val="002759AE"/>
    <w:rsid w:val="00290201"/>
    <w:rsid w:val="00297158"/>
    <w:rsid w:val="002B28B9"/>
    <w:rsid w:val="002C0806"/>
    <w:rsid w:val="002C2BA7"/>
    <w:rsid w:val="002D7950"/>
    <w:rsid w:val="00304B83"/>
    <w:rsid w:val="0037270A"/>
    <w:rsid w:val="00372B6B"/>
    <w:rsid w:val="003A0999"/>
    <w:rsid w:val="003F711E"/>
    <w:rsid w:val="00425660"/>
    <w:rsid w:val="00430F3F"/>
    <w:rsid w:val="004C5EF8"/>
    <w:rsid w:val="004E62E7"/>
    <w:rsid w:val="005160A2"/>
    <w:rsid w:val="005314D2"/>
    <w:rsid w:val="00577A64"/>
    <w:rsid w:val="005E1713"/>
    <w:rsid w:val="00661127"/>
    <w:rsid w:val="00670AAF"/>
    <w:rsid w:val="00687CC5"/>
    <w:rsid w:val="006B2630"/>
    <w:rsid w:val="00737D98"/>
    <w:rsid w:val="0074081B"/>
    <w:rsid w:val="0075039B"/>
    <w:rsid w:val="00773020"/>
    <w:rsid w:val="00783C38"/>
    <w:rsid w:val="007B29B5"/>
    <w:rsid w:val="007C03E6"/>
    <w:rsid w:val="00801D46"/>
    <w:rsid w:val="008B04A7"/>
    <w:rsid w:val="008B6106"/>
    <w:rsid w:val="008E2CC7"/>
    <w:rsid w:val="00986BBD"/>
    <w:rsid w:val="009D45D9"/>
    <w:rsid w:val="009E77F2"/>
    <w:rsid w:val="00A3795B"/>
    <w:rsid w:val="00A50B5F"/>
    <w:rsid w:val="00A63724"/>
    <w:rsid w:val="00A638F6"/>
    <w:rsid w:val="00A63CF4"/>
    <w:rsid w:val="00AA5349"/>
    <w:rsid w:val="00AA7556"/>
    <w:rsid w:val="00AD25BF"/>
    <w:rsid w:val="00AE1430"/>
    <w:rsid w:val="00AF3E5E"/>
    <w:rsid w:val="00B45ACE"/>
    <w:rsid w:val="00B76CE5"/>
    <w:rsid w:val="00B8109D"/>
    <w:rsid w:val="00C3433D"/>
    <w:rsid w:val="00C47E54"/>
    <w:rsid w:val="00CA0F67"/>
    <w:rsid w:val="00CC3338"/>
    <w:rsid w:val="00CE31BB"/>
    <w:rsid w:val="00D03007"/>
    <w:rsid w:val="00D14A2A"/>
    <w:rsid w:val="00D430CC"/>
    <w:rsid w:val="00D4347E"/>
    <w:rsid w:val="00E205CD"/>
    <w:rsid w:val="00E30121"/>
    <w:rsid w:val="00E618C9"/>
    <w:rsid w:val="00E66DEE"/>
    <w:rsid w:val="00EA6B75"/>
    <w:rsid w:val="00F121FA"/>
    <w:rsid w:val="00F1454E"/>
    <w:rsid w:val="00F50CD6"/>
    <w:rsid w:val="00FA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6FF6"/>
  <w15:chartTrackingRefBased/>
  <w15:docId w15:val="{9E4FC964-4CEF-C44F-B94C-D25FC13C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2B3"/>
    <w:rPr>
      <w:rFonts w:ascii="Segoe UI" w:hAnsi="Segoe UI" w:cs="Segoe UI"/>
      <w:sz w:val="18"/>
      <w:szCs w:val="18"/>
    </w:rPr>
  </w:style>
  <w:style w:type="character" w:styleId="CommentReference">
    <w:name w:val="annotation reference"/>
    <w:basedOn w:val="DefaultParagraphFont"/>
    <w:uiPriority w:val="99"/>
    <w:semiHidden/>
    <w:unhideWhenUsed/>
    <w:rsid w:val="00CE31BB"/>
    <w:rPr>
      <w:sz w:val="16"/>
      <w:szCs w:val="16"/>
    </w:rPr>
  </w:style>
  <w:style w:type="paragraph" w:styleId="CommentText">
    <w:name w:val="annotation text"/>
    <w:basedOn w:val="Normal"/>
    <w:link w:val="CommentTextChar"/>
    <w:uiPriority w:val="99"/>
    <w:semiHidden/>
    <w:unhideWhenUsed/>
    <w:rsid w:val="00CE31BB"/>
    <w:rPr>
      <w:sz w:val="20"/>
      <w:szCs w:val="20"/>
    </w:rPr>
  </w:style>
  <w:style w:type="character" w:customStyle="1" w:styleId="CommentTextChar">
    <w:name w:val="Comment Text Char"/>
    <w:basedOn w:val="DefaultParagraphFont"/>
    <w:link w:val="CommentText"/>
    <w:uiPriority w:val="99"/>
    <w:semiHidden/>
    <w:rsid w:val="00CE31BB"/>
    <w:rPr>
      <w:sz w:val="20"/>
      <w:szCs w:val="20"/>
    </w:rPr>
  </w:style>
  <w:style w:type="paragraph" w:styleId="CommentSubject">
    <w:name w:val="annotation subject"/>
    <w:basedOn w:val="CommentText"/>
    <w:next w:val="CommentText"/>
    <w:link w:val="CommentSubjectChar"/>
    <w:uiPriority w:val="99"/>
    <w:semiHidden/>
    <w:unhideWhenUsed/>
    <w:rsid w:val="00CE31BB"/>
    <w:rPr>
      <w:b/>
      <w:bCs/>
    </w:rPr>
  </w:style>
  <w:style w:type="character" w:customStyle="1" w:styleId="CommentSubjectChar">
    <w:name w:val="Comment Subject Char"/>
    <w:basedOn w:val="CommentTextChar"/>
    <w:link w:val="CommentSubject"/>
    <w:uiPriority w:val="99"/>
    <w:semiHidden/>
    <w:rsid w:val="00CE31BB"/>
    <w:rPr>
      <w:b/>
      <w:bCs/>
      <w:sz w:val="20"/>
      <w:szCs w:val="20"/>
    </w:rPr>
  </w:style>
  <w:style w:type="paragraph" w:styleId="Revision">
    <w:name w:val="Revision"/>
    <w:hidden/>
    <w:uiPriority w:val="99"/>
    <w:semiHidden/>
    <w:rsid w:val="00783C38"/>
  </w:style>
  <w:style w:type="paragraph" w:styleId="NormalWeb">
    <w:name w:val="Normal (Web)"/>
    <w:basedOn w:val="Normal"/>
    <w:uiPriority w:val="99"/>
    <w:unhideWhenUsed/>
    <w:rsid w:val="008E2C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1599">
      <w:bodyDiv w:val="1"/>
      <w:marLeft w:val="0"/>
      <w:marRight w:val="0"/>
      <w:marTop w:val="0"/>
      <w:marBottom w:val="0"/>
      <w:divBdr>
        <w:top w:val="none" w:sz="0" w:space="0" w:color="auto"/>
        <w:left w:val="none" w:sz="0" w:space="0" w:color="auto"/>
        <w:bottom w:val="none" w:sz="0" w:space="0" w:color="auto"/>
        <w:right w:val="none" w:sz="0" w:space="0" w:color="auto"/>
      </w:divBdr>
      <w:divsChild>
        <w:div w:id="2090544001">
          <w:marLeft w:val="0"/>
          <w:marRight w:val="0"/>
          <w:marTop w:val="0"/>
          <w:marBottom w:val="0"/>
          <w:divBdr>
            <w:top w:val="none" w:sz="0" w:space="0" w:color="auto"/>
            <w:left w:val="none" w:sz="0" w:space="0" w:color="auto"/>
            <w:bottom w:val="none" w:sz="0" w:space="0" w:color="auto"/>
            <w:right w:val="none" w:sz="0" w:space="0" w:color="auto"/>
          </w:divBdr>
          <w:divsChild>
            <w:div w:id="833184451">
              <w:marLeft w:val="0"/>
              <w:marRight w:val="0"/>
              <w:marTop w:val="0"/>
              <w:marBottom w:val="0"/>
              <w:divBdr>
                <w:top w:val="none" w:sz="0" w:space="0" w:color="auto"/>
                <w:left w:val="none" w:sz="0" w:space="0" w:color="auto"/>
                <w:bottom w:val="none" w:sz="0" w:space="0" w:color="auto"/>
                <w:right w:val="none" w:sz="0" w:space="0" w:color="auto"/>
              </w:divBdr>
              <w:divsChild>
                <w:div w:id="1909342888">
                  <w:marLeft w:val="0"/>
                  <w:marRight w:val="0"/>
                  <w:marTop w:val="0"/>
                  <w:marBottom w:val="0"/>
                  <w:divBdr>
                    <w:top w:val="none" w:sz="0" w:space="0" w:color="auto"/>
                    <w:left w:val="none" w:sz="0" w:space="0" w:color="auto"/>
                    <w:bottom w:val="none" w:sz="0" w:space="0" w:color="auto"/>
                    <w:right w:val="none" w:sz="0" w:space="0" w:color="auto"/>
                  </w:divBdr>
                  <w:divsChild>
                    <w:div w:id="634026356">
                      <w:marLeft w:val="0"/>
                      <w:marRight w:val="0"/>
                      <w:marTop w:val="0"/>
                      <w:marBottom w:val="0"/>
                      <w:divBdr>
                        <w:top w:val="none" w:sz="0" w:space="0" w:color="auto"/>
                        <w:left w:val="none" w:sz="0" w:space="0" w:color="auto"/>
                        <w:bottom w:val="none" w:sz="0" w:space="0" w:color="auto"/>
                        <w:right w:val="none" w:sz="0" w:space="0" w:color="auto"/>
                      </w:divBdr>
                    </w:div>
                  </w:divsChild>
                </w:div>
                <w:div w:id="188569247">
                  <w:marLeft w:val="0"/>
                  <w:marRight w:val="0"/>
                  <w:marTop w:val="0"/>
                  <w:marBottom w:val="0"/>
                  <w:divBdr>
                    <w:top w:val="none" w:sz="0" w:space="0" w:color="auto"/>
                    <w:left w:val="none" w:sz="0" w:space="0" w:color="auto"/>
                    <w:bottom w:val="none" w:sz="0" w:space="0" w:color="auto"/>
                    <w:right w:val="none" w:sz="0" w:space="0" w:color="auto"/>
                  </w:divBdr>
                  <w:divsChild>
                    <w:div w:id="12195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4064">
      <w:bodyDiv w:val="1"/>
      <w:marLeft w:val="0"/>
      <w:marRight w:val="0"/>
      <w:marTop w:val="0"/>
      <w:marBottom w:val="0"/>
      <w:divBdr>
        <w:top w:val="none" w:sz="0" w:space="0" w:color="auto"/>
        <w:left w:val="none" w:sz="0" w:space="0" w:color="auto"/>
        <w:bottom w:val="none" w:sz="0" w:space="0" w:color="auto"/>
        <w:right w:val="none" w:sz="0" w:space="0" w:color="auto"/>
      </w:divBdr>
      <w:divsChild>
        <w:div w:id="1771974654">
          <w:marLeft w:val="0"/>
          <w:marRight w:val="0"/>
          <w:marTop w:val="0"/>
          <w:marBottom w:val="0"/>
          <w:divBdr>
            <w:top w:val="none" w:sz="0" w:space="0" w:color="auto"/>
            <w:left w:val="none" w:sz="0" w:space="0" w:color="auto"/>
            <w:bottom w:val="none" w:sz="0" w:space="0" w:color="auto"/>
            <w:right w:val="none" w:sz="0" w:space="0" w:color="auto"/>
          </w:divBdr>
          <w:divsChild>
            <w:div w:id="1062748668">
              <w:marLeft w:val="0"/>
              <w:marRight w:val="0"/>
              <w:marTop w:val="0"/>
              <w:marBottom w:val="0"/>
              <w:divBdr>
                <w:top w:val="none" w:sz="0" w:space="0" w:color="auto"/>
                <w:left w:val="none" w:sz="0" w:space="0" w:color="auto"/>
                <w:bottom w:val="none" w:sz="0" w:space="0" w:color="auto"/>
                <w:right w:val="none" w:sz="0" w:space="0" w:color="auto"/>
              </w:divBdr>
              <w:divsChild>
                <w:div w:id="1156800097">
                  <w:marLeft w:val="0"/>
                  <w:marRight w:val="0"/>
                  <w:marTop w:val="0"/>
                  <w:marBottom w:val="0"/>
                  <w:divBdr>
                    <w:top w:val="none" w:sz="0" w:space="0" w:color="auto"/>
                    <w:left w:val="none" w:sz="0" w:space="0" w:color="auto"/>
                    <w:bottom w:val="none" w:sz="0" w:space="0" w:color="auto"/>
                    <w:right w:val="none" w:sz="0" w:space="0" w:color="auto"/>
                  </w:divBdr>
                  <w:divsChild>
                    <w:div w:id="17630680">
                      <w:marLeft w:val="0"/>
                      <w:marRight w:val="0"/>
                      <w:marTop w:val="0"/>
                      <w:marBottom w:val="0"/>
                      <w:divBdr>
                        <w:top w:val="none" w:sz="0" w:space="0" w:color="auto"/>
                        <w:left w:val="none" w:sz="0" w:space="0" w:color="auto"/>
                        <w:bottom w:val="none" w:sz="0" w:space="0" w:color="auto"/>
                        <w:right w:val="none" w:sz="0" w:space="0" w:color="auto"/>
                      </w:divBdr>
                    </w:div>
                  </w:divsChild>
                </w:div>
                <w:div w:id="1552158442">
                  <w:marLeft w:val="0"/>
                  <w:marRight w:val="0"/>
                  <w:marTop w:val="0"/>
                  <w:marBottom w:val="0"/>
                  <w:divBdr>
                    <w:top w:val="none" w:sz="0" w:space="0" w:color="auto"/>
                    <w:left w:val="none" w:sz="0" w:space="0" w:color="auto"/>
                    <w:bottom w:val="none" w:sz="0" w:space="0" w:color="auto"/>
                    <w:right w:val="none" w:sz="0" w:space="0" w:color="auto"/>
                  </w:divBdr>
                  <w:divsChild>
                    <w:div w:id="13332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52389">
      <w:bodyDiv w:val="1"/>
      <w:marLeft w:val="0"/>
      <w:marRight w:val="0"/>
      <w:marTop w:val="0"/>
      <w:marBottom w:val="0"/>
      <w:divBdr>
        <w:top w:val="none" w:sz="0" w:space="0" w:color="auto"/>
        <w:left w:val="none" w:sz="0" w:space="0" w:color="auto"/>
        <w:bottom w:val="none" w:sz="0" w:space="0" w:color="auto"/>
        <w:right w:val="none" w:sz="0" w:space="0" w:color="auto"/>
      </w:divBdr>
      <w:divsChild>
        <w:div w:id="1866867455">
          <w:marLeft w:val="0"/>
          <w:marRight w:val="0"/>
          <w:marTop w:val="0"/>
          <w:marBottom w:val="0"/>
          <w:divBdr>
            <w:top w:val="none" w:sz="0" w:space="0" w:color="auto"/>
            <w:left w:val="none" w:sz="0" w:space="0" w:color="auto"/>
            <w:bottom w:val="none" w:sz="0" w:space="0" w:color="auto"/>
            <w:right w:val="none" w:sz="0" w:space="0" w:color="auto"/>
          </w:divBdr>
          <w:divsChild>
            <w:div w:id="1624848407">
              <w:marLeft w:val="0"/>
              <w:marRight w:val="0"/>
              <w:marTop w:val="0"/>
              <w:marBottom w:val="0"/>
              <w:divBdr>
                <w:top w:val="none" w:sz="0" w:space="0" w:color="auto"/>
                <w:left w:val="none" w:sz="0" w:space="0" w:color="auto"/>
                <w:bottom w:val="none" w:sz="0" w:space="0" w:color="auto"/>
                <w:right w:val="none" w:sz="0" w:space="0" w:color="auto"/>
              </w:divBdr>
              <w:divsChild>
                <w:div w:id="1490824728">
                  <w:marLeft w:val="0"/>
                  <w:marRight w:val="0"/>
                  <w:marTop w:val="0"/>
                  <w:marBottom w:val="0"/>
                  <w:divBdr>
                    <w:top w:val="none" w:sz="0" w:space="0" w:color="auto"/>
                    <w:left w:val="none" w:sz="0" w:space="0" w:color="auto"/>
                    <w:bottom w:val="none" w:sz="0" w:space="0" w:color="auto"/>
                    <w:right w:val="none" w:sz="0" w:space="0" w:color="auto"/>
                  </w:divBdr>
                  <w:divsChild>
                    <w:div w:id="103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50227">
      <w:bodyDiv w:val="1"/>
      <w:marLeft w:val="0"/>
      <w:marRight w:val="0"/>
      <w:marTop w:val="0"/>
      <w:marBottom w:val="0"/>
      <w:divBdr>
        <w:top w:val="none" w:sz="0" w:space="0" w:color="auto"/>
        <w:left w:val="none" w:sz="0" w:space="0" w:color="auto"/>
        <w:bottom w:val="none" w:sz="0" w:space="0" w:color="auto"/>
        <w:right w:val="none" w:sz="0" w:space="0" w:color="auto"/>
      </w:divBdr>
    </w:div>
    <w:div w:id="1151677728">
      <w:bodyDiv w:val="1"/>
      <w:marLeft w:val="0"/>
      <w:marRight w:val="0"/>
      <w:marTop w:val="0"/>
      <w:marBottom w:val="0"/>
      <w:divBdr>
        <w:top w:val="none" w:sz="0" w:space="0" w:color="auto"/>
        <w:left w:val="none" w:sz="0" w:space="0" w:color="auto"/>
        <w:bottom w:val="none" w:sz="0" w:space="0" w:color="auto"/>
        <w:right w:val="none" w:sz="0" w:space="0" w:color="auto"/>
      </w:divBdr>
    </w:div>
    <w:div w:id="1612664939">
      <w:bodyDiv w:val="1"/>
      <w:marLeft w:val="0"/>
      <w:marRight w:val="0"/>
      <w:marTop w:val="0"/>
      <w:marBottom w:val="0"/>
      <w:divBdr>
        <w:top w:val="none" w:sz="0" w:space="0" w:color="auto"/>
        <w:left w:val="none" w:sz="0" w:space="0" w:color="auto"/>
        <w:bottom w:val="none" w:sz="0" w:space="0" w:color="auto"/>
        <w:right w:val="none" w:sz="0" w:space="0" w:color="auto"/>
      </w:divBdr>
    </w:div>
    <w:div w:id="1613783306">
      <w:bodyDiv w:val="1"/>
      <w:marLeft w:val="0"/>
      <w:marRight w:val="0"/>
      <w:marTop w:val="0"/>
      <w:marBottom w:val="0"/>
      <w:divBdr>
        <w:top w:val="none" w:sz="0" w:space="0" w:color="auto"/>
        <w:left w:val="none" w:sz="0" w:space="0" w:color="auto"/>
        <w:bottom w:val="none" w:sz="0" w:space="0" w:color="auto"/>
        <w:right w:val="none" w:sz="0" w:space="0" w:color="auto"/>
      </w:divBdr>
    </w:div>
    <w:div w:id="1614510781">
      <w:bodyDiv w:val="1"/>
      <w:marLeft w:val="0"/>
      <w:marRight w:val="0"/>
      <w:marTop w:val="0"/>
      <w:marBottom w:val="0"/>
      <w:divBdr>
        <w:top w:val="none" w:sz="0" w:space="0" w:color="auto"/>
        <w:left w:val="none" w:sz="0" w:space="0" w:color="auto"/>
        <w:bottom w:val="none" w:sz="0" w:space="0" w:color="auto"/>
        <w:right w:val="none" w:sz="0" w:space="0" w:color="auto"/>
      </w:divBdr>
    </w:div>
    <w:div w:id="1680620177">
      <w:bodyDiv w:val="1"/>
      <w:marLeft w:val="0"/>
      <w:marRight w:val="0"/>
      <w:marTop w:val="0"/>
      <w:marBottom w:val="0"/>
      <w:divBdr>
        <w:top w:val="none" w:sz="0" w:space="0" w:color="auto"/>
        <w:left w:val="none" w:sz="0" w:space="0" w:color="auto"/>
        <w:bottom w:val="none" w:sz="0" w:space="0" w:color="auto"/>
        <w:right w:val="none" w:sz="0" w:space="0" w:color="auto"/>
      </w:divBdr>
    </w:div>
    <w:div w:id="1747221239">
      <w:bodyDiv w:val="1"/>
      <w:marLeft w:val="0"/>
      <w:marRight w:val="0"/>
      <w:marTop w:val="0"/>
      <w:marBottom w:val="0"/>
      <w:divBdr>
        <w:top w:val="none" w:sz="0" w:space="0" w:color="auto"/>
        <w:left w:val="none" w:sz="0" w:space="0" w:color="auto"/>
        <w:bottom w:val="none" w:sz="0" w:space="0" w:color="auto"/>
        <w:right w:val="none" w:sz="0" w:space="0" w:color="auto"/>
      </w:divBdr>
      <w:divsChild>
        <w:div w:id="368728964">
          <w:marLeft w:val="0"/>
          <w:marRight w:val="0"/>
          <w:marTop w:val="0"/>
          <w:marBottom w:val="0"/>
          <w:divBdr>
            <w:top w:val="none" w:sz="0" w:space="0" w:color="auto"/>
            <w:left w:val="none" w:sz="0" w:space="0" w:color="auto"/>
            <w:bottom w:val="none" w:sz="0" w:space="0" w:color="auto"/>
            <w:right w:val="none" w:sz="0" w:space="0" w:color="auto"/>
          </w:divBdr>
          <w:divsChild>
            <w:div w:id="1329333933">
              <w:marLeft w:val="0"/>
              <w:marRight w:val="0"/>
              <w:marTop w:val="0"/>
              <w:marBottom w:val="0"/>
              <w:divBdr>
                <w:top w:val="none" w:sz="0" w:space="0" w:color="auto"/>
                <w:left w:val="none" w:sz="0" w:space="0" w:color="auto"/>
                <w:bottom w:val="none" w:sz="0" w:space="0" w:color="auto"/>
                <w:right w:val="none" w:sz="0" w:space="0" w:color="auto"/>
              </w:divBdr>
              <w:divsChild>
                <w:div w:id="916014000">
                  <w:marLeft w:val="0"/>
                  <w:marRight w:val="0"/>
                  <w:marTop w:val="0"/>
                  <w:marBottom w:val="0"/>
                  <w:divBdr>
                    <w:top w:val="none" w:sz="0" w:space="0" w:color="auto"/>
                    <w:left w:val="none" w:sz="0" w:space="0" w:color="auto"/>
                    <w:bottom w:val="none" w:sz="0" w:space="0" w:color="auto"/>
                    <w:right w:val="none" w:sz="0" w:space="0" w:color="auto"/>
                  </w:divBdr>
                  <w:divsChild>
                    <w:div w:id="7865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35645">
      <w:bodyDiv w:val="1"/>
      <w:marLeft w:val="0"/>
      <w:marRight w:val="0"/>
      <w:marTop w:val="0"/>
      <w:marBottom w:val="0"/>
      <w:divBdr>
        <w:top w:val="none" w:sz="0" w:space="0" w:color="auto"/>
        <w:left w:val="none" w:sz="0" w:space="0" w:color="auto"/>
        <w:bottom w:val="none" w:sz="0" w:space="0" w:color="auto"/>
        <w:right w:val="none" w:sz="0" w:space="0" w:color="auto"/>
      </w:divBdr>
      <w:divsChild>
        <w:div w:id="546914358">
          <w:marLeft w:val="0"/>
          <w:marRight w:val="0"/>
          <w:marTop w:val="0"/>
          <w:marBottom w:val="0"/>
          <w:divBdr>
            <w:top w:val="none" w:sz="0" w:space="0" w:color="auto"/>
            <w:left w:val="none" w:sz="0" w:space="0" w:color="auto"/>
            <w:bottom w:val="none" w:sz="0" w:space="0" w:color="auto"/>
            <w:right w:val="none" w:sz="0" w:space="0" w:color="auto"/>
          </w:divBdr>
          <w:divsChild>
            <w:div w:id="1832600438">
              <w:marLeft w:val="0"/>
              <w:marRight w:val="0"/>
              <w:marTop w:val="0"/>
              <w:marBottom w:val="0"/>
              <w:divBdr>
                <w:top w:val="none" w:sz="0" w:space="0" w:color="auto"/>
                <w:left w:val="none" w:sz="0" w:space="0" w:color="auto"/>
                <w:bottom w:val="none" w:sz="0" w:space="0" w:color="auto"/>
                <w:right w:val="none" w:sz="0" w:space="0" w:color="auto"/>
              </w:divBdr>
              <w:divsChild>
                <w:div w:id="558515945">
                  <w:marLeft w:val="0"/>
                  <w:marRight w:val="0"/>
                  <w:marTop w:val="0"/>
                  <w:marBottom w:val="0"/>
                  <w:divBdr>
                    <w:top w:val="none" w:sz="0" w:space="0" w:color="auto"/>
                    <w:left w:val="none" w:sz="0" w:space="0" w:color="auto"/>
                    <w:bottom w:val="none" w:sz="0" w:space="0" w:color="auto"/>
                    <w:right w:val="none" w:sz="0" w:space="0" w:color="auto"/>
                  </w:divBdr>
                  <w:divsChild>
                    <w:div w:id="5745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Lumbreras-Marquez, Mario Isaac</dc:creator>
  <cp:keywords/>
  <dc:description/>
  <cp:lastModifiedBy>Farber, Michaela Kristina,M.D.</cp:lastModifiedBy>
  <cp:revision>4</cp:revision>
  <dcterms:created xsi:type="dcterms:W3CDTF">2019-12-08T15:23:00Z</dcterms:created>
  <dcterms:modified xsi:type="dcterms:W3CDTF">2019-12-08T15:32:00Z</dcterms:modified>
</cp:coreProperties>
</file>