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241A" w14:textId="77777777" w:rsidR="003B5A0B" w:rsidRPr="00351E2A" w:rsidRDefault="00190307" w:rsidP="003B5A0B">
      <w:pPr>
        <w:autoSpaceDE w:val="0"/>
        <w:autoSpaceDN w:val="0"/>
        <w:adjustRightInd w:val="0"/>
        <w:rPr>
          <w:color w:val="000000" w:themeColor="text1"/>
        </w:rPr>
      </w:pPr>
      <w:r w:rsidRPr="00190307">
        <w:rPr>
          <w:sz w:val="24"/>
          <w:szCs w:val="24"/>
        </w:rPr>
        <w:t>Supplemental Table a</w:t>
      </w:r>
      <w:r w:rsidR="003B5A0B" w:rsidRPr="00190307">
        <w:rPr>
          <w:sz w:val="24"/>
          <w:szCs w:val="24"/>
        </w:rPr>
        <w:t>.</w:t>
      </w:r>
      <w:r w:rsidR="003B5A0B" w:rsidRPr="00351E2A">
        <w:rPr>
          <w:i/>
          <w:sz w:val="24"/>
          <w:szCs w:val="24"/>
        </w:rPr>
        <w:t xml:space="preserve"> </w:t>
      </w:r>
      <w:r w:rsidR="003B5A0B" w:rsidRPr="00351E2A">
        <w:rPr>
          <w:color w:val="000000" w:themeColor="text1"/>
        </w:rPr>
        <w:t>United States Preventive Services Task Force (USPSTF) Levels of Certainty Regarding Net Benefit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175"/>
      </w:tblGrid>
      <w:tr w:rsidR="003B5A0B" w:rsidRPr="00EA4B80" w14:paraId="769ABB81" w14:textId="77777777" w:rsidTr="00300BD2">
        <w:tc>
          <w:tcPr>
            <w:tcW w:w="1203" w:type="dxa"/>
            <w:shd w:val="clear" w:color="auto" w:fill="D0CECE"/>
            <w:vAlign w:val="center"/>
          </w:tcPr>
          <w:p w14:paraId="5464BB15" w14:textId="77777777" w:rsidR="003B5A0B" w:rsidRPr="00EA4B80" w:rsidRDefault="003B5A0B" w:rsidP="00300BD2">
            <w:pPr>
              <w:spacing w:line="360" w:lineRule="auto"/>
              <w:jc w:val="center"/>
              <w:rPr>
                <w:b/>
              </w:rPr>
            </w:pPr>
            <w:r w:rsidRPr="00EA4B80">
              <w:rPr>
                <w:b/>
                <w:color w:val="000000" w:themeColor="text1"/>
              </w:rPr>
              <w:t>Level of Certainty</w:t>
            </w:r>
          </w:p>
        </w:tc>
        <w:tc>
          <w:tcPr>
            <w:tcW w:w="8175" w:type="dxa"/>
            <w:shd w:val="clear" w:color="auto" w:fill="D0CECE"/>
            <w:vAlign w:val="center"/>
          </w:tcPr>
          <w:p w14:paraId="3769F2F7" w14:textId="77777777" w:rsidR="003B5A0B" w:rsidRPr="00EA4B80" w:rsidRDefault="003B5A0B" w:rsidP="00300BD2">
            <w:pPr>
              <w:spacing w:line="360" w:lineRule="auto"/>
              <w:jc w:val="center"/>
              <w:rPr>
                <w:b/>
              </w:rPr>
            </w:pPr>
            <w:r w:rsidRPr="00EA4B80">
              <w:rPr>
                <w:b/>
                <w:color w:val="000000" w:themeColor="text1"/>
              </w:rPr>
              <w:t>Description</w:t>
            </w:r>
          </w:p>
        </w:tc>
      </w:tr>
    </w:tbl>
    <w:tbl>
      <w:tblPr>
        <w:tblStyle w:val="TableGrid"/>
        <w:tblW w:w="0" w:type="auto"/>
        <w:tblLook w:val="04A0" w:firstRow="1" w:lastRow="0" w:firstColumn="1" w:lastColumn="0" w:noHBand="0" w:noVBand="1"/>
      </w:tblPr>
      <w:tblGrid>
        <w:gridCol w:w="1203"/>
        <w:gridCol w:w="8147"/>
      </w:tblGrid>
      <w:tr w:rsidR="003B5A0B" w:rsidRPr="00EA4B80" w14:paraId="5577A0AD" w14:textId="77777777" w:rsidTr="00300BD2">
        <w:tc>
          <w:tcPr>
            <w:tcW w:w="1203" w:type="dxa"/>
          </w:tcPr>
          <w:p w14:paraId="29183289" w14:textId="77777777" w:rsidR="003B5A0B" w:rsidRPr="00EA4B80" w:rsidRDefault="003B5A0B" w:rsidP="00300BD2">
            <w:pPr>
              <w:autoSpaceDE w:val="0"/>
              <w:autoSpaceDN w:val="0"/>
              <w:adjustRightInd w:val="0"/>
              <w:spacing w:line="360" w:lineRule="auto"/>
              <w:rPr>
                <w:b/>
                <w:color w:val="000000" w:themeColor="text1"/>
              </w:rPr>
            </w:pPr>
            <w:r w:rsidRPr="00EA4B80">
              <w:rPr>
                <w:color w:val="000000" w:themeColor="text1"/>
              </w:rPr>
              <w:t>High</w:t>
            </w:r>
          </w:p>
        </w:tc>
        <w:tc>
          <w:tcPr>
            <w:tcW w:w="8147" w:type="dxa"/>
          </w:tcPr>
          <w:p w14:paraId="20577030" w14:textId="77777777" w:rsidR="003B5A0B" w:rsidRPr="00EA4B80" w:rsidRDefault="003B5A0B" w:rsidP="00300BD2">
            <w:pPr>
              <w:autoSpaceDE w:val="0"/>
              <w:autoSpaceDN w:val="0"/>
              <w:adjustRightInd w:val="0"/>
              <w:spacing w:line="360" w:lineRule="auto"/>
              <w:rPr>
                <w:color w:val="000000" w:themeColor="text1"/>
              </w:rPr>
            </w:pPr>
            <w:r w:rsidRPr="00EA4B80">
              <w:rPr>
                <w:color w:val="000000" w:themeColor="text1"/>
              </w:rPr>
              <w:t>The available evidence usually includes consistent results from well-designed, well-conducted studies in representative primary care populations. These studies assess the effects of the preventive service on health outcomes. This conclusion is therefore unlikely to be strongly affected by the results of future studies.</w:t>
            </w:r>
          </w:p>
        </w:tc>
      </w:tr>
      <w:tr w:rsidR="003B5A0B" w:rsidRPr="00EA4B80" w14:paraId="16C31CAC" w14:textId="77777777" w:rsidTr="00300BD2">
        <w:tc>
          <w:tcPr>
            <w:tcW w:w="1203" w:type="dxa"/>
          </w:tcPr>
          <w:p w14:paraId="695BF260" w14:textId="77777777" w:rsidR="003B5A0B" w:rsidRPr="00EA4B80" w:rsidRDefault="003B5A0B" w:rsidP="00300BD2">
            <w:pPr>
              <w:autoSpaceDE w:val="0"/>
              <w:autoSpaceDN w:val="0"/>
              <w:adjustRightInd w:val="0"/>
              <w:spacing w:line="360" w:lineRule="auto"/>
              <w:rPr>
                <w:b/>
                <w:color w:val="000000" w:themeColor="text1"/>
              </w:rPr>
            </w:pPr>
            <w:r w:rsidRPr="00EA4B80">
              <w:rPr>
                <w:color w:val="000000" w:themeColor="text1"/>
              </w:rPr>
              <w:t>Moderate</w:t>
            </w:r>
          </w:p>
        </w:tc>
        <w:tc>
          <w:tcPr>
            <w:tcW w:w="8147" w:type="dxa"/>
          </w:tcPr>
          <w:p w14:paraId="076E2B70" w14:textId="62990E36" w:rsidR="003B5A0B" w:rsidRPr="00EA4B80" w:rsidRDefault="003B5A0B" w:rsidP="00300BD2">
            <w:pPr>
              <w:autoSpaceDE w:val="0"/>
              <w:autoSpaceDN w:val="0"/>
              <w:adjustRightInd w:val="0"/>
              <w:spacing w:line="360" w:lineRule="auto"/>
              <w:rPr>
                <w:color w:val="000000" w:themeColor="text1"/>
              </w:rPr>
            </w:pPr>
            <w:r w:rsidRPr="00EA4B80">
              <w:rPr>
                <w:color w:val="000000" w:themeColor="text1"/>
              </w:rPr>
              <w:t>The available evidence is sufficient to determine the effects of the preventive service on health outcomes, but confidence in the estimate is constrained by such factors as: the number, size, or quality of individual studies</w:t>
            </w:r>
            <w:r w:rsidR="00604F8B">
              <w:rPr>
                <w:color w:val="000000" w:themeColor="text1"/>
              </w:rPr>
              <w:t>;</w:t>
            </w:r>
            <w:r w:rsidRPr="00EA4B80">
              <w:rPr>
                <w:color w:val="000000" w:themeColor="text1"/>
              </w:rPr>
              <w:t xml:space="preserve"> inconsistency of findings across individual studies</w:t>
            </w:r>
            <w:r w:rsidR="00604F8B">
              <w:rPr>
                <w:color w:val="000000" w:themeColor="text1"/>
              </w:rPr>
              <w:t>;</w:t>
            </w:r>
            <w:r w:rsidRPr="00EA4B80">
              <w:rPr>
                <w:color w:val="000000" w:themeColor="text1"/>
              </w:rPr>
              <w:t xml:space="preserve"> limited generalizability of findings to routine primary care practice</w:t>
            </w:r>
            <w:r w:rsidR="00604F8B">
              <w:rPr>
                <w:color w:val="000000" w:themeColor="text1"/>
              </w:rPr>
              <w:t>;</w:t>
            </w:r>
            <w:r w:rsidRPr="00EA4B80">
              <w:rPr>
                <w:color w:val="000000" w:themeColor="text1"/>
              </w:rPr>
              <w:t xml:space="preserve"> lack of coherence in the chain of evidence.</w:t>
            </w:r>
          </w:p>
          <w:p w14:paraId="28852402" w14:textId="77777777" w:rsidR="003B5A0B" w:rsidRPr="00EA4B80" w:rsidRDefault="003B5A0B" w:rsidP="00300BD2">
            <w:pPr>
              <w:autoSpaceDE w:val="0"/>
              <w:autoSpaceDN w:val="0"/>
              <w:adjustRightInd w:val="0"/>
              <w:spacing w:line="360" w:lineRule="auto"/>
              <w:rPr>
                <w:color w:val="000000" w:themeColor="text1"/>
              </w:rPr>
            </w:pPr>
            <w:r w:rsidRPr="00EA4B80">
              <w:rPr>
                <w:color w:val="000000" w:themeColor="text1"/>
              </w:rPr>
              <w:t>As more information becomes available, the magnitude or direction of the observed effect could change, and this change may be large enough to alter the conclusion.</w:t>
            </w:r>
          </w:p>
        </w:tc>
      </w:tr>
      <w:tr w:rsidR="003B5A0B" w:rsidRPr="00EA4B80" w14:paraId="3B50A787" w14:textId="77777777" w:rsidTr="00300BD2">
        <w:tc>
          <w:tcPr>
            <w:tcW w:w="1203" w:type="dxa"/>
          </w:tcPr>
          <w:p w14:paraId="562FB1F3" w14:textId="77777777" w:rsidR="003B5A0B" w:rsidRPr="00EA4B80" w:rsidRDefault="003B5A0B" w:rsidP="00300BD2">
            <w:pPr>
              <w:autoSpaceDE w:val="0"/>
              <w:autoSpaceDN w:val="0"/>
              <w:adjustRightInd w:val="0"/>
              <w:spacing w:line="360" w:lineRule="auto"/>
              <w:rPr>
                <w:b/>
                <w:color w:val="000000" w:themeColor="text1"/>
              </w:rPr>
            </w:pPr>
            <w:r w:rsidRPr="00EA4B80">
              <w:rPr>
                <w:color w:val="000000" w:themeColor="text1"/>
              </w:rPr>
              <w:t>Low</w:t>
            </w:r>
          </w:p>
        </w:tc>
        <w:tc>
          <w:tcPr>
            <w:tcW w:w="8147" w:type="dxa"/>
          </w:tcPr>
          <w:p w14:paraId="7ECA8B58" w14:textId="6CE1988E" w:rsidR="003B5A0B" w:rsidRPr="00EA4B80" w:rsidRDefault="003B5A0B" w:rsidP="00300BD2">
            <w:pPr>
              <w:autoSpaceDE w:val="0"/>
              <w:autoSpaceDN w:val="0"/>
              <w:adjustRightInd w:val="0"/>
              <w:spacing w:line="360" w:lineRule="auto"/>
              <w:rPr>
                <w:color w:val="000000" w:themeColor="text1"/>
              </w:rPr>
            </w:pPr>
            <w:r w:rsidRPr="00EA4B80">
              <w:rPr>
                <w:color w:val="000000" w:themeColor="text1"/>
              </w:rPr>
              <w:t>The available evidence is insufficient to assess effects on health outcomes. Evidence is insufficient because of: the limited number or size of studies,  important flaws in study design or methods, inconsistency of findings across individual studies</w:t>
            </w:r>
            <w:r w:rsidR="00604F8B">
              <w:rPr>
                <w:color w:val="000000" w:themeColor="text1"/>
              </w:rPr>
              <w:t>,</w:t>
            </w:r>
            <w:r w:rsidRPr="00EA4B80">
              <w:rPr>
                <w:color w:val="000000" w:themeColor="text1"/>
              </w:rPr>
              <w:t xml:space="preserve"> gaps in the chain of evidence, findings not generalizable to routine primary care practice, lack of information on important health outcomes. More information may allow estimation of effects on health outcomes.</w:t>
            </w:r>
          </w:p>
        </w:tc>
      </w:tr>
      <w:tr w:rsidR="003B5A0B" w:rsidRPr="00EA4B80" w14:paraId="174A4172" w14:textId="77777777" w:rsidTr="00300BD2">
        <w:tc>
          <w:tcPr>
            <w:tcW w:w="9350" w:type="dxa"/>
            <w:gridSpan w:val="2"/>
          </w:tcPr>
          <w:p w14:paraId="2037C9ED" w14:textId="77777777" w:rsidR="003B5A0B" w:rsidRPr="00EA4B80" w:rsidRDefault="003B5A0B" w:rsidP="00300BD2">
            <w:pPr>
              <w:autoSpaceDE w:val="0"/>
              <w:autoSpaceDN w:val="0"/>
              <w:adjustRightInd w:val="0"/>
              <w:spacing w:line="360" w:lineRule="auto"/>
              <w:rPr>
                <w:b/>
                <w:color w:val="000000" w:themeColor="text1"/>
              </w:rPr>
            </w:pPr>
            <w:r w:rsidRPr="00EA4B80">
              <w:rPr>
                <w:color w:val="000000" w:themeColor="text1"/>
              </w:rPr>
              <w:t>The USPSTF defines certainty as “likelihood that the USPSTF assessment of the net benefit of a preventive service is correct.” The net benefit is defined as benefit minus harm of the preventive service as implemented in a general, primary care population. The USPSTF assigns a certainty level based on the nature of the overall evidence available to assess the net benefit of a preventive service.</w:t>
            </w:r>
          </w:p>
        </w:tc>
      </w:tr>
    </w:tbl>
    <w:p w14:paraId="16BD7CAC" w14:textId="77777777" w:rsidR="003B5A0B" w:rsidRDefault="003B5A0B" w:rsidP="003B5A0B">
      <w:pPr>
        <w:rPr>
          <w:i/>
          <w:sz w:val="24"/>
          <w:szCs w:val="24"/>
        </w:rPr>
      </w:pPr>
    </w:p>
    <w:p w14:paraId="7E64862E" w14:textId="77777777" w:rsidR="003B5A0B" w:rsidRDefault="003B5A0B" w:rsidP="003B5A0B">
      <w:pPr>
        <w:rPr>
          <w:i/>
          <w:sz w:val="24"/>
          <w:szCs w:val="24"/>
        </w:rPr>
      </w:pPr>
    </w:p>
    <w:p w14:paraId="717C9FA6" w14:textId="77777777" w:rsidR="003B5A0B" w:rsidRDefault="003B5A0B" w:rsidP="003B5A0B">
      <w:pPr>
        <w:rPr>
          <w:i/>
          <w:sz w:val="24"/>
          <w:szCs w:val="24"/>
        </w:rPr>
      </w:pPr>
    </w:p>
    <w:p w14:paraId="550596C5" w14:textId="77777777" w:rsidR="003B5A0B" w:rsidRDefault="003B5A0B" w:rsidP="003B5A0B">
      <w:pPr>
        <w:rPr>
          <w:i/>
          <w:sz w:val="24"/>
          <w:szCs w:val="24"/>
        </w:rPr>
      </w:pPr>
    </w:p>
    <w:p w14:paraId="5275D9F5" w14:textId="77777777" w:rsidR="003B5A0B" w:rsidRPr="00351E2A" w:rsidRDefault="00190307" w:rsidP="003B5A0B">
      <w:pPr>
        <w:rPr>
          <w:color w:val="000000" w:themeColor="text1"/>
        </w:rPr>
      </w:pPr>
      <w:r w:rsidRPr="00190307">
        <w:rPr>
          <w:sz w:val="24"/>
          <w:szCs w:val="24"/>
        </w:rPr>
        <w:lastRenderedPageBreak/>
        <w:t>Supplemental Table b</w:t>
      </w:r>
      <w:r w:rsidRPr="00351E2A">
        <w:rPr>
          <w:i/>
          <w:sz w:val="24"/>
          <w:szCs w:val="24"/>
        </w:rPr>
        <w:t xml:space="preserve">. </w:t>
      </w:r>
      <w:r w:rsidR="003B5A0B" w:rsidRPr="00351E2A">
        <w:rPr>
          <w:color w:val="000000" w:themeColor="text1"/>
        </w:rPr>
        <w:t>United States Preventive Services Task Force (USPSTF) Grades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83"/>
      </w:tblGrid>
      <w:tr w:rsidR="003B5A0B" w:rsidRPr="00EA4B80" w14:paraId="4C75654E" w14:textId="77777777" w:rsidTr="00300BD2">
        <w:tc>
          <w:tcPr>
            <w:tcW w:w="895" w:type="dxa"/>
            <w:shd w:val="clear" w:color="auto" w:fill="D0CECE"/>
            <w:vAlign w:val="center"/>
          </w:tcPr>
          <w:p w14:paraId="0E377668" w14:textId="77777777" w:rsidR="003B5A0B" w:rsidRPr="00EA4B80" w:rsidRDefault="003B5A0B" w:rsidP="00300BD2">
            <w:pPr>
              <w:spacing w:line="360" w:lineRule="auto"/>
              <w:jc w:val="center"/>
              <w:rPr>
                <w:b/>
              </w:rPr>
            </w:pPr>
            <w:r w:rsidRPr="00EA4B80">
              <w:rPr>
                <w:b/>
              </w:rPr>
              <w:t xml:space="preserve">Grade </w:t>
            </w:r>
          </w:p>
        </w:tc>
        <w:tc>
          <w:tcPr>
            <w:tcW w:w="8483" w:type="dxa"/>
            <w:shd w:val="clear" w:color="auto" w:fill="D0CECE"/>
            <w:vAlign w:val="center"/>
          </w:tcPr>
          <w:p w14:paraId="00C62490" w14:textId="77777777" w:rsidR="003B5A0B" w:rsidRPr="00EA4B80" w:rsidRDefault="003B5A0B" w:rsidP="00300BD2">
            <w:pPr>
              <w:spacing w:line="360" w:lineRule="auto"/>
              <w:jc w:val="center"/>
              <w:rPr>
                <w:b/>
              </w:rPr>
            </w:pPr>
            <w:r w:rsidRPr="00EA4B80">
              <w:rPr>
                <w:b/>
              </w:rPr>
              <w:t>Definitions</w:t>
            </w:r>
          </w:p>
        </w:tc>
      </w:tr>
    </w:tbl>
    <w:tbl>
      <w:tblPr>
        <w:tblStyle w:val="TableGrid"/>
        <w:tblW w:w="9355" w:type="dxa"/>
        <w:tblLook w:val="04A0" w:firstRow="1" w:lastRow="0" w:firstColumn="1" w:lastColumn="0" w:noHBand="0" w:noVBand="1"/>
      </w:tblPr>
      <w:tblGrid>
        <w:gridCol w:w="870"/>
        <w:gridCol w:w="8485"/>
      </w:tblGrid>
      <w:tr w:rsidR="003B5A0B" w:rsidRPr="00EA4B80" w14:paraId="483F6C82" w14:textId="77777777" w:rsidTr="00300BD2">
        <w:tc>
          <w:tcPr>
            <w:tcW w:w="870" w:type="dxa"/>
          </w:tcPr>
          <w:p w14:paraId="4EBC35A2" w14:textId="77777777" w:rsidR="003B5A0B" w:rsidRPr="00EA4B80" w:rsidRDefault="003B5A0B" w:rsidP="00300BD2">
            <w:pPr>
              <w:widowControl w:val="0"/>
              <w:autoSpaceDE w:val="0"/>
              <w:autoSpaceDN w:val="0"/>
              <w:adjustRightInd w:val="0"/>
              <w:spacing w:line="360" w:lineRule="auto"/>
              <w:rPr>
                <w:b/>
                <w:bCs/>
                <w:color w:val="000000" w:themeColor="text1"/>
              </w:rPr>
            </w:pPr>
            <w:r w:rsidRPr="00EA4B80">
              <w:rPr>
                <w:b/>
                <w:bCs/>
                <w:color w:val="000000" w:themeColor="text1"/>
              </w:rPr>
              <w:t>A</w:t>
            </w:r>
          </w:p>
        </w:tc>
        <w:tc>
          <w:tcPr>
            <w:tcW w:w="8485" w:type="dxa"/>
          </w:tcPr>
          <w:p w14:paraId="2562540E" w14:textId="77777777" w:rsidR="003B5A0B" w:rsidRPr="00EA4B80" w:rsidRDefault="003B5A0B" w:rsidP="00300BD2">
            <w:pPr>
              <w:autoSpaceDE w:val="0"/>
              <w:autoSpaceDN w:val="0"/>
              <w:adjustRightInd w:val="0"/>
              <w:spacing w:line="360" w:lineRule="auto"/>
              <w:rPr>
                <w:color w:val="000000" w:themeColor="text1"/>
              </w:rPr>
            </w:pPr>
            <w:r w:rsidRPr="00EA4B80">
              <w:rPr>
                <w:color w:val="000000" w:themeColor="text1"/>
              </w:rPr>
              <w:t>The USPSTF recommends the service. There is high certainty that the net benefit is substantial.</w:t>
            </w:r>
          </w:p>
        </w:tc>
      </w:tr>
      <w:tr w:rsidR="003B5A0B" w:rsidRPr="00EA4B80" w14:paraId="2B3B2A0C" w14:textId="77777777" w:rsidTr="00300BD2">
        <w:tc>
          <w:tcPr>
            <w:tcW w:w="870" w:type="dxa"/>
          </w:tcPr>
          <w:p w14:paraId="4432A5BF" w14:textId="77777777" w:rsidR="003B5A0B" w:rsidRPr="00EA4B80" w:rsidRDefault="003B5A0B" w:rsidP="00300BD2">
            <w:pPr>
              <w:widowControl w:val="0"/>
              <w:autoSpaceDE w:val="0"/>
              <w:autoSpaceDN w:val="0"/>
              <w:adjustRightInd w:val="0"/>
              <w:spacing w:line="360" w:lineRule="auto"/>
              <w:rPr>
                <w:b/>
                <w:bCs/>
                <w:color w:val="000000" w:themeColor="text1"/>
              </w:rPr>
            </w:pPr>
            <w:r w:rsidRPr="00EA4B80">
              <w:rPr>
                <w:b/>
                <w:bCs/>
                <w:color w:val="000000" w:themeColor="text1"/>
              </w:rPr>
              <w:t>B</w:t>
            </w:r>
          </w:p>
        </w:tc>
        <w:tc>
          <w:tcPr>
            <w:tcW w:w="8485" w:type="dxa"/>
          </w:tcPr>
          <w:p w14:paraId="660D6727" w14:textId="77777777" w:rsidR="003B5A0B" w:rsidRPr="00EA4B80" w:rsidRDefault="003B5A0B" w:rsidP="00300BD2">
            <w:pPr>
              <w:autoSpaceDE w:val="0"/>
              <w:autoSpaceDN w:val="0"/>
              <w:adjustRightInd w:val="0"/>
              <w:spacing w:line="360" w:lineRule="auto"/>
              <w:rPr>
                <w:color w:val="000000" w:themeColor="text1"/>
              </w:rPr>
            </w:pPr>
            <w:r w:rsidRPr="00EA4B80">
              <w:rPr>
                <w:color w:val="000000" w:themeColor="text1"/>
              </w:rPr>
              <w:t>The USPSTF recommends the service. There is high certainty that the net benefit is moderate, or there is moderate certainty that the net benefit is moderate to substantial.</w:t>
            </w:r>
          </w:p>
        </w:tc>
      </w:tr>
      <w:tr w:rsidR="003B5A0B" w:rsidRPr="00EA4B80" w14:paraId="1B82DFEC" w14:textId="77777777" w:rsidTr="00300BD2">
        <w:tc>
          <w:tcPr>
            <w:tcW w:w="870" w:type="dxa"/>
          </w:tcPr>
          <w:p w14:paraId="17C8D0E6" w14:textId="77777777" w:rsidR="003B5A0B" w:rsidRPr="00EA4B80" w:rsidRDefault="003B5A0B" w:rsidP="00300BD2">
            <w:pPr>
              <w:widowControl w:val="0"/>
              <w:autoSpaceDE w:val="0"/>
              <w:autoSpaceDN w:val="0"/>
              <w:adjustRightInd w:val="0"/>
              <w:spacing w:line="360" w:lineRule="auto"/>
              <w:rPr>
                <w:b/>
                <w:bCs/>
                <w:color w:val="000000" w:themeColor="text1"/>
              </w:rPr>
            </w:pPr>
            <w:r w:rsidRPr="00EA4B80">
              <w:rPr>
                <w:b/>
                <w:bCs/>
                <w:color w:val="000000" w:themeColor="text1"/>
              </w:rPr>
              <w:t>C</w:t>
            </w:r>
          </w:p>
        </w:tc>
        <w:tc>
          <w:tcPr>
            <w:tcW w:w="8485" w:type="dxa"/>
          </w:tcPr>
          <w:p w14:paraId="0E02C66C" w14:textId="77777777" w:rsidR="003B5A0B" w:rsidRPr="00EA4B80" w:rsidRDefault="003B5A0B" w:rsidP="00300BD2">
            <w:pPr>
              <w:autoSpaceDE w:val="0"/>
              <w:autoSpaceDN w:val="0"/>
              <w:adjustRightInd w:val="0"/>
              <w:spacing w:line="360" w:lineRule="auto"/>
              <w:rPr>
                <w:color w:val="000000" w:themeColor="text1"/>
              </w:rPr>
            </w:pPr>
            <w:r w:rsidRPr="00EA4B80">
              <w:rPr>
                <w:color w:val="000000" w:themeColor="text1"/>
              </w:rPr>
              <w:t>The USPSTF recommends selectively offering or providing this service to individual patients based on professional judgment and patient preferences. There is at least moderate certainty that the net benefit is small.</w:t>
            </w:r>
          </w:p>
        </w:tc>
      </w:tr>
      <w:tr w:rsidR="003B5A0B" w:rsidRPr="00EA4B80" w14:paraId="3E4F1851" w14:textId="77777777" w:rsidTr="00300BD2">
        <w:tc>
          <w:tcPr>
            <w:tcW w:w="870" w:type="dxa"/>
          </w:tcPr>
          <w:p w14:paraId="06D52D8A" w14:textId="77777777" w:rsidR="003B5A0B" w:rsidRPr="00EA4B80" w:rsidRDefault="003B5A0B" w:rsidP="00300BD2">
            <w:pPr>
              <w:widowControl w:val="0"/>
              <w:autoSpaceDE w:val="0"/>
              <w:autoSpaceDN w:val="0"/>
              <w:adjustRightInd w:val="0"/>
              <w:spacing w:line="360" w:lineRule="auto"/>
              <w:rPr>
                <w:b/>
                <w:bCs/>
                <w:color w:val="000000" w:themeColor="text1"/>
              </w:rPr>
            </w:pPr>
            <w:r w:rsidRPr="00EA4B80">
              <w:rPr>
                <w:b/>
                <w:bCs/>
                <w:color w:val="000000" w:themeColor="text1"/>
              </w:rPr>
              <w:t>D</w:t>
            </w:r>
          </w:p>
        </w:tc>
        <w:tc>
          <w:tcPr>
            <w:tcW w:w="8485" w:type="dxa"/>
          </w:tcPr>
          <w:p w14:paraId="3B40C194" w14:textId="77777777" w:rsidR="003B5A0B" w:rsidRPr="00EA4B80" w:rsidRDefault="003B5A0B" w:rsidP="00300BD2">
            <w:pPr>
              <w:autoSpaceDE w:val="0"/>
              <w:autoSpaceDN w:val="0"/>
              <w:adjustRightInd w:val="0"/>
              <w:spacing w:line="360" w:lineRule="auto"/>
              <w:rPr>
                <w:color w:val="000000" w:themeColor="text1"/>
              </w:rPr>
            </w:pPr>
            <w:r w:rsidRPr="00EA4B80">
              <w:rPr>
                <w:color w:val="000000" w:themeColor="text1"/>
              </w:rPr>
              <w:t>The USPSTF recommends against the service. There is moderate or high certainty that the service has no net benefit or that the harms outweigh the benefits.</w:t>
            </w:r>
          </w:p>
        </w:tc>
      </w:tr>
      <w:tr w:rsidR="003B5A0B" w:rsidRPr="00EA4B80" w14:paraId="352FA973" w14:textId="77777777" w:rsidTr="00300BD2">
        <w:tc>
          <w:tcPr>
            <w:tcW w:w="870" w:type="dxa"/>
          </w:tcPr>
          <w:p w14:paraId="7B64B530" w14:textId="77777777" w:rsidR="003B5A0B" w:rsidRPr="00EA4B80" w:rsidRDefault="003B5A0B" w:rsidP="00300BD2">
            <w:pPr>
              <w:widowControl w:val="0"/>
              <w:autoSpaceDE w:val="0"/>
              <w:autoSpaceDN w:val="0"/>
              <w:adjustRightInd w:val="0"/>
              <w:spacing w:line="360" w:lineRule="auto"/>
              <w:rPr>
                <w:b/>
                <w:bCs/>
                <w:color w:val="000000" w:themeColor="text1"/>
              </w:rPr>
            </w:pPr>
            <w:r w:rsidRPr="00EA4B80">
              <w:rPr>
                <w:b/>
                <w:bCs/>
                <w:color w:val="000000" w:themeColor="text1"/>
              </w:rPr>
              <w:t>I</w:t>
            </w:r>
          </w:p>
        </w:tc>
        <w:tc>
          <w:tcPr>
            <w:tcW w:w="8485" w:type="dxa"/>
          </w:tcPr>
          <w:p w14:paraId="6187E381" w14:textId="77777777" w:rsidR="003B5A0B" w:rsidRPr="00EA4B80" w:rsidRDefault="003B5A0B" w:rsidP="00300BD2">
            <w:pPr>
              <w:autoSpaceDE w:val="0"/>
              <w:autoSpaceDN w:val="0"/>
              <w:adjustRightInd w:val="0"/>
              <w:spacing w:line="360" w:lineRule="auto"/>
              <w:rPr>
                <w:color w:val="000000" w:themeColor="text1"/>
              </w:rPr>
            </w:pPr>
            <w:r w:rsidRPr="00EA4B80">
              <w:rPr>
                <w:color w:val="000000" w:themeColor="text1"/>
              </w:rPr>
              <w:t>The USPSTF concludes that the current evidence is insufficient to assess the balance of benefits and harms of the service. Evidence is lacking, of poor quality, or conflicting, and the balance of benefits and harms cannot be determined.</w:t>
            </w:r>
          </w:p>
        </w:tc>
      </w:tr>
    </w:tbl>
    <w:p w14:paraId="5BE098BA" w14:textId="30B40875" w:rsidR="007D0FD4" w:rsidRPr="001B1093" w:rsidRDefault="003B5A0B" w:rsidP="007D0FD4">
      <w:pPr>
        <w:rPr>
          <w:sz w:val="24"/>
          <w:szCs w:val="24"/>
        </w:rPr>
      </w:pPr>
      <w:r w:rsidRPr="001B1093">
        <w:rPr>
          <w:sz w:val="24"/>
          <w:szCs w:val="24"/>
        </w:rPr>
        <w:t xml:space="preserve">From: </w:t>
      </w:r>
      <w:hyperlink r:id="rId4" w:history="1">
        <w:r w:rsidR="007D0FD4" w:rsidRPr="009D2501">
          <w:rPr>
            <w:sz w:val="24"/>
            <w:szCs w:val="24"/>
            <w:lang w:val="en"/>
          </w:rPr>
          <w:t>US Preventive Services Task Force</w:t>
        </w:r>
      </w:hyperlink>
      <w:r w:rsidR="007D0FD4">
        <w:rPr>
          <w:sz w:val="24"/>
          <w:szCs w:val="24"/>
          <w:lang w:val="en"/>
        </w:rPr>
        <w:t xml:space="preserve"> Grade Definitions after July 2012. Levels of Certainty Regarding Net Benefit</w:t>
      </w:r>
      <w:r w:rsidR="007D0FD4" w:rsidRPr="00123C65">
        <w:rPr>
          <w:sz w:val="24"/>
          <w:szCs w:val="24"/>
          <w:lang w:val="en"/>
        </w:rPr>
        <w:t xml:space="preserve">. </w:t>
      </w:r>
      <w:hyperlink r:id="rId5" w:history="1">
        <w:r w:rsidR="007D0FD4" w:rsidRPr="00F20727">
          <w:rPr>
            <w:rStyle w:val="Hyperlink"/>
            <w:sz w:val="24"/>
            <w:szCs w:val="24"/>
          </w:rPr>
          <w:t>https://www.uspreventiveservicestaskforce.org/Page/Name/grade-definitions</w:t>
        </w:r>
      </w:hyperlink>
      <w:r w:rsidR="007D0FD4">
        <w:rPr>
          <w:rStyle w:val="Hyperlink"/>
          <w:sz w:val="24"/>
          <w:szCs w:val="24"/>
        </w:rPr>
        <w:t xml:space="preserve">. </w:t>
      </w:r>
      <w:r w:rsidR="007D0FD4">
        <w:rPr>
          <w:sz w:val="24"/>
          <w:szCs w:val="24"/>
          <w:lang w:val="en"/>
        </w:rPr>
        <w:t>Accessed January 5, 2020.</w:t>
      </w:r>
    </w:p>
    <w:p w14:paraId="73D01EA3" w14:textId="524FFC6C" w:rsidR="003B5A0B" w:rsidRDefault="003B5A0B" w:rsidP="003B5A0B">
      <w:pPr>
        <w:rPr>
          <w:sz w:val="24"/>
          <w:szCs w:val="24"/>
        </w:rPr>
      </w:pPr>
    </w:p>
    <w:p w14:paraId="12344A0E" w14:textId="77777777" w:rsidR="003B5A0B" w:rsidRDefault="003B5A0B" w:rsidP="003B5A0B">
      <w:pPr>
        <w:rPr>
          <w:sz w:val="24"/>
          <w:szCs w:val="24"/>
        </w:rPr>
      </w:pPr>
    </w:p>
    <w:p w14:paraId="7B09B1DB" w14:textId="77777777" w:rsidR="003B5A0B" w:rsidRDefault="003B5A0B" w:rsidP="003B5A0B">
      <w:pPr>
        <w:rPr>
          <w:sz w:val="24"/>
          <w:szCs w:val="24"/>
        </w:rPr>
      </w:pPr>
    </w:p>
    <w:p w14:paraId="3DF9164B" w14:textId="77777777" w:rsidR="003B5A0B" w:rsidRDefault="003B5A0B" w:rsidP="003B5A0B">
      <w:pPr>
        <w:rPr>
          <w:sz w:val="24"/>
          <w:szCs w:val="24"/>
        </w:rPr>
      </w:pPr>
    </w:p>
    <w:p w14:paraId="17D91F47" w14:textId="77777777" w:rsidR="00BB6EDF" w:rsidRDefault="00BB6EDF"/>
    <w:sectPr w:rsidR="00BB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0B"/>
    <w:rsid w:val="00190307"/>
    <w:rsid w:val="003B5A0B"/>
    <w:rsid w:val="00604F8B"/>
    <w:rsid w:val="007D0FD4"/>
    <w:rsid w:val="00BB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9A48"/>
  <w15:chartTrackingRefBased/>
  <w15:docId w15:val="{F8C365EF-0D68-487C-8ACB-A372CF11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A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A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0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https://www.ncbi.nlm.nih.gov/pubmed/?term=US%20Preventive%20Services%20Task%20Force%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Northwestern Memorial Hospital</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Benzon, Honorio</dc:creator>
  <cp:keywords/>
  <dc:description/>
  <cp:lastModifiedBy>Honorio Benzon</cp:lastModifiedBy>
  <cp:revision>6</cp:revision>
  <cp:lastPrinted>2020-12-25T17:13:00Z</cp:lastPrinted>
  <dcterms:created xsi:type="dcterms:W3CDTF">2020-06-08T19:27:00Z</dcterms:created>
  <dcterms:modified xsi:type="dcterms:W3CDTF">2020-12-25T17:25:00Z</dcterms:modified>
</cp:coreProperties>
</file>