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F8E" w:rsidRDefault="00E75F8E" w:rsidP="00096AD4">
      <w:pPr>
        <w:pStyle w:val="TextBody"/>
        <w:spacing w:after="0" w:line="480" w:lineRule="auto"/>
        <w:rPr>
          <w:rFonts w:ascii="Bookman Old Style" w:hAnsi="Bookman Old Style" w:cs="Arial"/>
          <w:b/>
          <w:iCs/>
          <w:color w:val="auto"/>
        </w:rPr>
      </w:pPr>
      <w:r>
        <w:rPr>
          <w:rFonts w:ascii="Bookman Old Style" w:hAnsi="Bookman Old Style" w:cs="Arial"/>
          <w:b/>
          <w:iCs/>
          <w:color w:val="auto"/>
        </w:rPr>
        <w:t>Supplemental Method file</w:t>
      </w:r>
    </w:p>
    <w:p w:rsidR="00096AD4" w:rsidRPr="00E75F8E" w:rsidRDefault="00096AD4" w:rsidP="00096AD4">
      <w:pPr>
        <w:pStyle w:val="TextBody"/>
        <w:spacing w:after="0" w:line="480" w:lineRule="auto"/>
        <w:rPr>
          <w:rFonts w:ascii="Bookman Old Style" w:hAnsi="Bookman Old Style" w:cs="Arial"/>
          <w:b/>
          <w:iCs/>
          <w:color w:val="auto"/>
        </w:rPr>
      </w:pPr>
      <w:bookmarkStart w:id="0" w:name="_GoBack"/>
      <w:bookmarkEnd w:id="0"/>
      <w:r w:rsidRPr="00E75F8E">
        <w:rPr>
          <w:rFonts w:ascii="Bookman Old Style" w:hAnsi="Bookman Old Style" w:cs="Arial"/>
          <w:b/>
          <w:iCs/>
          <w:color w:val="auto"/>
        </w:rPr>
        <w:t xml:space="preserve">Genetic analysis </w:t>
      </w:r>
    </w:p>
    <w:p w:rsidR="00096AD4" w:rsidRPr="00960F59" w:rsidRDefault="00096AD4" w:rsidP="00096AD4">
      <w:pPr>
        <w:pStyle w:val="TextBody"/>
        <w:spacing w:after="0" w:line="480" w:lineRule="auto"/>
        <w:rPr>
          <w:rFonts w:ascii="Bookman Old Style" w:hAnsi="Bookman Old Style" w:cs="Arial"/>
          <w:color w:val="auto"/>
        </w:rPr>
      </w:pPr>
      <w:r>
        <w:rPr>
          <w:rFonts w:ascii="Bookman Old Style" w:hAnsi="Bookman Old Style" w:cs="Arial"/>
          <w:color w:val="auto"/>
        </w:rPr>
        <w:t xml:space="preserve">Considering the extent and severity of thrombosis that occurred, an inherited predisposition to hypercoagulability was suspected.  </w:t>
      </w:r>
      <w:r w:rsidRPr="00405C57">
        <w:rPr>
          <w:rFonts w:ascii="Bookman Old Style" w:hAnsi="Bookman Old Style" w:cs="Arial"/>
          <w:color w:val="auto"/>
        </w:rPr>
        <w:t>In order to determine possible unknown mutations</w:t>
      </w:r>
      <w:r>
        <w:rPr>
          <w:rFonts w:ascii="Bookman Old Style" w:hAnsi="Bookman Old Style" w:cs="Arial"/>
          <w:color w:val="auto"/>
        </w:rPr>
        <w:t xml:space="preserve"> in the coagulation pathway</w:t>
      </w:r>
      <w:r w:rsidRPr="00405C57">
        <w:rPr>
          <w:rFonts w:ascii="Bookman Old Style" w:hAnsi="Bookman Old Style" w:cs="Arial"/>
          <w:color w:val="auto"/>
        </w:rPr>
        <w:t xml:space="preserve">, circulating cell-free DNA was extracted from </w:t>
      </w:r>
      <w:r>
        <w:rPr>
          <w:rFonts w:ascii="Bookman Old Style" w:hAnsi="Bookman Old Style" w:cs="Arial"/>
          <w:color w:val="auto"/>
        </w:rPr>
        <w:t>a cryopreserved serum</w:t>
      </w:r>
      <w:r w:rsidRPr="00405C57">
        <w:rPr>
          <w:rFonts w:ascii="Bookman Old Style" w:hAnsi="Bookman Old Style" w:cs="Arial"/>
          <w:color w:val="auto"/>
        </w:rPr>
        <w:t xml:space="preserve"> </w:t>
      </w:r>
      <w:r>
        <w:rPr>
          <w:rFonts w:ascii="Bookman Old Style" w:hAnsi="Bookman Old Style" w:cs="Arial"/>
          <w:color w:val="auto"/>
        </w:rPr>
        <w:t>sample obtained preoperatively</w:t>
      </w:r>
      <w:r w:rsidRPr="00105410">
        <w:rPr>
          <w:rFonts w:ascii="Bookman Old Style" w:hAnsi="Bookman Old Style" w:cs="Arial"/>
          <w:color w:val="auto"/>
        </w:rPr>
        <w:t xml:space="preserve">. Following the manufacturer’s protocol, a sequencing library was constructed using the KAPA LTP Library Preparation Kit (Kapa Biosystems, Inc., Wilmington, MA) combined with a </w:t>
      </w:r>
      <w:proofErr w:type="spellStart"/>
      <w:r w:rsidRPr="00105410">
        <w:rPr>
          <w:rFonts w:ascii="Bookman Old Style" w:hAnsi="Bookman Old Style" w:cs="Arial"/>
          <w:color w:val="auto"/>
        </w:rPr>
        <w:t>SureSelect</w:t>
      </w:r>
      <w:proofErr w:type="spellEnd"/>
      <w:r w:rsidRPr="00105410">
        <w:rPr>
          <w:rFonts w:ascii="Bookman Old Style" w:hAnsi="Bookman Old Style" w:cs="Arial"/>
          <w:color w:val="auto"/>
        </w:rPr>
        <w:t xml:space="preserve"> XT V4+UTR Kit (Agilent), and sequenced on the Illumina Hiseq2500 sequencer (Illumina, </w:t>
      </w:r>
      <w:proofErr w:type="spellStart"/>
      <w:r w:rsidRPr="00105410">
        <w:rPr>
          <w:rFonts w:ascii="Bookman Old Style" w:hAnsi="Bookman Old Style" w:cs="Arial"/>
          <w:color w:val="auto"/>
        </w:rPr>
        <w:t>Inc</w:t>
      </w:r>
      <w:proofErr w:type="spellEnd"/>
      <w:r w:rsidRPr="00105410">
        <w:rPr>
          <w:rFonts w:ascii="Bookman Old Style" w:hAnsi="Bookman Old Style" w:cs="Arial"/>
          <w:color w:val="auto"/>
        </w:rPr>
        <w:t>, San Diego, CA) using paired-end 2x100 base length reads.</w:t>
      </w:r>
      <w:r w:rsidRPr="00246175">
        <w:rPr>
          <w:rFonts w:ascii="Bookman Old Style" w:hAnsi="Bookman Old Style" w:cs="Arial"/>
          <w:color w:val="FF0000"/>
        </w:rPr>
        <w:t xml:space="preserve">  </w:t>
      </w:r>
      <w:r w:rsidRPr="002237E0">
        <w:rPr>
          <w:rFonts w:ascii="Bookman Old Style" w:hAnsi="Bookman Old Style" w:cs="Arial"/>
          <w:color w:val="auto"/>
        </w:rPr>
        <w:t xml:space="preserve">Generated reads were aligned with the hg19 human reference genome using the Burrows-Wheeler alignment </w:t>
      </w:r>
      <w:r w:rsidR="00E75F8E" w:rsidRPr="00E75F8E">
        <w:rPr>
          <w:rFonts w:ascii="Bookman Old Style" w:hAnsi="Bookman Old Style" w:cs="Arial"/>
          <w:color w:val="000000"/>
          <w:vertAlign w:val="superscript"/>
        </w:rPr>
        <w:t>1</w:t>
      </w:r>
      <w:r>
        <w:rPr>
          <w:rFonts w:ascii="Bookman Old Style" w:hAnsi="Bookman Old Style" w:cs="Arial"/>
          <w:color w:val="000000"/>
        </w:rPr>
        <w:t xml:space="preserve">. Variant </w:t>
      </w:r>
      <w:r w:rsidRPr="003F3957">
        <w:rPr>
          <w:rFonts w:ascii="Bookman Old Style" w:hAnsi="Bookman Old Style" w:cs="Arial"/>
          <w:color w:val="000000"/>
        </w:rPr>
        <w:t xml:space="preserve">detection and </w:t>
      </w:r>
      <w:r w:rsidRPr="003F3957">
        <w:rPr>
          <w:rFonts w:ascii="Bookman Old Style" w:hAnsi="Bookman Old Style" w:cs="Arial"/>
          <w:color w:val="auto"/>
        </w:rPr>
        <w:t>analysis</w:t>
      </w:r>
      <w:r>
        <w:rPr>
          <w:rFonts w:ascii="Bookman Old Style" w:hAnsi="Bookman Old Style" w:cs="Arial"/>
          <w:color w:val="FF0000"/>
        </w:rPr>
        <w:t xml:space="preserve"> </w:t>
      </w:r>
      <w:r>
        <w:rPr>
          <w:rFonts w:ascii="Bookman Old Style" w:hAnsi="Bookman Old Style" w:cs="Arial"/>
          <w:color w:val="000000"/>
        </w:rPr>
        <w:t xml:space="preserve">was performed using </w:t>
      </w:r>
      <w:r>
        <w:rPr>
          <w:rFonts w:ascii="Bookman Old Style" w:hAnsi="Bookman Old Style" w:cs="Arial"/>
          <w:color w:val="auto"/>
        </w:rPr>
        <w:t xml:space="preserve">the </w:t>
      </w:r>
      <w:r w:rsidRPr="00960F59">
        <w:rPr>
          <w:rFonts w:ascii="Bookman Old Style" w:hAnsi="Bookman Old Style" w:cs="Arial"/>
          <w:color w:val="auto"/>
        </w:rPr>
        <w:t xml:space="preserve">GATK (Broad Institute) algorithm run on the Illumina </w:t>
      </w:r>
      <w:proofErr w:type="spellStart"/>
      <w:r w:rsidRPr="00960F59">
        <w:rPr>
          <w:rFonts w:ascii="Bookman Old Style" w:hAnsi="Bookman Old Style" w:cs="Arial"/>
          <w:color w:val="auto"/>
        </w:rPr>
        <w:t>BaseSpace</w:t>
      </w:r>
      <w:proofErr w:type="spellEnd"/>
      <w:r w:rsidRPr="00960F59">
        <w:rPr>
          <w:rFonts w:ascii="Bookman Old Style" w:hAnsi="Bookman Old Style" w:cs="Arial"/>
          <w:color w:val="auto"/>
        </w:rPr>
        <w:t xml:space="preserve"> Web platform (</w:t>
      </w:r>
      <w:r w:rsidRPr="00960F59">
        <w:rPr>
          <w:rFonts w:ascii="Bookman Old Style" w:hAnsi="Bookman Old Style" w:cs="Arial"/>
          <w:i/>
          <w:iCs/>
          <w:color w:val="auto"/>
        </w:rPr>
        <w:t>basespace.illumina.com</w:t>
      </w:r>
      <w:r w:rsidRPr="00960F59">
        <w:rPr>
          <w:rFonts w:ascii="Bookman Old Style" w:hAnsi="Bookman Old Style" w:cs="Arial"/>
          <w:color w:val="auto"/>
        </w:rPr>
        <w:t>). The following coagulation pathway genes were analyzed for non-synonymous variants</w:t>
      </w:r>
      <w:r>
        <w:rPr>
          <w:rFonts w:ascii="Bookman Old Style" w:hAnsi="Bookman Old Style" w:cs="Arial"/>
          <w:color w:val="auto"/>
        </w:rPr>
        <w:t>:</w:t>
      </w:r>
      <w:r w:rsidRPr="00960F59">
        <w:rPr>
          <w:rFonts w:ascii="Bookman Old Style" w:hAnsi="Bookman Old Style" w:cs="Arial"/>
          <w:color w:val="auto"/>
        </w:rPr>
        <w:t xml:space="preserve"> F2, F2R, F3, F4, F5, F7, F8, F9, F10, F11, F12, F13, FG, TFP1, SERPIN1, SERPINC1, SERPINA5, SERPINA1, SERPINF2, SERPINE1, SERPIND1, CPB2, </w:t>
      </w:r>
      <w:proofErr w:type="spellStart"/>
      <w:r w:rsidRPr="00960F59">
        <w:rPr>
          <w:rFonts w:ascii="Bookman Old Style" w:hAnsi="Bookman Old Style" w:cs="Arial"/>
          <w:color w:val="auto"/>
        </w:rPr>
        <w:t>vWF</w:t>
      </w:r>
      <w:proofErr w:type="spellEnd"/>
      <w:r w:rsidRPr="00960F59">
        <w:rPr>
          <w:rFonts w:ascii="Bookman Old Style" w:hAnsi="Bookman Old Style" w:cs="Arial"/>
          <w:color w:val="auto"/>
        </w:rPr>
        <w:t xml:space="preserve"> ,THBD, PROC, PROS1, A2M, PLG, PLAUR, PLAT, and PLAU. </w:t>
      </w:r>
      <w:r>
        <w:rPr>
          <w:rFonts w:ascii="Bookman Old Style" w:hAnsi="Bookman Old Style" w:cs="Arial"/>
          <w:color w:val="auto"/>
        </w:rPr>
        <w:t>Selected p</w:t>
      </w:r>
      <w:r w:rsidRPr="00960F59">
        <w:rPr>
          <w:rFonts w:ascii="Bookman Old Style" w:hAnsi="Bookman Old Style" w:cs="Arial"/>
          <w:color w:val="auto"/>
        </w:rPr>
        <w:t>olymorphisms</w:t>
      </w:r>
      <w:r>
        <w:rPr>
          <w:rFonts w:ascii="Bookman Old Style" w:hAnsi="Bookman Old Style" w:cs="Arial"/>
          <w:color w:val="auto"/>
        </w:rPr>
        <w:t xml:space="preserve"> were verified</w:t>
      </w:r>
      <w:r w:rsidRPr="00960F59">
        <w:rPr>
          <w:rFonts w:ascii="Bookman Old Style" w:hAnsi="Bookman Old Style" w:cs="Arial"/>
          <w:color w:val="auto"/>
        </w:rPr>
        <w:t xml:space="preserve"> </w:t>
      </w:r>
      <w:r>
        <w:rPr>
          <w:rFonts w:ascii="Bookman Old Style" w:hAnsi="Bookman Old Style" w:cs="Arial"/>
          <w:color w:val="auto"/>
        </w:rPr>
        <w:t>with</w:t>
      </w:r>
      <w:r w:rsidRPr="00960F59">
        <w:rPr>
          <w:rFonts w:ascii="Bookman Old Style" w:hAnsi="Bookman Old Style" w:cs="Arial"/>
          <w:color w:val="auto"/>
        </w:rPr>
        <w:t xml:space="preserve"> DNA from the patient</w:t>
      </w:r>
      <w:r>
        <w:rPr>
          <w:rFonts w:ascii="Bookman Old Style" w:hAnsi="Bookman Old Style" w:cs="Arial"/>
          <w:color w:val="auto"/>
        </w:rPr>
        <w:t>’s</w:t>
      </w:r>
      <w:r w:rsidRPr="00960F59">
        <w:rPr>
          <w:rFonts w:ascii="Bookman Old Style" w:hAnsi="Bookman Old Style" w:cs="Arial"/>
          <w:color w:val="auto"/>
        </w:rPr>
        <w:t xml:space="preserve"> liver samples</w:t>
      </w:r>
      <w:r>
        <w:rPr>
          <w:rFonts w:ascii="Bookman Old Style" w:hAnsi="Bookman Old Style" w:cs="Arial"/>
          <w:color w:val="auto"/>
        </w:rPr>
        <w:t xml:space="preserve"> using </w:t>
      </w:r>
      <w:r w:rsidRPr="00960F59">
        <w:rPr>
          <w:rFonts w:ascii="Bookman Old Style" w:hAnsi="Bookman Old Style" w:cs="Arial"/>
          <w:color w:val="auto"/>
        </w:rPr>
        <w:t>selected gene fragment</w:t>
      </w:r>
      <w:r>
        <w:rPr>
          <w:rFonts w:ascii="Bookman Old Style" w:hAnsi="Bookman Old Style" w:cs="Arial"/>
          <w:color w:val="auto"/>
        </w:rPr>
        <w:t xml:space="preserve"> PCR amplification, </w:t>
      </w:r>
      <w:r w:rsidRPr="00960F59">
        <w:rPr>
          <w:rFonts w:ascii="Bookman Old Style" w:hAnsi="Bookman Old Style" w:cs="Arial"/>
          <w:color w:val="auto"/>
        </w:rPr>
        <w:t>followed by direct Sanger</w:t>
      </w:r>
      <w:r>
        <w:rPr>
          <w:rFonts w:ascii="Bookman Old Style" w:hAnsi="Bookman Old Style" w:cs="Arial"/>
          <w:color w:val="auto"/>
        </w:rPr>
        <w:t xml:space="preserve"> </w:t>
      </w:r>
      <w:r w:rsidRPr="00960F59">
        <w:rPr>
          <w:rFonts w:ascii="Bookman Old Style" w:hAnsi="Bookman Old Style" w:cs="Arial"/>
          <w:color w:val="auto"/>
        </w:rPr>
        <w:t>sequencing using an ABI 3130XL Capillary Sequencer (Applied Biosystems</w:t>
      </w:r>
      <w:r>
        <w:rPr>
          <w:rFonts w:ascii="Bookman Old Style" w:hAnsi="Bookman Old Style" w:cs="Arial"/>
          <w:color w:val="auto"/>
        </w:rPr>
        <w:t>, Foster City, CA</w:t>
      </w:r>
      <w:r w:rsidRPr="00960F59">
        <w:rPr>
          <w:rFonts w:ascii="Bookman Old Style" w:hAnsi="Bookman Old Style" w:cs="Arial"/>
          <w:color w:val="auto"/>
        </w:rPr>
        <w:t>). For further verification, reverse</w:t>
      </w:r>
      <w:r>
        <w:rPr>
          <w:rFonts w:ascii="Bookman Old Style" w:hAnsi="Bookman Old Style" w:cs="Arial"/>
          <w:color w:val="auto"/>
        </w:rPr>
        <w:t>-</w:t>
      </w:r>
      <w:r w:rsidRPr="00960F59">
        <w:rPr>
          <w:rFonts w:ascii="Bookman Old Style" w:hAnsi="Bookman Old Style" w:cs="Arial"/>
          <w:color w:val="auto"/>
        </w:rPr>
        <w:t xml:space="preserve">transcription PCR was performed on RNA isolated from </w:t>
      </w:r>
      <w:r>
        <w:rPr>
          <w:rFonts w:ascii="Bookman Old Style" w:hAnsi="Bookman Old Style" w:cs="Arial"/>
          <w:color w:val="auto"/>
        </w:rPr>
        <w:lastRenderedPageBreak/>
        <w:t>formalin-fixed</w:t>
      </w:r>
      <w:r w:rsidRPr="00960F59">
        <w:rPr>
          <w:rFonts w:ascii="Bookman Old Style" w:hAnsi="Bookman Old Style" w:cs="Arial"/>
          <w:color w:val="auto"/>
        </w:rPr>
        <w:t xml:space="preserve"> liver samples</w:t>
      </w:r>
      <w:r>
        <w:rPr>
          <w:rFonts w:ascii="Bookman Old Style" w:hAnsi="Bookman Old Style" w:cs="Arial"/>
          <w:color w:val="auto"/>
        </w:rPr>
        <w:t>,</w:t>
      </w:r>
      <w:r w:rsidRPr="00960F59">
        <w:rPr>
          <w:rFonts w:ascii="Bookman Old Style" w:hAnsi="Bookman Old Style" w:cs="Arial"/>
          <w:color w:val="auto"/>
        </w:rPr>
        <w:t xml:space="preserve"> followed by</w:t>
      </w:r>
      <w:r w:rsidRPr="00246175">
        <w:rPr>
          <w:rFonts w:ascii="Bookman Old Style" w:hAnsi="Bookman Old Style" w:cs="Arial"/>
          <w:color w:val="auto"/>
        </w:rPr>
        <w:t xml:space="preserve"> </w:t>
      </w:r>
      <w:r>
        <w:rPr>
          <w:rFonts w:ascii="Bookman Old Style" w:hAnsi="Bookman Old Style" w:cs="Arial"/>
          <w:color w:val="auto"/>
        </w:rPr>
        <w:t>selected cDNA fragment</w:t>
      </w:r>
      <w:r w:rsidRPr="00960F59">
        <w:rPr>
          <w:rFonts w:ascii="Bookman Old Style" w:hAnsi="Bookman Old Style" w:cs="Arial"/>
          <w:color w:val="auto"/>
        </w:rPr>
        <w:t xml:space="preserve"> PCR amplification and direct Sanger</w:t>
      </w:r>
      <w:r>
        <w:rPr>
          <w:rFonts w:ascii="Bookman Old Style" w:hAnsi="Bookman Old Style" w:cs="Arial"/>
          <w:color w:val="auto"/>
        </w:rPr>
        <w:t xml:space="preserve"> </w:t>
      </w:r>
      <w:r w:rsidRPr="00960F59">
        <w:rPr>
          <w:rFonts w:ascii="Bookman Old Style" w:hAnsi="Bookman Old Style" w:cs="Arial"/>
          <w:color w:val="auto"/>
        </w:rPr>
        <w:t>sequencing.</w:t>
      </w:r>
    </w:p>
    <w:p w:rsidR="00096AD4" w:rsidRPr="00960F59" w:rsidRDefault="00096AD4" w:rsidP="00096AD4">
      <w:pPr>
        <w:pStyle w:val="TextBody"/>
        <w:spacing w:after="0" w:line="480" w:lineRule="auto"/>
        <w:rPr>
          <w:rFonts w:ascii="Bookman Old Style" w:hAnsi="Bookman Old Style" w:cs="Arial"/>
          <w:b/>
          <w:bCs/>
          <w:color w:val="auto"/>
        </w:rPr>
      </w:pPr>
    </w:p>
    <w:p w:rsidR="00096AD4" w:rsidRPr="00960F59" w:rsidRDefault="00096AD4" w:rsidP="00096AD4">
      <w:pPr>
        <w:pStyle w:val="TextBody"/>
        <w:tabs>
          <w:tab w:val="left" w:pos="2070"/>
        </w:tabs>
        <w:spacing w:after="0" w:line="480" w:lineRule="auto"/>
        <w:rPr>
          <w:rFonts w:ascii="Bookman Old Style" w:hAnsi="Bookman Old Style" w:cs="Arial"/>
          <w:b/>
          <w:bCs/>
          <w:color w:val="auto"/>
        </w:rPr>
      </w:pPr>
      <w:r w:rsidRPr="00960F59">
        <w:rPr>
          <w:rFonts w:ascii="Bookman Old Style" w:hAnsi="Bookman Old Style" w:cs="Arial"/>
          <w:b/>
          <w:bCs/>
          <w:color w:val="auto"/>
        </w:rPr>
        <w:t>Results</w:t>
      </w:r>
      <w:r>
        <w:rPr>
          <w:rFonts w:ascii="Bookman Old Style" w:hAnsi="Bookman Old Style" w:cs="Arial"/>
          <w:b/>
          <w:bCs/>
          <w:color w:val="auto"/>
        </w:rPr>
        <w:tab/>
      </w:r>
    </w:p>
    <w:p w:rsidR="00096AD4" w:rsidRDefault="00096AD4" w:rsidP="00096AD4">
      <w:pPr>
        <w:spacing w:after="0" w:line="480" w:lineRule="auto"/>
        <w:rPr>
          <w:rFonts w:ascii="Bookman Old Style" w:hAnsi="Bookman Old Style" w:cs="Arial"/>
          <w:color w:val="auto"/>
          <w:sz w:val="24"/>
          <w:szCs w:val="24"/>
        </w:rPr>
      </w:pPr>
      <w:r w:rsidRPr="00960F59">
        <w:rPr>
          <w:rFonts w:ascii="Bookman Old Style" w:hAnsi="Bookman Old Style" w:cs="Arial"/>
          <w:color w:val="auto"/>
          <w:sz w:val="24"/>
          <w:szCs w:val="24"/>
        </w:rPr>
        <w:t>Single nucleotide variants (SNV</w:t>
      </w:r>
      <w:r>
        <w:rPr>
          <w:rFonts w:ascii="Bookman Old Style" w:hAnsi="Bookman Old Style" w:cs="Arial"/>
          <w:color w:val="auto"/>
          <w:sz w:val="24"/>
          <w:szCs w:val="24"/>
        </w:rPr>
        <w:t>s</w:t>
      </w:r>
      <w:r w:rsidRPr="00960F59">
        <w:rPr>
          <w:rFonts w:ascii="Bookman Old Style" w:hAnsi="Bookman Old Style" w:cs="Arial"/>
          <w:color w:val="auto"/>
          <w:sz w:val="24"/>
          <w:szCs w:val="24"/>
        </w:rPr>
        <w:t>)</w:t>
      </w:r>
      <w:r>
        <w:rPr>
          <w:rFonts w:ascii="Bookman Old Style" w:hAnsi="Bookman Old Style" w:cs="Arial"/>
          <w:color w:val="auto"/>
          <w:sz w:val="24"/>
          <w:szCs w:val="24"/>
        </w:rPr>
        <w:t xml:space="preserve"> identified with exome sequencing included</w:t>
      </w:r>
      <w:r w:rsidRPr="00960F59">
        <w:rPr>
          <w:rFonts w:ascii="Bookman Old Style" w:hAnsi="Bookman Old Style" w:cs="Arial"/>
          <w:color w:val="auto"/>
          <w:sz w:val="24"/>
          <w:szCs w:val="24"/>
        </w:rPr>
        <w:t xml:space="preserve">: 96,203 </w:t>
      </w:r>
      <w:r>
        <w:rPr>
          <w:rFonts w:ascii="Bookman Old Style" w:hAnsi="Bookman Old Style" w:cs="Arial"/>
          <w:color w:val="auto"/>
          <w:sz w:val="24"/>
          <w:szCs w:val="24"/>
        </w:rPr>
        <w:t>total</w:t>
      </w:r>
      <w:r w:rsidRPr="00960F59">
        <w:rPr>
          <w:rFonts w:ascii="Bookman Old Style" w:hAnsi="Bookman Old Style" w:cs="Arial"/>
          <w:color w:val="auto"/>
          <w:sz w:val="24"/>
          <w:szCs w:val="24"/>
        </w:rPr>
        <w:t xml:space="preserve"> SNVs, 42,260</w:t>
      </w:r>
      <w:r>
        <w:rPr>
          <w:rFonts w:ascii="Bookman Old Style" w:hAnsi="Bookman Old Style" w:cs="Arial"/>
          <w:color w:val="auto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color w:val="auto"/>
          <w:sz w:val="24"/>
          <w:szCs w:val="24"/>
        </w:rPr>
        <w:t>exonic</w:t>
      </w:r>
      <w:proofErr w:type="spellEnd"/>
      <w:r>
        <w:rPr>
          <w:rFonts w:ascii="Bookman Old Style" w:hAnsi="Bookman Old Style" w:cs="Arial"/>
          <w:color w:val="auto"/>
          <w:sz w:val="24"/>
          <w:szCs w:val="24"/>
        </w:rPr>
        <w:t xml:space="preserve"> </w:t>
      </w:r>
      <w:r w:rsidRPr="00960F59">
        <w:rPr>
          <w:rFonts w:ascii="Bookman Old Style" w:hAnsi="Bookman Old Style" w:cs="Arial"/>
          <w:color w:val="auto"/>
          <w:sz w:val="24"/>
          <w:szCs w:val="24"/>
        </w:rPr>
        <w:t xml:space="preserve">SNVs, 22,337 </w:t>
      </w:r>
      <w:r w:rsidRPr="00960F59">
        <w:rPr>
          <w:rFonts w:ascii="Bookman Old Style" w:eastAsia="Times New Roman" w:hAnsi="Bookman Old Style"/>
          <w:color w:val="auto"/>
          <w:sz w:val="24"/>
          <w:szCs w:val="24"/>
        </w:rPr>
        <w:t>coding sequence</w:t>
      </w:r>
      <w:r>
        <w:rPr>
          <w:rFonts w:ascii="Bookman Old Style" w:eastAsia="Times New Roman" w:hAnsi="Bookman Old Style"/>
          <w:color w:val="auto"/>
          <w:sz w:val="24"/>
          <w:szCs w:val="24"/>
        </w:rPr>
        <w:t xml:space="preserve"> </w:t>
      </w:r>
      <w:r w:rsidRPr="00960F59">
        <w:rPr>
          <w:rFonts w:ascii="Bookman Old Style" w:hAnsi="Bookman Old Style" w:cs="Arial"/>
          <w:color w:val="auto"/>
          <w:sz w:val="24"/>
          <w:szCs w:val="24"/>
        </w:rPr>
        <w:t>SNVs, and10</w:t>
      </w:r>
      <w:proofErr w:type="gramStart"/>
      <w:r w:rsidRPr="00960F59">
        <w:rPr>
          <w:rFonts w:ascii="Bookman Old Style" w:hAnsi="Bookman Old Style" w:cs="Arial"/>
          <w:color w:val="auto"/>
          <w:sz w:val="24"/>
          <w:szCs w:val="24"/>
        </w:rPr>
        <w:t>,516</w:t>
      </w:r>
      <w:proofErr w:type="gramEnd"/>
      <w:r w:rsidRPr="00960F59">
        <w:rPr>
          <w:rFonts w:ascii="Bookman Old Style" w:hAnsi="Bookman Old Style" w:cs="Arial"/>
          <w:color w:val="auto"/>
          <w:sz w:val="24"/>
          <w:szCs w:val="24"/>
        </w:rPr>
        <w:t xml:space="preserve"> non-synonymous SNVs. </w:t>
      </w:r>
      <w:r>
        <w:rPr>
          <w:rFonts w:ascii="Bookman Old Style" w:hAnsi="Bookman Old Style" w:cs="Arial"/>
          <w:color w:val="auto"/>
          <w:sz w:val="24"/>
          <w:szCs w:val="24"/>
        </w:rPr>
        <w:t>A</w:t>
      </w:r>
      <w:r w:rsidRPr="00960F59">
        <w:rPr>
          <w:rFonts w:ascii="Bookman Old Style" w:hAnsi="Bookman Old Style" w:cs="Arial"/>
          <w:color w:val="auto"/>
          <w:sz w:val="24"/>
          <w:szCs w:val="24"/>
        </w:rPr>
        <w:t xml:space="preserve">ll non-synonymous variants detected in coagulation pathway genes are presented in Table 2. </w:t>
      </w:r>
      <w:r>
        <w:rPr>
          <w:rFonts w:ascii="Bookman Old Style" w:hAnsi="Bookman Old Style" w:cs="Arial"/>
          <w:color w:val="auto"/>
          <w:sz w:val="24"/>
          <w:szCs w:val="24"/>
        </w:rPr>
        <w:t>O</w:t>
      </w:r>
      <w:r w:rsidRPr="00960F59">
        <w:rPr>
          <w:rFonts w:ascii="Bookman Old Style" w:hAnsi="Bookman Old Style" w:cs="Arial"/>
          <w:color w:val="auto"/>
          <w:sz w:val="24"/>
          <w:szCs w:val="24"/>
        </w:rPr>
        <w:t>ne variant in SERPINC1</w:t>
      </w:r>
      <w:r>
        <w:rPr>
          <w:rFonts w:ascii="Bookman Old Style" w:hAnsi="Bookman Old Style" w:cs="Arial"/>
          <w:color w:val="auto"/>
          <w:sz w:val="24"/>
          <w:szCs w:val="24"/>
        </w:rPr>
        <w:t xml:space="preserve"> </w:t>
      </w:r>
      <w:r w:rsidRPr="00960F59">
        <w:rPr>
          <w:rFonts w:ascii="Bookman Old Style" w:hAnsi="Bookman Old Style" w:cs="Arial"/>
          <w:color w:val="auto"/>
          <w:sz w:val="24"/>
          <w:szCs w:val="24"/>
        </w:rPr>
        <w:t>(</w:t>
      </w:r>
      <w:r>
        <w:rPr>
          <w:rFonts w:ascii="Bookman Old Style" w:hAnsi="Bookman Old Style" w:cs="Arial"/>
          <w:color w:val="auto"/>
          <w:sz w:val="24"/>
          <w:szCs w:val="24"/>
        </w:rPr>
        <w:t>T</w:t>
      </w:r>
      <w:r w:rsidRPr="00960F59">
        <w:rPr>
          <w:rFonts w:ascii="Bookman Old Style" w:hAnsi="Bookman Old Style" w:cs="Arial"/>
          <w:color w:val="auto"/>
          <w:sz w:val="24"/>
          <w:szCs w:val="24"/>
        </w:rPr>
        <w:t>able</w:t>
      </w:r>
      <w:r>
        <w:rPr>
          <w:rFonts w:ascii="Bookman Old Style" w:hAnsi="Bookman Old Style" w:cs="Arial"/>
          <w:color w:val="auto"/>
          <w:sz w:val="24"/>
          <w:szCs w:val="24"/>
        </w:rPr>
        <w:t xml:space="preserve"> 2 (in bold)</w:t>
      </w:r>
      <w:r w:rsidRPr="00960F59">
        <w:rPr>
          <w:rFonts w:ascii="Bookman Old Style" w:hAnsi="Bookman Old Style" w:cs="Arial"/>
          <w:color w:val="auto"/>
          <w:sz w:val="24"/>
          <w:szCs w:val="24"/>
        </w:rPr>
        <w:t>), has not been previously reported</w:t>
      </w:r>
      <w:r>
        <w:rPr>
          <w:rFonts w:ascii="Bookman Old Style" w:hAnsi="Bookman Old Style" w:cs="Arial"/>
          <w:color w:val="auto"/>
          <w:sz w:val="24"/>
          <w:szCs w:val="24"/>
        </w:rPr>
        <w:t xml:space="preserve">. </w:t>
      </w:r>
      <w:r w:rsidRPr="00960F59">
        <w:rPr>
          <w:rFonts w:ascii="Bookman Old Style" w:hAnsi="Bookman Old Style" w:cs="Arial"/>
          <w:color w:val="auto"/>
          <w:sz w:val="24"/>
          <w:szCs w:val="24"/>
        </w:rPr>
        <w:t>This single nucleotide polymorphism (SNP) caus</w:t>
      </w:r>
      <w:r>
        <w:rPr>
          <w:rFonts w:ascii="Bookman Old Style" w:hAnsi="Bookman Old Style" w:cs="Arial"/>
          <w:color w:val="auto"/>
          <w:sz w:val="24"/>
          <w:szCs w:val="24"/>
        </w:rPr>
        <w:t>es</w:t>
      </w:r>
      <w:r w:rsidRPr="00960F59">
        <w:rPr>
          <w:rFonts w:ascii="Bookman Old Style" w:hAnsi="Bookman Old Style" w:cs="Arial"/>
          <w:color w:val="auto"/>
          <w:sz w:val="24"/>
          <w:szCs w:val="24"/>
        </w:rPr>
        <w:t xml:space="preserve"> a missense </w:t>
      </w:r>
      <w:r>
        <w:rPr>
          <w:rFonts w:ascii="Bookman Old Style" w:hAnsi="Bookman Old Style" w:cs="Arial"/>
          <w:color w:val="auto"/>
          <w:sz w:val="24"/>
          <w:szCs w:val="24"/>
        </w:rPr>
        <w:t>mutation (</w:t>
      </w:r>
      <w:r w:rsidRPr="00960F59">
        <w:rPr>
          <w:rFonts w:ascii="Bookman Old Style" w:hAnsi="Bookman Old Style" w:cs="Arial"/>
          <w:color w:val="auto"/>
          <w:sz w:val="24"/>
          <w:szCs w:val="24"/>
        </w:rPr>
        <w:t xml:space="preserve">A </w:t>
      </w:r>
      <w:r>
        <w:rPr>
          <w:rFonts w:ascii="Bookman Old Style" w:hAnsi="Bookman Old Style" w:cs="Arial"/>
          <w:color w:val="auto"/>
          <w:sz w:val="24"/>
          <w:szCs w:val="24"/>
        </w:rPr>
        <w:t>to</w:t>
      </w:r>
      <w:r w:rsidRPr="00960F59">
        <w:rPr>
          <w:rFonts w:ascii="Bookman Old Style" w:hAnsi="Bookman Old Style" w:cs="Arial"/>
          <w:color w:val="auto"/>
          <w:sz w:val="24"/>
          <w:szCs w:val="24"/>
        </w:rPr>
        <w:t xml:space="preserve"> G base </w:t>
      </w:r>
      <w:r>
        <w:rPr>
          <w:rFonts w:ascii="Bookman Old Style" w:hAnsi="Bookman Old Style" w:cs="Arial"/>
          <w:color w:val="auto"/>
          <w:sz w:val="24"/>
          <w:szCs w:val="24"/>
        </w:rPr>
        <w:t>change (</w:t>
      </w:r>
      <w:r w:rsidRPr="00960F59">
        <w:rPr>
          <w:rFonts w:ascii="Bookman Old Style" w:hAnsi="Bookman Old Style" w:cs="Arial"/>
          <w:color w:val="auto"/>
          <w:sz w:val="24"/>
          <w:szCs w:val="24"/>
        </w:rPr>
        <w:t xml:space="preserve">T </w:t>
      </w:r>
      <w:r>
        <w:rPr>
          <w:rFonts w:ascii="Bookman Old Style" w:hAnsi="Bookman Old Style" w:cs="Arial"/>
          <w:color w:val="auto"/>
          <w:sz w:val="24"/>
          <w:szCs w:val="24"/>
        </w:rPr>
        <w:t>to</w:t>
      </w:r>
      <w:r w:rsidRPr="00960F59">
        <w:rPr>
          <w:rFonts w:ascii="Bookman Old Style" w:hAnsi="Bookman Old Style" w:cs="Arial"/>
          <w:color w:val="auto"/>
          <w:sz w:val="24"/>
          <w:szCs w:val="24"/>
        </w:rPr>
        <w:t xml:space="preserve"> C on the complementary </w:t>
      </w:r>
      <w:r w:rsidRPr="00110088">
        <w:rPr>
          <w:rFonts w:ascii="Bookman Old Style" w:hAnsi="Bookman Old Style" w:cs="Arial"/>
          <w:color w:val="auto"/>
          <w:sz w:val="24"/>
          <w:szCs w:val="24"/>
        </w:rPr>
        <w:t>strand</w:t>
      </w:r>
      <w:r>
        <w:rPr>
          <w:rFonts w:ascii="Bookman Old Style" w:hAnsi="Bookman Old Style" w:cs="Arial"/>
          <w:color w:val="auto"/>
          <w:sz w:val="24"/>
          <w:szCs w:val="24"/>
        </w:rPr>
        <w:t>)</w:t>
      </w:r>
      <w:r w:rsidRPr="00110088">
        <w:rPr>
          <w:rFonts w:ascii="Bookman Old Style" w:hAnsi="Bookman Old Style" w:cs="Arial"/>
          <w:color w:val="auto"/>
          <w:sz w:val="24"/>
          <w:szCs w:val="24"/>
        </w:rPr>
        <w:t xml:space="preserve"> in chromosome </w:t>
      </w:r>
      <w:r w:rsidRPr="00960F59">
        <w:rPr>
          <w:rFonts w:ascii="Bookman Old Style" w:hAnsi="Bookman Old Style" w:cs="Arial"/>
          <w:color w:val="auto"/>
          <w:sz w:val="24"/>
          <w:szCs w:val="24"/>
        </w:rPr>
        <w:t xml:space="preserve">1: 173873157) </w:t>
      </w:r>
      <w:r>
        <w:rPr>
          <w:rFonts w:ascii="Bookman Old Style" w:hAnsi="Bookman Old Style" w:cs="Arial"/>
          <w:color w:val="auto"/>
          <w:sz w:val="24"/>
          <w:szCs w:val="24"/>
        </w:rPr>
        <w:t>i</w:t>
      </w:r>
      <w:r w:rsidRPr="00960F59">
        <w:rPr>
          <w:rFonts w:ascii="Bookman Old Style" w:hAnsi="Bookman Old Style" w:cs="Arial"/>
          <w:color w:val="auto"/>
          <w:sz w:val="24"/>
          <w:szCs w:val="24"/>
        </w:rPr>
        <w:t xml:space="preserve">n exon 7 of the SERPINC1 gene. This results in </w:t>
      </w:r>
      <w:r>
        <w:rPr>
          <w:rFonts w:ascii="Bookman Old Style" w:hAnsi="Bookman Old Style" w:cs="Arial"/>
          <w:color w:val="auto"/>
          <w:sz w:val="24"/>
          <w:szCs w:val="24"/>
        </w:rPr>
        <w:t>an</w:t>
      </w:r>
      <w:r w:rsidRPr="00960F59">
        <w:rPr>
          <w:rFonts w:ascii="Bookman Old Style" w:hAnsi="Bookman Old Style" w:cs="Arial"/>
          <w:color w:val="auto"/>
          <w:sz w:val="24"/>
          <w:szCs w:val="24"/>
        </w:rPr>
        <w:t xml:space="preserve"> </w:t>
      </w:r>
      <w:r>
        <w:rPr>
          <w:rFonts w:ascii="Bookman Old Style" w:hAnsi="Bookman Old Style" w:cs="Arial"/>
          <w:color w:val="auto"/>
          <w:sz w:val="24"/>
          <w:szCs w:val="24"/>
        </w:rPr>
        <w:t>amino acid change of</w:t>
      </w:r>
      <w:r w:rsidRPr="00960F59">
        <w:rPr>
          <w:rFonts w:ascii="Bookman Old Style" w:hAnsi="Bookman Old Style" w:cs="Arial"/>
          <w:color w:val="auto"/>
          <w:sz w:val="24"/>
          <w:szCs w:val="24"/>
        </w:rPr>
        <w:t xml:space="preserve"> isoleucine </w:t>
      </w:r>
      <w:r>
        <w:rPr>
          <w:rFonts w:ascii="Bookman Old Style" w:hAnsi="Bookman Old Style" w:cs="Arial"/>
          <w:color w:val="auto"/>
          <w:sz w:val="24"/>
          <w:szCs w:val="24"/>
        </w:rPr>
        <w:t>to</w:t>
      </w:r>
      <w:r w:rsidRPr="00960F59">
        <w:rPr>
          <w:rFonts w:ascii="Bookman Old Style" w:hAnsi="Bookman Old Style" w:cs="Arial"/>
          <w:color w:val="auto"/>
          <w:sz w:val="24"/>
          <w:szCs w:val="24"/>
        </w:rPr>
        <w:t xml:space="preserve"> threonine in position 422 of </w:t>
      </w:r>
      <w:proofErr w:type="spellStart"/>
      <w:r w:rsidRPr="00960F59">
        <w:rPr>
          <w:rFonts w:ascii="Bookman Old Style" w:hAnsi="Bookman Old Style" w:cs="Arial"/>
          <w:color w:val="auto"/>
          <w:sz w:val="24"/>
          <w:szCs w:val="24"/>
        </w:rPr>
        <w:t>antithrombin</w:t>
      </w:r>
      <w:proofErr w:type="spellEnd"/>
      <w:r w:rsidRPr="00960F59">
        <w:rPr>
          <w:rFonts w:ascii="Bookman Old Style" w:hAnsi="Bookman Old Style" w:cs="Arial"/>
          <w:color w:val="auto"/>
          <w:sz w:val="24"/>
          <w:szCs w:val="24"/>
        </w:rPr>
        <w:t xml:space="preserve"> III (ATIII) (NP_000479.1). </w:t>
      </w:r>
      <w:r>
        <w:rPr>
          <w:rFonts w:ascii="Bookman Old Style" w:hAnsi="Bookman Old Style" w:cs="Arial"/>
          <w:color w:val="auto"/>
          <w:sz w:val="24"/>
          <w:szCs w:val="24"/>
        </w:rPr>
        <w:t>T</w:t>
      </w:r>
      <w:r w:rsidRPr="00960F59">
        <w:rPr>
          <w:rFonts w:ascii="Bookman Old Style" w:hAnsi="Bookman Old Style" w:cs="Arial"/>
          <w:color w:val="auto"/>
          <w:sz w:val="24"/>
          <w:szCs w:val="24"/>
        </w:rPr>
        <w:t>his genom</w:t>
      </w:r>
      <w:r>
        <w:rPr>
          <w:rFonts w:ascii="Bookman Old Style" w:hAnsi="Bookman Old Style" w:cs="Arial"/>
          <w:color w:val="auto"/>
          <w:sz w:val="24"/>
          <w:szCs w:val="24"/>
        </w:rPr>
        <w:t>ic</w:t>
      </w:r>
      <w:r w:rsidRPr="00960F59">
        <w:rPr>
          <w:rFonts w:ascii="Bookman Old Style" w:hAnsi="Bookman Old Style" w:cs="Arial"/>
          <w:color w:val="auto"/>
          <w:sz w:val="24"/>
          <w:szCs w:val="24"/>
        </w:rPr>
        <w:t xml:space="preserve"> mutation was subsequently verified by direct Sanger</w:t>
      </w:r>
      <w:r>
        <w:rPr>
          <w:rFonts w:ascii="Bookman Old Style" w:hAnsi="Bookman Old Style" w:cs="Arial"/>
          <w:color w:val="auto"/>
          <w:sz w:val="24"/>
          <w:szCs w:val="24"/>
        </w:rPr>
        <w:t xml:space="preserve"> </w:t>
      </w:r>
      <w:r w:rsidRPr="00960F59">
        <w:rPr>
          <w:rFonts w:ascii="Bookman Old Style" w:hAnsi="Bookman Old Style" w:cs="Arial"/>
          <w:color w:val="auto"/>
          <w:sz w:val="24"/>
          <w:szCs w:val="24"/>
        </w:rPr>
        <w:t xml:space="preserve">sequencing of </w:t>
      </w:r>
      <w:r>
        <w:rPr>
          <w:rFonts w:ascii="Bookman Old Style" w:hAnsi="Bookman Old Style" w:cs="Arial"/>
          <w:color w:val="auto"/>
          <w:sz w:val="24"/>
          <w:szCs w:val="24"/>
        </w:rPr>
        <w:t xml:space="preserve">both the </w:t>
      </w:r>
      <w:r w:rsidRPr="00960F59">
        <w:rPr>
          <w:rFonts w:ascii="Bookman Old Style" w:hAnsi="Bookman Old Style" w:cs="Arial"/>
          <w:color w:val="auto"/>
          <w:sz w:val="24"/>
          <w:szCs w:val="24"/>
        </w:rPr>
        <w:t xml:space="preserve">patient’s </w:t>
      </w:r>
      <w:r>
        <w:rPr>
          <w:rFonts w:ascii="Bookman Old Style" w:hAnsi="Bookman Old Style" w:cs="Arial"/>
          <w:color w:val="auto"/>
          <w:sz w:val="24"/>
          <w:szCs w:val="24"/>
        </w:rPr>
        <w:t>DNA</w:t>
      </w:r>
      <w:r w:rsidRPr="00960F59">
        <w:rPr>
          <w:rFonts w:ascii="Bookman Old Style" w:hAnsi="Bookman Old Style" w:cs="Arial"/>
          <w:color w:val="auto"/>
          <w:sz w:val="24"/>
          <w:szCs w:val="24"/>
        </w:rPr>
        <w:t xml:space="preserve"> and mRNA transcription</w:t>
      </w:r>
      <w:r w:rsidRPr="007A5061">
        <w:rPr>
          <w:rFonts w:ascii="Bookman Old Style" w:hAnsi="Bookman Old Style" w:cs="Arial"/>
          <w:color w:val="auto"/>
          <w:sz w:val="24"/>
          <w:szCs w:val="24"/>
        </w:rPr>
        <w:t xml:space="preserve"> </w:t>
      </w:r>
      <w:r w:rsidRPr="00960F59">
        <w:rPr>
          <w:rFonts w:ascii="Bookman Old Style" w:hAnsi="Bookman Old Style" w:cs="Arial"/>
          <w:color w:val="auto"/>
          <w:sz w:val="24"/>
          <w:szCs w:val="24"/>
        </w:rPr>
        <w:t xml:space="preserve">of SERC1A </w:t>
      </w:r>
      <w:r>
        <w:rPr>
          <w:rFonts w:ascii="Bookman Old Style" w:hAnsi="Bookman Old Style" w:cs="Arial"/>
          <w:color w:val="auto"/>
          <w:sz w:val="24"/>
          <w:szCs w:val="24"/>
        </w:rPr>
        <w:t>from the patient’s liver sample</w:t>
      </w:r>
      <w:r w:rsidRPr="00960F59">
        <w:rPr>
          <w:rFonts w:ascii="Bookman Old Style" w:hAnsi="Bookman Old Style" w:cs="Arial"/>
          <w:color w:val="auto"/>
          <w:sz w:val="24"/>
          <w:szCs w:val="24"/>
        </w:rPr>
        <w:t xml:space="preserve"> (Fig</w:t>
      </w:r>
      <w:r>
        <w:rPr>
          <w:rFonts w:ascii="Bookman Old Style" w:hAnsi="Bookman Old Style" w:cs="Arial"/>
          <w:color w:val="auto"/>
          <w:sz w:val="24"/>
          <w:szCs w:val="24"/>
        </w:rPr>
        <w:t>ure</w:t>
      </w:r>
      <w:r w:rsidRPr="00960F59">
        <w:rPr>
          <w:rFonts w:ascii="Bookman Old Style" w:hAnsi="Bookman Old Style" w:cs="Arial"/>
          <w:color w:val="auto"/>
          <w:sz w:val="24"/>
          <w:szCs w:val="24"/>
        </w:rPr>
        <w:t xml:space="preserve"> 2). </w:t>
      </w:r>
    </w:p>
    <w:p w:rsidR="00096AD4" w:rsidRPr="00110088" w:rsidRDefault="00096AD4" w:rsidP="00096AD4">
      <w:pPr>
        <w:spacing w:after="0" w:line="480" w:lineRule="auto"/>
        <w:rPr>
          <w:rFonts w:ascii="Bookman Old Style" w:eastAsia="Times New Roman" w:hAnsi="Bookman Old Style"/>
          <w:color w:val="auto"/>
          <w:sz w:val="24"/>
          <w:szCs w:val="24"/>
        </w:rPr>
      </w:pPr>
      <w:r w:rsidRPr="003F3957">
        <w:rPr>
          <w:rFonts w:ascii="Bookman Old Style" w:hAnsi="Bookman Old Style" w:cs="Arial"/>
          <w:color w:val="auto"/>
          <w:sz w:val="24"/>
          <w:szCs w:val="24"/>
        </w:rPr>
        <w:t xml:space="preserve">The potential for this mutation having functional consequences was estimated using </w:t>
      </w:r>
      <w:r w:rsidRPr="003F3957">
        <w:rPr>
          <w:rFonts w:ascii="Bookman Old Style" w:hAnsi="Bookman Old Style" w:cs="Lucida Sans Unicode"/>
          <w:color w:val="auto"/>
          <w:sz w:val="24"/>
          <w:szCs w:val="24"/>
          <w:lang w:val="en"/>
        </w:rPr>
        <w:t xml:space="preserve">DUET, a web </w:t>
      </w:r>
      <w:r>
        <w:rPr>
          <w:rFonts w:ascii="Bookman Old Style" w:hAnsi="Bookman Old Style" w:cs="Lucida Sans Unicode"/>
          <w:color w:val="auto"/>
          <w:sz w:val="24"/>
          <w:szCs w:val="24"/>
          <w:lang w:val="en"/>
        </w:rPr>
        <w:t>based</w:t>
      </w:r>
      <w:r w:rsidRPr="003F3957">
        <w:rPr>
          <w:rFonts w:ascii="Bookman Old Style" w:hAnsi="Bookman Old Style" w:cs="Lucida Sans Unicode"/>
          <w:color w:val="auto"/>
          <w:sz w:val="24"/>
          <w:szCs w:val="24"/>
          <w:lang w:val="en"/>
        </w:rPr>
        <w:t xml:space="preserve"> computational </w:t>
      </w:r>
      <w:r>
        <w:rPr>
          <w:rFonts w:ascii="Bookman Old Style" w:hAnsi="Bookman Old Style" w:cs="Lucida Sans Unicode"/>
          <w:color w:val="auto"/>
          <w:sz w:val="24"/>
          <w:szCs w:val="24"/>
          <w:lang w:val="en"/>
        </w:rPr>
        <w:t>program</w:t>
      </w:r>
      <w:r w:rsidRPr="003F3957">
        <w:rPr>
          <w:rFonts w:ascii="Bookman Old Style" w:hAnsi="Bookman Old Style" w:cs="Lucida Sans Unicode"/>
          <w:color w:val="auto"/>
          <w:sz w:val="24"/>
          <w:szCs w:val="24"/>
          <w:lang w:val="en"/>
        </w:rPr>
        <w:t xml:space="preserve"> to study missense mutations in </w:t>
      </w:r>
      <w:r w:rsidRPr="003F3957">
        <w:rPr>
          <w:rFonts w:ascii="Bookman Old Style" w:hAnsi="Bookman Old Style" w:cs="Arial"/>
          <w:color w:val="auto"/>
          <w:sz w:val="24"/>
          <w:szCs w:val="24"/>
          <w:lang w:val="en"/>
        </w:rPr>
        <w:t>proteins</w:t>
      </w:r>
      <w:r>
        <w:rPr>
          <w:rFonts w:ascii="Bookman Old Style" w:hAnsi="Bookman Old Style" w:cs="Arial"/>
          <w:color w:val="auto"/>
          <w:sz w:val="24"/>
          <w:szCs w:val="24"/>
          <w:lang w:val="en"/>
        </w:rPr>
        <w:t xml:space="preserve"> (</w:t>
      </w:r>
      <w:r w:rsidRPr="005D325D">
        <w:rPr>
          <w:rFonts w:ascii="Bookman Old Style" w:hAnsi="Bookman Old Style" w:cs="Arial"/>
          <w:color w:val="auto"/>
          <w:sz w:val="24"/>
          <w:szCs w:val="24"/>
          <w:lang w:val="en"/>
        </w:rPr>
        <w:t>http://bleoberis.bioc.cam.ac.uk/duet/)</w:t>
      </w:r>
      <w:r w:rsidRPr="005D325D">
        <w:rPr>
          <w:rFonts w:ascii="Bookman Old Style" w:hAnsi="Bookman Old Style" w:cs="Lucida Sans Unicode"/>
          <w:color w:val="auto"/>
          <w:sz w:val="24"/>
          <w:szCs w:val="24"/>
          <w:lang w:val="en"/>
        </w:rPr>
        <w:t>.</w:t>
      </w:r>
      <w:r w:rsidRPr="003F3957">
        <w:rPr>
          <w:rFonts w:ascii="Bookman Old Style" w:hAnsi="Bookman Old Style" w:cs="Lucida Sans Unicode"/>
          <w:color w:val="auto"/>
          <w:sz w:val="24"/>
          <w:szCs w:val="24"/>
          <w:lang w:val="en"/>
        </w:rPr>
        <w:t xml:space="preserve"> </w:t>
      </w:r>
      <w:r w:rsidRPr="00C875E4">
        <w:rPr>
          <w:rFonts w:ascii="Bookman Old Style" w:hAnsi="Bookman Old Style" w:cs="Lucida Sans Unicode"/>
          <w:color w:val="000000" w:themeColor="text1"/>
          <w:sz w:val="24"/>
          <w:szCs w:val="24"/>
          <w:lang w:val="en"/>
        </w:rPr>
        <w:t>DUET uses two complementary approaches to mutation analysis (</w:t>
      </w:r>
      <w:proofErr w:type="spellStart"/>
      <w:r w:rsidRPr="00C875E4">
        <w:rPr>
          <w:rFonts w:ascii="Bookman Old Style" w:hAnsi="Bookman Old Style" w:cs="Lucida Sans Unicode"/>
          <w:color w:val="000000" w:themeColor="text1"/>
          <w:sz w:val="24"/>
          <w:szCs w:val="24"/>
          <w:lang w:val="en"/>
        </w:rPr>
        <w:t>mCSM</w:t>
      </w:r>
      <w:proofErr w:type="spellEnd"/>
      <w:r w:rsidRPr="00C875E4">
        <w:rPr>
          <w:rFonts w:ascii="Bookman Old Style" w:hAnsi="Bookman Old Style" w:cs="Lucida Sans Unicode"/>
          <w:color w:val="000000" w:themeColor="text1"/>
          <w:sz w:val="24"/>
          <w:szCs w:val="24"/>
          <w:lang w:val="en"/>
        </w:rPr>
        <w:t xml:space="preserve"> and SDM)</w:t>
      </w:r>
      <w:r>
        <w:rPr>
          <w:rFonts w:ascii="Bookman Old Style" w:hAnsi="Bookman Old Style" w:cs="Lucida Sans Unicode"/>
          <w:color w:val="000000" w:themeColor="text1"/>
          <w:sz w:val="24"/>
          <w:szCs w:val="24"/>
          <w:lang w:val="en"/>
        </w:rPr>
        <w:t>,</w:t>
      </w:r>
      <w:r w:rsidRPr="00C875E4">
        <w:rPr>
          <w:rFonts w:ascii="Bookman Old Style" w:hAnsi="Bookman Old Style" w:cs="Lucida Sans Unicode"/>
          <w:color w:val="000000" w:themeColor="text1"/>
          <w:sz w:val="24"/>
          <w:szCs w:val="24"/>
          <w:lang w:val="en"/>
        </w:rPr>
        <w:t xml:space="preserve"> resulting in a consensus</w:t>
      </w:r>
      <w:r>
        <w:rPr>
          <w:rFonts w:ascii="Bookman Old Style" w:hAnsi="Bookman Old Style" w:cs="Lucida Sans Unicode"/>
          <w:color w:val="000000" w:themeColor="text1"/>
          <w:sz w:val="24"/>
          <w:szCs w:val="24"/>
          <w:lang w:val="en"/>
        </w:rPr>
        <w:t xml:space="preserve"> prediction</w:t>
      </w:r>
      <w:r w:rsidRPr="003F3957">
        <w:rPr>
          <w:rFonts w:ascii="Bookman Old Style" w:hAnsi="Bookman Old Style" w:cs="Lucida Sans Unicode"/>
          <w:color w:val="auto"/>
          <w:sz w:val="24"/>
          <w:szCs w:val="24"/>
          <w:lang w:val="en"/>
        </w:rPr>
        <w:t xml:space="preserve"> obtained by using Support Vector Machines (SVM). We demonstrate</w:t>
      </w:r>
      <w:r>
        <w:rPr>
          <w:rFonts w:ascii="Bookman Old Style" w:hAnsi="Bookman Old Style" w:cs="Lucida Sans Unicode"/>
          <w:color w:val="auto"/>
          <w:sz w:val="24"/>
          <w:szCs w:val="24"/>
          <w:lang w:val="en"/>
        </w:rPr>
        <w:t>d</w:t>
      </w:r>
      <w:r w:rsidRPr="003F3957">
        <w:rPr>
          <w:rFonts w:ascii="Bookman Old Style" w:hAnsi="Bookman Old Style" w:cs="Lucida Sans Unicode"/>
          <w:color w:val="auto"/>
          <w:sz w:val="24"/>
          <w:szCs w:val="24"/>
          <w:lang w:val="en"/>
        </w:rPr>
        <w:t xml:space="preserve"> </w:t>
      </w:r>
      <w:r>
        <w:rPr>
          <w:rFonts w:ascii="Bookman Old Style" w:hAnsi="Bookman Old Style" w:cs="Lucida Sans Unicode"/>
          <w:color w:val="auto"/>
          <w:sz w:val="24"/>
          <w:szCs w:val="24"/>
          <w:lang w:val="en"/>
        </w:rPr>
        <w:t>that this</w:t>
      </w:r>
      <w:r w:rsidRPr="003F3957">
        <w:rPr>
          <w:rFonts w:ascii="Bookman Old Style" w:hAnsi="Bookman Old Style" w:cs="Lucida Sans Unicode"/>
          <w:color w:val="auto"/>
          <w:sz w:val="24"/>
          <w:szCs w:val="24"/>
          <w:lang w:val="en"/>
        </w:rPr>
        <w:t xml:space="preserve"> method uniformly predicted the destabilizing effects of the new mutation on ATIII </w:t>
      </w:r>
      <w:r w:rsidRPr="003F3957">
        <w:rPr>
          <w:rFonts w:ascii="Bookman Old Style" w:hAnsi="Bookman Old Style" w:cs="Arial"/>
          <w:color w:val="auto"/>
          <w:sz w:val="24"/>
          <w:szCs w:val="24"/>
        </w:rPr>
        <w:t>(Supplemental Fig</w:t>
      </w:r>
      <w:r>
        <w:rPr>
          <w:rFonts w:ascii="Bookman Old Style" w:hAnsi="Bookman Old Style" w:cs="Arial"/>
          <w:color w:val="auto"/>
          <w:sz w:val="24"/>
          <w:szCs w:val="24"/>
        </w:rPr>
        <w:t>ure</w:t>
      </w:r>
      <w:r w:rsidRPr="003F3957">
        <w:rPr>
          <w:rFonts w:ascii="Bookman Old Style" w:hAnsi="Bookman Old Style" w:cs="Arial"/>
          <w:color w:val="auto"/>
          <w:sz w:val="24"/>
          <w:szCs w:val="24"/>
        </w:rPr>
        <w:t xml:space="preserve"> 3).</w:t>
      </w:r>
    </w:p>
    <w:p w:rsidR="00096AD4" w:rsidRPr="00960F59" w:rsidRDefault="00096AD4" w:rsidP="00096AD4">
      <w:pPr>
        <w:pStyle w:val="TextBody"/>
        <w:spacing w:after="0" w:line="480" w:lineRule="auto"/>
        <w:rPr>
          <w:rFonts w:ascii="Bookman Old Style" w:hAnsi="Bookman Old Style" w:cs="Arial"/>
          <w:color w:val="auto"/>
        </w:rPr>
      </w:pPr>
      <w:r>
        <w:rPr>
          <w:rFonts w:ascii="Bookman Old Style" w:hAnsi="Bookman Old Style" w:cs="Arial"/>
          <w:color w:val="auto"/>
        </w:rPr>
        <w:lastRenderedPageBreak/>
        <w:t>Of</w:t>
      </w:r>
      <w:r w:rsidRPr="00960F59">
        <w:rPr>
          <w:rFonts w:ascii="Bookman Old Style" w:hAnsi="Bookman Old Style" w:cs="Arial"/>
          <w:color w:val="auto"/>
        </w:rPr>
        <w:t xml:space="preserve"> note </w:t>
      </w:r>
      <w:r>
        <w:rPr>
          <w:rFonts w:ascii="Bookman Old Style" w:hAnsi="Bookman Old Style" w:cs="Arial"/>
          <w:color w:val="auto"/>
        </w:rPr>
        <w:t xml:space="preserve">is </w:t>
      </w:r>
      <w:r w:rsidRPr="00960F59">
        <w:rPr>
          <w:rFonts w:ascii="Bookman Old Style" w:hAnsi="Bookman Old Style" w:cs="Arial"/>
          <w:color w:val="auto"/>
        </w:rPr>
        <w:t xml:space="preserve">that sequencing of the mRNA SERPINC1 reverse-transcript indicates allele-specific gene expression (i.e., presence of only </w:t>
      </w:r>
      <w:r>
        <w:rPr>
          <w:rFonts w:ascii="Bookman Old Style" w:hAnsi="Bookman Old Style" w:cs="Arial"/>
          <w:color w:val="auto"/>
        </w:rPr>
        <w:t xml:space="preserve">the </w:t>
      </w:r>
      <w:r w:rsidRPr="00960F59">
        <w:rPr>
          <w:rFonts w:ascii="Bookman Old Style" w:hAnsi="Bookman Old Style" w:cs="Arial"/>
          <w:color w:val="auto"/>
        </w:rPr>
        <w:t xml:space="preserve">alternate </w:t>
      </w:r>
      <w:r>
        <w:rPr>
          <w:rFonts w:ascii="Bookman Old Style" w:hAnsi="Bookman Old Style" w:cs="Arial"/>
          <w:color w:val="auto"/>
        </w:rPr>
        <w:t>base</w:t>
      </w:r>
      <w:r w:rsidRPr="00960F59">
        <w:rPr>
          <w:rFonts w:ascii="Bookman Old Style" w:hAnsi="Bookman Old Style" w:cs="Arial"/>
          <w:color w:val="auto"/>
        </w:rPr>
        <w:t xml:space="preserve"> in the </w:t>
      </w:r>
      <w:r>
        <w:rPr>
          <w:rFonts w:ascii="Bookman Old Style" w:hAnsi="Bookman Old Style" w:cs="Arial"/>
          <w:color w:val="auto"/>
        </w:rPr>
        <w:t xml:space="preserve">mRNA </w:t>
      </w:r>
      <w:r w:rsidRPr="00960F59">
        <w:rPr>
          <w:rFonts w:ascii="Bookman Old Style" w:hAnsi="Bookman Old Style" w:cs="Arial"/>
          <w:color w:val="auto"/>
        </w:rPr>
        <w:t>sequence</w:t>
      </w:r>
      <w:proofErr w:type="gramStart"/>
      <w:r w:rsidRPr="00960F59">
        <w:rPr>
          <w:rFonts w:ascii="Bookman Old Style" w:hAnsi="Bookman Old Style" w:cs="Arial"/>
          <w:color w:val="auto"/>
        </w:rPr>
        <w:t>)</w:t>
      </w:r>
      <w:r w:rsidR="00E75F8E" w:rsidRPr="00E75F8E">
        <w:rPr>
          <w:rFonts w:ascii="Bookman Old Style" w:hAnsi="Bookman Old Style" w:cs="Arial"/>
          <w:color w:val="auto"/>
          <w:vertAlign w:val="superscript"/>
        </w:rPr>
        <w:t>2</w:t>
      </w:r>
      <w:proofErr w:type="gramEnd"/>
      <w:r w:rsidRPr="00960F59">
        <w:rPr>
          <w:rFonts w:ascii="Bookman Old Style" w:hAnsi="Bookman Old Style" w:cs="Arial"/>
          <w:color w:val="auto"/>
        </w:rPr>
        <w:t xml:space="preserve">. No other potentially damaging variants were observed in </w:t>
      </w:r>
      <w:r>
        <w:rPr>
          <w:rFonts w:ascii="Bookman Old Style" w:hAnsi="Bookman Old Style" w:cs="Arial"/>
          <w:color w:val="auto"/>
        </w:rPr>
        <w:t>any coagulation pathway genes</w:t>
      </w:r>
      <w:r w:rsidRPr="00960F59">
        <w:rPr>
          <w:rFonts w:ascii="Bookman Old Style" w:hAnsi="Bookman Old Style" w:cs="Arial"/>
          <w:color w:val="auto"/>
        </w:rPr>
        <w:t xml:space="preserve"> (Table 2).</w:t>
      </w:r>
    </w:p>
    <w:p w:rsidR="00096AD4" w:rsidRPr="00960F59" w:rsidRDefault="00096AD4" w:rsidP="00096AD4">
      <w:pPr>
        <w:spacing w:after="0" w:line="480" w:lineRule="auto"/>
        <w:rPr>
          <w:rFonts w:ascii="Bookman Old Style" w:hAnsi="Bookman Old Style" w:cs="Arial"/>
          <w:color w:val="auto"/>
          <w:sz w:val="24"/>
          <w:szCs w:val="24"/>
        </w:rPr>
      </w:pPr>
    </w:p>
    <w:p w:rsidR="00096AD4" w:rsidRPr="008A5ED4" w:rsidRDefault="00E75F8E" w:rsidP="00096AD4">
      <w:pPr>
        <w:pStyle w:val="EndNoteBibliography"/>
        <w:spacing w:after="0"/>
        <w:ind w:left="720" w:hanging="720"/>
      </w:pPr>
      <w:r>
        <w:t>1</w:t>
      </w:r>
      <w:r w:rsidR="00096AD4" w:rsidRPr="008A5ED4">
        <w:t>.</w:t>
      </w:r>
      <w:r w:rsidR="00096AD4" w:rsidRPr="008A5ED4">
        <w:tab/>
        <w:t>Li H, Durbin R. Fast and accurate short read alignment with Burrows-Wheeler transform. Bioinformatics 2009;25:1754-60.</w:t>
      </w:r>
    </w:p>
    <w:p w:rsidR="00096AD4" w:rsidRPr="008A5ED4" w:rsidRDefault="00E75F8E" w:rsidP="00096AD4">
      <w:pPr>
        <w:pStyle w:val="EndNoteBibliography"/>
        <w:spacing w:after="0"/>
        <w:ind w:left="720" w:hanging="720"/>
      </w:pPr>
      <w:r>
        <w:t>2</w:t>
      </w:r>
      <w:r w:rsidR="00096AD4" w:rsidRPr="008A5ED4">
        <w:t>.</w:t>
      </w:r>
      <w:r w:rsidR="00096AD4" w:rsidRPr="008A5ED4">
        <w:tab/>
        <w:t>Buckland PR. Allele-specific gene expression differences in humans. Human molecular genetics 2004;13 Spec No 2:R255-60.</w:t>
      </w:r>
    </w:p>
    <w:p w:rsidR="00507D62" w:rsidRDefault="00507D62"/>
    <w:sectPr w:rsidR="00507D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AD4"/>
    <w:rsid w:val="00096AD4"/>
    <w:rsid w:val="00507D62"/>
    <w:rsid w:val="00E7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AD4"/>
    <w:pPr>
      <w:suppressAutoHyphens/>
    </w:pPr>
    <w:rPr>
      <w:rFonts w:ascii="Calibri" w:eastAsia="Droid Sans Fallback" w:hAnsi="Calibri" w:cs="Times New Roman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dy">
    <w:name w:val="Text Body"/>
    <w:basedOn w:val="Normal"/>
    <w:link w:val="TextBodyChar"/>
    <w:rsid w:val="00096AD4"/>
    <w:pPr>
      <w:widowControl w:val="0"/>
      <w:spacing w:after="140" w:line="288" w:lineRule="auto"/>
    </w:pPr>
    <w:rPr>
      <w:rFonts w:ascii="Liberation Serif" w:hAnsi="Liberation Serif" w:cs="FreeSans"/>
      <w:sz w:val="24"/>
      <w:szCs w:val="24"/>
      <w:lang w:eastAsia="zh-CN" w:bidi="hi-IN"/>
    </w:rPr>
  </w:style>
  <w:style w:type="character" w:customStyle="1" w:styleId="TextBodyChar">
    <w:name w:val="Text Body Char"/>
    <w:basedOn w:val="DefaultParagraphFont"/>
    <w:link w:val="TextBody"/>
    <w:rsid w:val="00096AD4"/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  <w:style w:type="paragraph" w:customStyle="1" w:styleId="EndNoteBibliography">
    <w:name w:val="EndNote Bibliography"/>
    <w:basedOn w:val="Normal"/>
    <w:link w:val="EndNoteBibliographyChar"/>
    <w:rsid w:val="00096AD4"/>
    <w:pPr>
      <w:spacing w:line="480" w:lineRule="auto"/>
    </w:pPr>
    <w:rPr>
      <w:rFonts w:ascii="Bookman Old Style" w:hAnsi="Bookman Old Style" w:cs="Calibri"/>
      <w:noProof/>
      <w:sz w:val="24"/>
      <w:szCs w:val="24"/>
      <w:lang w:eastAsia="zh-CN" w:bidi="hi-IN"/>
    </w:rPr>
  </w:style>
  <w:style w:type="character" w:customStyle="1" w:styleId="EndNoteBibliographyChar">
    <w:name w:val="EndNote Bibliography Char"/>
    <w:basedOn w:val="TextBodyChar"/>
    <w:link w:val="EndNoteBibliography"/>
    <w:rsid w:val="00096AD4"/>
    <w:rPr>
      <w:rFonts w:ascii="Bookman Old Style" w:eastAsia="Droid Sans Fallback" w:hAnsi="Bookman Old Style" w:cs="Calibri"/>
      <w:noProof/>
      <w:color w:val="00000A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AD4"/>
    <w:pPr>
      <w:suppressAutoHyphens/>
    </w:pPr>
    <w:rPr>
      <w:rFonts w:ascii="Calibri" w:eastAsia="Droid Sans Fallback" w:hAnsi="Calibri" w:cs="Times New Roman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dy">
    <w:name w:val="Text Body"/>
    <w:basedOn w:val="Normal"/>
    <w:link w:val="TextBodyChar"/>
    <w:rsid w:val="00096AD4"/>
    <w:pPr>
      <w:widowControl w:val="0"/>
      <w:spacing w:after="140" w:line="288" w:lineRule="auto"/>
    </w:pPr>
    <w:rPr>
      <w:rFonts w:ascii="Liberation Serif" w:hAnsi="Liberation Serif" w:cs="FreeSans"/>
      <w:sz w:val="24"/>
      <w:szCs w:val="24"/>
      <w:lang w:eastAsia="zh-CN" w:bidi="hi-IN"/>
    </w:rPr>
  </w:style>
  <w:style w:type="character" w:customStyle="1" w:styleId="TextBodyChar">
    <w:name w:val="Text Body Char"/>
    <w:basedOn w:val="DefaultParagraphFont"/>
    <w:link w:val="TextBody"/>
    <w:rsid w:val="00096AD4"/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  <w:style w:type="paragraph" w:customStyle="1" w:styleId="EndNoteBibliography">
    <w:name w:val="EndNote Bibliography"/>
    <w:basedOn w:val="Normal"/>
    <w:link w:val="EndNoteBibliographyChar"/>
    <w:rsid w:val="00096AD4"/>
    <w:pPr>
      <w:spacing w:line="480" w:lineRule="auto"/>
    </w:pPr>
    <w:rPr>
      <w:rFonts w:ascii="Bookman Old Style" w:hAnsi="Bookman Old Style" w:cs="Calibri"/>
      <w:noProof/>
      <w:sz w:val="24"/>
      <w:szCs w:val="24"/>
      <w:lang w:eastAsia="zh-CN" w:bidi="hi-IN"/>
    </w:rPr>
  </w:style>
  <w:style w:type="character" w:customStyle="1" w:styleId="EndNoteBibliographyChar">
    <w:name w:val="EndNote Bibliography Char"/>
    <w:basedOn w:val="TextBodyChar"/>
    <w:link w:val="EndNoteBibliography"/>
    <w:rsid w:val="00096AD4"/>
    <w:rPr>
      <w:rFonts w:ascii="Bookman Old Style" w:eastAsia="Droid Sans Fallback" w:hAnsi="Bookman Old Style" w:cs="Calibri"/>
      <w:noProof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Hershey Medical Center</Company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2016-05-26T21:59:00Z</dcterms:created>
  <dcterms:modified xsi:type="dcterms:W3CDTF">2016-06-01T20:31:00Z</dcterms:modified>
</cp:coreProperties>
</file>