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FC" w:rsidRPr="0053241E" w:rsidRDefault="009743FC" w:rsidP="009743FC">
      <w:pPr>
        <w:spacing w:line="480" w:lineRule="auto"/>
        <w:rPr>
          <w:b/>
        </w:rPr>
      </w:pPr>
      <w:r>
        <w:rPr>
          <w:b/>
        </w:rPr>
        <w:t>Appendix 2</w:t>
      </w:r>
      <w:r w:rsidRPr="0053241E">
        <w:rPr>
          <w:b/>
        </w:rPr>
        <w:t xml:space="preserve">. </w:t>
      </w:r>
      <w:r w:rsidRPr="0053241E">
        <w:t>Number</w:t>
      </w:r>
      <w:r w:rsidRPr="0053241E">
        <w:rPr>
          <w:b/>
        </w:rPr>
        <w:t xml:space="preserve"> </w:t>
      </w:r>
      <w:r w:rsidRPr="0053241E">
        <w:t>of iterations required before complete consensus was attained</w:t>
      </w:r>
    </w:p>
    <w:tbl>
      <w:tblPr>
        <w:tblStyle w:val="TableGrid"/>
        <w:tblpPr w:leftFromText="180" w:rightFromText="180" w:vertAnchor="text" w:horzAnchor="page" w:tblpX="1700" w:tblpY="15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3701"/>
      </w:tblGrid>
      <w:tr w:rsidR="009743FC" w:rsidRPr="00483FD0" w:rsidTr="00CC210A">
        <w:tc>
          <w:tcPr>
            <w:tcW w:w="4939" w:type="dxa"/>
            <w:tcBorders>
              <w:bottom w:val="single" w:sz="4" w:space="0" w:color="000000"/>
            </w:tcBorders>
          </w:tcPr>
          <w:p w:rsidR="009743FC" w:rsidRPr="00483FD0" w:rsidRDefault="009743FC" w:rsidP="00CC210A">
            <w:pPr>
              <w:spacing w:before="90" w:after="90"/>
              <w:outlineLvl w:val="0"/>
              <w:rPr>
                <w:b/>
              </w:rPr>
            </w:pPr>
            <w:r w:rsidRPr="00483FD0">
              <w:rPr>
                <w:b/>
              </w:rPr>
              <w:t>Question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</w:tcPr>
          <w:p w:rsidR="009743FC" w:rsidRPr="00483FD0" w:rsidRDefault="009743FC" w:rsidP="00CC210A">
            <w:pPr>
              <w:spacing w:before="90" w:after="90"/>
              <w:outlineLvl w:val="0"/>
              <w:rPr>
                <w:b/>
              </w:rPr>
            </w:pPr>
            <w:r w:rsidRPr="00483FD0">
              <w:rPr>
                <w:b/>
              </w:rPr>
              <w:t>Number of Revisions</w:t>
            </w:r>
          </w:p>
        </w:tc>
      </w:tr>
      <w:tr w:rsidR="009743FC" w:rsidRPr="00483FD0" w:rsidTr="00CC210A">
        <w:tc>
          <w:tcPr>
            <w:tcW w:w="4939" w:type="dxa"/>
            <w:tcBorders>
              <w:top w:val="single" w:sz="4" w:space="0" w:color="000000"/>
            </w:tcBorders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Indications</w:t>
            </w:r>
          </w:p>
        </w:tc>
        <w:tc>
          <w:tcPr>
            <w:tcW w:w="3701" w:type="dxa"/>
            <w:tcBorders>
              <w:top w:val="single" w:sz="4" w:space="0" w:color="000000"/>
            </w:tcBorders>
          </w:tcPr>
          <w:p w:rsidR="009743FC" w:rsidRPr="00483FD0" w:rsidRDefault="009743FC" w:rsidP="00CC210A">
            <w:pPr>
              <w:spacing w:before="90" w:after="90"/>
              <w:outlineLvl w:val="0"/>
            </w:pPr>
            <w:r>
              <w:t>4</w:t>
            </w:r>
          </w:p>
        </w:tc>
      </w:tr>
      <w:tr w:rsidR="009743FC" w:rsidRPr="00483FD0" w:rsidTr="00CC210A">
        <w:tc>
          <w:tcPr>
            <w:tcW w:w="4939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Contraindications</w:t>
            </w:r>
          </w:p>
        </w:tc>
        <w:tc>
          <w:tcPr>
            <w:tcW w:w="3701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>
              <w:t>5</w:t>
            </w:r>
          </w:p>
        </w:tc>
      </w:tr>
      <w:tr w:rsidR="009743FC" w:rsidRPr="00483FD0" w:rsidTr="00CC210A">
        <w:tc>
          <w:tcPr>
            <w:tcW w:w="4939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 xml:space="preserve">Dose-Response Relationship </w:t>
            </w:r>
          </w:p>
        </w:tc>
        <w:tc>
          <w:tcPr>
            <w:tcW w:w="3701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1</w:t>
            </w:r>
          </w:p>
        </w:tc>
      </w:tr>
      <w:tr w:rsidR="009743FC" w:rsidRPr="00483FD0" w:rsidTr="00CC210A">
        <w:tc>
          <w:tcPr>
            <w:tcW w:w="4939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Oral N-Methyl-D-Aspartate Receptor Antagonist Follow-up</w:t>
            </w:r>
          </w:p>
        </w:tc>
        <w:tc>
          <w:tcPr>
            <w:tcW w:w="3701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1</w:t>
            </w:r>
          </w:p>
        </w:tc>
      </w:tr>
      <w:tr w:rsidR="009743FC" w:rsidRPr="00483FD0" w:rsidTr="00CC210A">
        <w:tc>
          <w:tcPr>
            <w:tcW w:w="4939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Pre-Infusion Testing</w:t>
            </w:r>
          </w:p>
        </w:tc>
        <w:tc>
          <w:tcPr>
            <w:tcW w:w="3701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>
              <w:t>3</w:t>
            </w:r>
          </w:p>
        </w:tc>
      </w:tr>
      <w:tr w:rsidR="009743FC" w:rsidRPr="00483FD0" w:rsidTr="00CC210A">
        <w:tc>
          <w:tcPr>
            <w:tcW w:w="4939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Personnel for Administering and Monitoring Treatment</w:t>
            </w:r>
          </w:p>
        </w:tc>
        <w:tc>
          <w:tcPr>
            <w:tcW w:w="3701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 xml:space="preserve">&gt; </w:t>
            </w:r>
            <w:r>
              <w:t>5</w:t>
            </w:r>
          </w:p>
        </w:tc>
      </w:tr>
      <w:tr w:rsidR="009743FC" w:rsidRPr="00483FD0" w:rsidTr="00CC210A">
        <w:tc>
          <w:tcPr>
            <w:tcW w:w="4939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Preemptive and Rescue Medications</w:t>
            </w:r>
          </w:p>
        </w:tc>
        <w:tc>
          <w:tcPr>
            <w:tcW w:w="3701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1</w:t>
            </w:r>
          </w:p>
        </w:tc>
      </w:tr>
      <w:tr w:rsidR="009743FC" w:rsidRPr="00483FD0" w:rsidTr="00CC210A">
        <w:tc>
          <w:tcPr>
            <w:tcW w:w="4939" w:type="dxa"/>
          </w:tcPr>
          <w:p w:rsidR="009743FC" w:rsidRPr="00483FD0" w:rsidRDefault="009743FC" w:rsidP="00CC210A">
            <w:pPr>
              <w:spacing w:before="90" w:after="90"/>
              <w:outlineLvl w:val="0"/>
            </w:pPr>
            <w:r w:rsidRPr="00483FD0">
              <w:t>Positive Treatment Response</w:t>
            </w:r>
          </w:p>
        </w:tc>
        <w:tc>
          <w:tcPr>
            <w:tcW w:w="3701" w:type="dxa"/>
          </w:tcPr>
          <w:p w:rsidR="009743FC" w:rsidRDefault="009743FC" w:rsidP="00CC210A">
            <w:pPr>
              <w:spacing w:before="90" w:after="90"/>
              <w:outlineLvl w:val="0"/>
            </w:pPr>
            <w:r>
              <w:t>2</w:t>
            </w:r>
          </w:p>
          <w:p w:rsidR="009743FC" w:rsidRPr="00483FD0" w:rsidRDefault="009743FC" w:rsidP="00CC210A">
            <w:pPr>
              <w:spacing w:before="90" w:after="90"/>
              <w:outlineLvl w:val="0"/>
            </w:pPr>
          </w:p>
        </w:tc>
      </w:tr>
    </w:tbl>
    <w:p w:rsidR="002B4005" w:rsidRDefault="002B4005">
      <w:bookmarkStart w:id="0" w:name="_GoBack"/>
      <w:bookmarkEnd w:id="0"/>
    </w:p>
    <w:sectPr w:rsidR="002B4005" w:rsidSect="009743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FC"/>
    <w:rsid w:val="002B4005"/>
    <w:rsid w:val="009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A6C2D-DB61-4FA1-88E8-607C4F8C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3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3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Ullman, Naomi</dc:creator>
  <cp:keywords/>
  <dc:description/>
  <cp:lastModifiedBy>Ullman, Naomi</cp:lastModifiedBy>
  <cp:revision>1</cp:revision>
  <dcterms:created xsi:type="dcterms:W3CDTF">2018-04-17T13:56:00Z</dcterms:created>
  <dcterms:modified xsi:type="dcterms:W3CDTF">2018-04-17T13:57:00Z</dcterms:modified>
</cp:coreProperties>
</file>