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76" w:rsidRPr="00D43B76" w:rsidRDefault="00D43B76" w:rsidP="00D43B76">
      <w:pPr>
        <w:pStyle w:val="BodyText"/>
        <w:spacing w:line="480" w:lineRule="auto"/>
        <w:ind w:left="90"/>
        <w:rPr>
          <w:sz w:val="28"/>
          <w:szCs w:val="24"/>
        </w:rPr>
      </w:pPr>
      <w:r w:rsidRPr="00D43B76">
        <w:rPr>
          <w:sz w:val="28"/>
          <w:szCs w:val="24"/>
        </w:rPr>
        <w:t>Supplemental Digital Table 1</w:t>
      </w:r>
    </w:p>
    <w:p w:rsidR="00D43B76" w:rsidRDefault="00D43B76" w:rsidP="00D43B76">
      <w:pPr>
        <w:pStyle w:val="BodyText"/>
        <w:spacing w:line="480" w:lineRule="auto"/>
        <w:ind w:left="90"/>
        <w:rPr>
          <w:szCs w:val="24"/>
        </w:rPr>
      </w:pPr>
      <w:r w:rsidRPr="00633CC5">
        <w:rPr>
          <w:b/>
        </w:rPr>
        <w:t>Third</w:t>
      </w:r>
      <w:r w:rsidRPr="006748CD">
        <w:rPr>
          <w:b/>
        </w:rPr>
        <w:t>-Year Medical Stud</w:t>
      </w:r>
      <w:r>
        <w:rPr>
          <w:b/>
        </w:rPr>
        <w:t>ent Evaluations a</w:t>
      </w:r>
      <w:r w:rsidRPr="006748CD">
        <w:rPr>
          <w:b/>
        </w:rPr>
        <w:t xml:space="preserve">nd Patient Case Distribution </w:t>
      </w:r>
      <w:r>
        <w:rPr>
          <w:b/>
        </w:rPr>
        <w:t>f</w:t>
      </w:r>
      <w:r w:rsidRPr="006748CD">
        <w:rPr>
          <w:b/>
        </w:rPr>
        <w:t xml:space="preserve">or </w:t>
      </w:r>
      <w:r>
        <w:rPr>
          <w:b/>
        </w:rPr>
        <w:t>the Portion o</w:t>
      </w:r>
      <w:r w:rsidRPr="006748CD">
        <w:rPr>
          <w:b/>
        </w:rPr>
        <w:t>f Their Clerkship Spent</w:t>
      </w:r>
      <w:r>
        <w:t xml:space="preserve"> </w:t>
      </w:r>
      <w:r>
        <w:rPr>
          <w:b/>
        </w:rPr>
        <w:t>o</w:t>
      </w:r>
      <w:r w:rsidRPr="009A4BBB">
        <w:rPr>
          <w:b/>
        </w:rPr>
        <w:t xml:space="preserve">n </w:t>
      </w:r>
      <w:r>
        <w:rPr>
          <w:b/>
        </w:rPr>
        <w:t>the</w:t>
      </w:r>
      <w:r w:rsidRPr="009A4BBB">
        <w:rPr>
          <w:b/>
        </w:rPr>
        <w:t xml:space="preserve"> University of Rochester Internal Medicine Inpatient Service </w:t>
      </w:r>
      <w:r>
        <w:rPr>
          <w:b/>
        </w:rPr>
        <w:t xml:space="preserve">at Strong Memorial Hospital </w:t>
      </w:r>
      <w:r w:rsidRPr="009A4BBB">
        <w:rPr>
          <w:b/>
        </w:rPr>
        <w:t>Before (</w:t>
      </w:r>
      <w:r>
        <w:rPr>
          <w:b/>
        </w:rPr>
        <w:t>2007-2008</w:t>
      </w:r>
      <w:r w:rsidRPr="009A4BBB">
        <w:rPr>
          <w:b/>
        </w:rPr>
        <w:t>) and After (</w:t>
      </w:r>
      <w:r>
        <w:rPr>
          <w:b/>
        </w:rPr>
        <w:t>2008-2009</w:t>
      </w:r>
      <w:r w:rsidRPr="009A4BBB">
        <w:rPr>
          <w:b/>
        </w:rPr>
        <w:t>) the Service Was Redesigned</w:t>
      </w:r>
    </w:p>
    <w:p w:rsidR="00D43B76" w:rsidRDefault="00D43B76" w:rsidP="00D43B76">
      <w:pPr>
        <w:pStyle w:val="BodyText"/>
        <w:ind w:left="-90"/>
      </w:pPr>
    </w:p>
    <w:tbl>
      <w:tblPr>
        <w:tblW w:w="8298" w:type="dxa"/>
        <w:tblInd w:w="-90" w:type="dxa"/>
        <w:tblBorders>
          <w:insideH w:val="dotted" w:sz="4" w:space="0" w:color="auto"/>
        </w:tblBorders>
        <w:tblLook w:val="04A0"/>
      </w:tblPr>
      <w:tblGrid>
        <w:gridCol w:w="4428"/>
        <w:gridCol w:w="1350"/>
        <w:gridCol w:w="1350"/>
        <w:gridCol w:w="1170"/>
      </w:tblGrid>
      <w:tr w:rsidR="00D43B76" w:rsidRPr="006748CD" w:rsidTr="008C3809">
        <w:tc>
          <w:tcPr>
            <w:tcW w:w="4428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D43B76" w:rsidRPr="006748CD" w:rsidRDefault="00D43B76" w:rsidP="008C3809">
            <w:pPr>
              <w:pStyle w:val="BodyText"/>
              <w:ind w:left="360" w:hanging="45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Student data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D43B76" w:rsidRDefault="00D43B76" w:rsidP="008C3809">
            <w:pPr>
              <w:ind w:left="-72" w:right="-72"/>
              <w:jc w:val="right"/>
              <w:rPr>
                <w:b/>
                <w:color w:val="FFFFFF" w:themeColor="background1"/>
              </w:rPr>
            </w:pPr>
            <w:r w:rsidRPr="006748CD" w:rsidDel="00295560">
              <w:rPr>
                <w:b/>
                <w:color w:val="FFFFFF" w:themeColor="background1"/>
              </w:rPr>
              <w:t xml:space="preserve"> </w:t>
            </w:r>
            <w:r w:rsidRPr="006748CD">
              <w:rPr>
                <w:b/>
                <w:color w:val="FFFFFF" w:themeColor="background1"/>
              </w:rPr>
              <w:t>2007-2008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D43B76" w:rsidRDefault="00D43B76" w:rsidP="008C3809">
            <w:pPr>
              <w:ind w:left="-54" w:right="-90"/>
              <w:jc w:val="right"/>
              <w:rPr>
                <w:b/>
                <w:color w:val="FFFFFF" w:themeColor="background1"/>
              </w:rPr>
            </w:pPr>
            <w:r w:rsidRPr="006748CD">
              <w:rPr>
                <w:b/>
                <w:color w:val="FFFFFF" w:themeColor="background1"/>
              </w:rPr>
              <w:t>2008-2009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D43B76" w:rsidRPr="006748CD" w:rsidRDefault="00D43B76" w:rsidP="008C3809">
            <w:pPr>
              <w:ind w:left="-54" w:right="-90"/>
              <w:jc w:val="right"/>
              <w:rPr>
                <w:b/>
                <w:color w:val="FFFFFF" w:themeColor="background1"/>
              </w:rPr>
            </w:pPr>
          </w:p>
          <w:p w:rsidR="00D43B76" w:rsidRPr="006748CD" w:rsidRDefault="00D43B76" w:rsidP="008C3809">
            <w:pPr>
              <w:ind w:left="-54" w:right="-90"/>
              <w:jc w:val="right"/>
              <w:rPr>
                <w:b/>
                <w:color w:val="FFFFFF" w:themeColor="background1"/>
              </w:rPr>
            </w:pPr>
            <w:r w:rsidRPr="006748CD">
              <w:rPr>
                <w:b/>
                <w:i/>
                <w:color w:val="FFFFFF" w:themeColor="background1"/>
              </w:rPr>
              <w:t xml:space="preserve">P </w:t>
            </w:r>
            <w:r w:rsidRPr="006748CD">
              <w:rPr>
                <w:b/>
                <w:color w:val="FFFFFF" w:themeColor="background1"/>
              </w:rPr>
              <w:t>value</w:t>
            </w:r>
          </w:p>
        </w:tc>
      </w:tr>
      <w:tr w:rsidR="00D43B76" w:rsidTr="008C3809">
        <w:tc>
          <w:tcPr>
            <w:tcW w:w="4428" w:type="dxa"/>
            <w:tcBorders>
              <w:top w:val="nil"/>
            </w:tcBorders>
          </w:tcPr>
          <w:p w:rsidR="00D43B76" w:rsidRPr="003D0881" w:rsidRDefault="00D43B76" w:rsidP="008C3809">
            <w:pPr>
              <w:pStyle w:val="BodyText"/>
              <w:ind w:left="360" w:hanging="450"/>
              <w:rPr>
                <w:b/>
              </w:rPr>
            </w:pPr>
            <w:r w:rsidRPr="003D0881">
              <w:rPr>
                <w:b/>
              </w:rPr>
              <w:t>Evaluation</w:t>
            </w:r>
            <w:r>
              <w:rPr>
                <w:b/>
              </w:rPr>
              <w:t xml:space="preserve"> responses</w:t>
            </w:r>
            <w:r w:rsidRPr="00B06327">
              <w:rPr>
                <w:vertAlign w:val="superscript"/>
              </w:rPr>
              <w:t>*</w:t>
            </w:r>
          </w:p>
        </w:tc>
        <w:tc>
          <w:tcPr>
            <w:tcW w:w="1350" w:type="dxa"/>
            <w:tcBorders>
              <w:top w:val="nil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</w:p>
        </w:tc>
        <w:tc>
          <w:tcPr>
            <w:tcW w:w="1350" w:type="dxa"/>
            <w:tcBorders>
              <w:top w:val="nil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</w:p>
        </w:tc>
      </w:tr>
      <w:tr w:rsidR="00D43B76" w:rsidTr="008C3809">
        <w:tc>
          <w:tcPr>
            <w:tcW w:w="4428" w:type="dxa"/>
          </w:tcPr>
          <w:p w:rsidR="00D43B76" w:rsidRDefault="00D43B76" w:rsidP="008C3809">
            <w:pPr>
              <w:pStyle w:val="BodyText"/>
              <w:ind w:left="180"/>
            </w:pPr>
            <w:r>
              <w:t>Total no. responding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66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71</w:t>
            </w:r>
          </w:p>
        </w:tc>
        <w:tc>
          <w:tcPr>
            <w:tcW w:w="117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</w:p>
        </w:tc>
      </w:tr>
      <w:tr w:rsidR="00D43B76" w:rsidTr="008C3809">
        <w:tc>
          <w:tcPr>
            <w:tcW w:w="4428" w:type="dxa"/>
          </w:tcPr>
          <w:p w:rsidR="00D43B76" w:rsidRDefault="00D43B76" w:rsidP="008C3809">
            <w:pPr>
              <w:pStyle w:val="BodyText"/>
              <w:ind w:left="180"/>
            </w:pPr>
            <w:r>
              <w:t>Direct contact with patients, mean (SD)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3.77 (0.52)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3.80 (0.43)</w:t>
            </w:r>
          </w:p>
        </w:tc>
        <w:tc>
          <w:tcPr>
            <w:tcW w:w="117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.71</w:t>
            </w:r>
          </w:p>
        </w:tc>
      </w:tr>
      <w:tr w:rsidR="00D43B76" w:rsidTr="008C3809">
        <w:tc>
          <w:tcPr>
            <w:tcW w:w="4428" w:type="dxa"/>
          </w:tcPr>
          <w:p w:rsidR="00D43B76" w:rsidRDefault="00D43B76" w:rsidP="008C3809">
            <w:pPr>
              <w:pStyle w:val="BodyText"/>
              <w:ind w:left="180"/>
            </w:pPr>
            <w:r>
              <w:t>Rounds with attending, mean (SD)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3.11 (0.73)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3.49 (0.58)</w:t>
            </w:r>
          </w:p>
        </w:tc>
        <w:tc>
          <w:tcPr>
            <w:tcW w:w="117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&lt; .001</w:t>
            </w:r>
          </w:p>
        </w:tc>
      </w:tr>
      <w:tr w:rsidR="00D43B76" w:rsidTr="008C3809">
        <w:tc>
          <w:tcPr>
            <w:tcW w:w="4428" w:type="dxa"/>
          </w:tcPr>
          <w:p w:rsidR="00D43B76" w:rsidRDefault="00D43B76" w:rsidP="008C3809">
            <w:pPr>
              <w:pStyle w:val="BodyText"/>
              <w:ind w:left="180"/>
            </w:pPr>
            <w:r>
              <w:t>Rounds with resident, mean (SD)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3.39 (0.74)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3.51 (0.53)</w:t>
            </w:r>
          </w:p>
        </w:tc>
        <w:tc>
          <w:tcPr>
            <w:tcW w:w="117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 xml:space="preserve"> .28</w:t>
            </w:r>
          </w:p>
        </w:tc>
      </w:tr>
      <w:tr w:rsidR="00D43B76" w:rsidTr="008C3809">
        <w:tc>
          <w:tcPr>
            <w:tcW w:w="4428" w:type="dxa"/>
            <w:tcBorders>
              <w:bottom w:val="single" w:sz="4" w:space="0" w:color="auto"/>
            </w:tcBorders>
          </w:tcPr>
          <w:p w:rsidR="00D43B76" w:rsidRDefault="00D43B76" w:rsidP="008C3809">
            <w:pPr>
              <w:pStyle w:val="BodyText"/>
              <w:ind w:left="180"/>
            </w:pPr>
            <w:r>
              <w:t>Knowledge about common internal medicine problems, mean (SD)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3.30 (0.61)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3.51 (0.50)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.02</w:t>
            </w:r>
          </w:p>
        </w:tc>
      </w:tr>
      <w:tr w:rsidR="00D43B76" w:rsidTr="008C3809">
        <w:tc>
          <w:tcPr>
            <w:tcW w:w="4428" w:type="dxa"/>
            <w:tcBorders>
              <w:top w:val="single" w:sz="4" w:space="0" w:color="auto"/>
              <w:bottom w:val="dotted" w:sz="4" w:space="0" w:color="auto"/>
            </w:tcBorders>
          </w:tcPr>
          <w:p w:rsidR="00D43B76" w:rsidRDefault="00D43B76" w:rsidP="008C3809">
            <w:pPr>
              <w:pStyle w:val="BodyText"/>
              <w:ind w:left="360" w:hanging="450"/>
            </w:pPr>
            <w:bookmarkStart w:id="0" w:name="_GoBack" w:colFirst="0" w:colLast="4"/>
            <w:r w:rsidRPr="003D0881">
              <w:rPr>
                <w:b/>
              </w:rPr>
              <w:t>Evaluation</w:t>
            </w:r>
            <w:r>
              <w:rPr>
                <w:b/>
              </w:rPr>
              <w:t xml:space="preserve"> responses</w:t>
            </w:r>
            <w:r w:rsidRPr="00B06327">
              <w:rPr>
                <w:vertAlign w:val="superscript"/>
              </w:rPr>
              <w:t>†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</w:p>
        </w:tc>
      </w:tr>
      <w:tr w:rsidR="00D43B76" w:rsidTr="008C3809">
        <w:tc>
          <w:tcPr>
            <w:tcW w:w="4428" w:type="dxa"/>
            <w:tcBorders>
              <w:top w:val="dotted" w:sz="4" w:space="0" w:color="auto"/>
            </w:tcBorders>
          </w:tcPr>
          <w:p w:rsidR="00D43B76" w:rsidRDefault="00D43B76" w:rsidP="008C3809">
            <w:pPr>
              <w:pStyle w:val="BodyText"/>
              <w:ind w:left="180"/>
            </w:pPr>
            <w:r>
              <w:t>Total no. responding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66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71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</w:p>
        </w:tc>
      </w:tr>
      <w:bookmarkEnd w:id="0"/>
      <w:tr w:rsidR="00D43B76" w:rsidTr="008C3809">
        <w:tc>
          <w:tcPr>
            <w:tcW w:w="4428" w:type="dxa"/>
          </w:tcPr>
          <w:p w:rsidR="00D43B76" w:rsidRDefault="00D43B76" w:rsidP="008C3809">
            <w:pPr>
              <w:pStyle w:val="BodyText"/>
              <w:ind w:left="180"/>
            </w:pPr>
            <w:r>
              <w:t>Accessibility of teachers/faculty, mean (SD)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4.15 (0.77)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4.44 (0.63)</w:t>
            </w:r>
          </w:p>
        </w:tc>
        <w:tc>
          <w:tcPr>
            <w:tcW w:w="117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.02</w:t>
            </w:r>
          </w:p>
        </w:tc>
      </w:tr>
      <w:tr w:rsidR="00D43B76" w:rsidTr="008C3809">
        <w:tc>
          <w:tcPr>
            <w:tcW w:w="4428" w:type="dxa"/>
          </w:tcPr>
          <w:p w:rsidR="00D43B76" w:rsidRDefault="00D43B76" w:rsidP="008C3809">
            <w:pPr>
              <w:pStyle w:val="BodyText"/>
              <w:ind w:left="180"/>
            </w:pPr>
            <w:r>
              <w:t>Variety of clinical experiences, mean (SD)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4.06 (0.84)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4.21 (0.77)</w:t>
            </w:r>
          </w:p>
        </w:tc>
        <w:tc>
          <w:tcPr>
            <w:tcW w:w="117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.28</w:t>
            </w:r>
          </w:p>
        </w:tc>
      </w:tr>
      <w:tr w:rsidR="00D43B76" w:rsidTr="008C3809">
        <w:tc>
          <w:tcPr>
            <w:tcW w:w="4428" w:type="dxa"/>
          </w:tcPr>
          <w:p w:rsidR="00D43B76" w:rsidRDefault="00D43B76" w:rsidP="008C3809">
            <w:pPr>
              <w:pStyle w:val="BodyText"/>
              <w:ind w:left="180"/>
            </w:pPr>
            <w:r>
              <w:t>Opportunities for active student involvement with patient care, mean (SD)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4.35 (0.77)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4.56 (0.60)</w:t>
            </w:r>
          </w:p>
        </w:tc>
        <w:tc>
          <w:tcPr>
            <w:tcW w:w="117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.08</w:t>
            </w:r>
          </w:p>
        </w:tc>
      </w:tr>
      <w:tr w:rsidR="00D43B76" w:rsidTr="008C3809">
        <w:tc>
          <w:tcPr>
            <w:tcW w:w="4428" w:type="dxa"/>
          </w:tcPr>
          <w:p w:rsidR="00D43B76" w:rsidRDefault="00D43B76" w:rsidP="008C3809">
            <w:pPr>
              <w:pStyle w:val="BodyText"/>
              <w:ind w:left="180"/>
            </w:pPr>
            <w:r>
              <w:t>Usefulness of the feedback you received on your performance, mean (SD)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3.89 (0.88)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4.08 (0.84)</w:t>
            </w:r>
          </w:p>
        </w:tc>
        <w:tc>
          <w:tcPr>
            <w:tcW w:w="117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.20</w:t>
            </w:r>
          </w:p>
        </w:tc>
      </w:tr>
      <w:tr w:rsidR="00D43B76" w:rsidTr="008C3809">
        <w:tc>
          <w:tcPr>
            <w:tcW w:w="4428" w:type="dxa"/>
            <w:tcBorders>
              <w:bottom w:val="single" w:sz="4" w:space="0" w:color="auto"/>
            </w:tcBorders>
          </w:tcPr>
          <w:p w:rsidR="00D43B76" w:rsidRDefault="00D43B76" w:rsidP="008C3809">
            <w:pPr>
              <w:pStyle w:val="BodyText"/>
              <w:ind w:left="180"/>
            </w:pPr>
            <w:r>
              <w:t>Overall quality of the clerkship, mean (SD)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4.05 (0.79)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4.30 (0.70)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.052</w:t>
            </w:r>
          </w:p>
        </w:tc>
      </w:tr>
      <w:tr w:rsidR="00D43B76" w:rsidTr="008C3809">
        <w:tc>
          <w:tcPr>
            <w:tcW w:w="4428" w:type="dxa"/>
            <w:tcBorders>
              <w:top w:val="single" w:sz="4" w:space="0" w:color="auto"/>
              <w:bottom w:val="dotted" w:sz="4" w:space="0" w:color="auto"/>
            </w:tcBorders>
          </w:tcPr>
          <w:p w:rsidR="00D43B76" w:rsidRPr="001144E9" w:rsidRDefault="00D43B76" w:rsidP="008C3809">
            <w:pPr>
              <w:pStyle w:val="BodyText"/>
              <w:ind w:left="360" w:hanging="450"/>
              <w:rPr>
                <w:b/>
              </w:rPr>
            </w:pPr>
            <w:r w:rsidRPr="001144E9">
              <w:rPr>
                <w:b/>
              </w:rPr>
              <w:t xml:space="preserve">Patients evaluated 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</w:p>
        </w:tc>
      </w:tr>
      <w:tr w:rsidR="00D43B76" w:rsidTr="008C3809">
        <w:tc>
          <w:tcPr>
            <w:tcW w:w="4428" w:type="dxa"/>
            <w:tcBorders>
              <w:top w:val="dotted" w:sz="4" w:space="0" w:color="auto"/>
            </w:tcBorders>
          </w:tcPr>
          <w:p w:rsidR="00D43B76" w:rsidRDefault="00D43B76" w:rsidP="008C3809">
            <w:pPr>
              <w:pStyle w:val="BodyText"/>
              <w:ind w:left="180"/>
            </w:pPr>
            <w:r>
              <w:t xml:space="preserve">Total no. 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1,756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2,494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</w:p>
        </w:tc>
      </w:tr>
      <w:tr w:rsidR="00D43B76" w:rsidTr="008C3809">
        <w:tc>
          <w:tcPr>
            <w:tcW w:w="4428" w:type="dxa"/>
          </w:tcPr>
          <w:p w:rsidR="00D43B76" w:rsidRDefault="00D43B76" w:rsidP="008C3809">
            <w:pPr>
              <w:pStyle w:val="BodyText"/>
              <w:ind w:left="180"/>
            </w:pPr>
            <w:r>
              <w:t>Previously unevaluated patients, no. (%)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573 (32.8)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1206 (45.8)</w:t>
            </w:r>
          </w:p>
        </w:tc>
        <w:tc>
          <w:tcPr>
            <w:tcW w:w="117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&lt; .001</w:t>
            </w:r>
          </w:p>
        </w:tc>
      </w:tr>
      <w:tr w:rsidR="00D43B76" w:rsidTr="008C3809">
        <w:tc>
          <w:tcPr>
            <w:tcW w:w="4428" w:type="dxa"/>
          </w:tcPr>
          <w:p w:rsidR="00D43B76" w:rsidRDefault="00D43B76" w:rsidP="008C3809">
            <w:pPr>
              <w:pStyle w:val="BodyText"/>
              <w:ind w:left="180"/>
            </w:pPr>
            <w:r>
              <w:t>Handoff patients, no. (%)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1031 (58.7)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1293 (49.1)</w:t>
            </w:r>
          </w:p>
        </w:tc>
        <w:tc>
          <w:tcPr>
            <w:tcW w:w="117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&lt; .001</w:t>
            </w:r>
          </w:p>
        </w:tc>
      </w:tr>
      <w:tr w:rsidR="00D43B76" w:rsidTr="008C3809">
        <w:tc>
          <w:tcPr>
            <w:tcW w:w="4428" w:type="dxa"/>
          </w:tcPr>
          <w:p w:rsidR="00D43B76" w:rsidRDefault="00D43B76" w:rsidP="008C3809">
            <w:pPr>
              <w:pStyle w:val="BodyText"/>
              <w:ind w:left="180"/>
            </w:pPr>
            <w:r>
              <w:t>Night float patients, no. (%)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576 (32.8)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856 (32.5)</w:t>
            </w:r>
          </w:p>
        </w:tc>
        <w:tc>
          <w:tcPr>
            <w:tcW w:w="117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.31</w:t>
            </w:r>
          </w:p>
        </w:tc>
      </w:tr>
      <w:tr w:rsidR="00D43B76" w:rsidTr="008C3809">
        <w:tc>
          <w:tcPr>
            <w:tcW w:w="4428" w:type="dxa"/>
          </w:tcPr>
          <w:p w:rsidR="00D43B76" w:rsidRDefault="00D43B76" w:rsidP="008C3809">
            <w:pPr>
              <w:pStyle w:val="BodyText"/>
              <w:ind w:left="180"/>
            </w:pPr>
            <w:r>
              <w:t>Intensive care unit transfers, no. (%)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114 (6.5)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81 (3.1)</w:t>
            </w:r>
          </w:p>
        </w:tc>
        <w:tc>
          <w:tcPr>
            <w:tcW w:w="117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&lt; .001</w:t>
            </w:r>
          </w:p>
        </w:tc>
      </w:tr>
      <w:tr w:rsidR="00D43B76" w:rsidTr="008C3809">
        <w:tc>
          <w:tcPr>
            <w:tcW w:w="4428" w:type="dxa"/>
          </w:tcPr>
          <w:p w:rsidR="00D43B76" w:rsidRDefault="00D43B76" w:rsidP="008C3809">
            <w:pPr>
              <w:pStyle w:val="BodyText"/>
              <w:ind w:left="180"/>
            </w:pPr>
            <w:r>
              <w:t>Assumed care of patients on team, no. (%)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341 (19.4)</w:t>
            </w:r>
          </w:p>
        </w:tc>
        <w:tc>
          <w:tcPr>
            <w:tcW w:w="135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356 (13.5)</w:t>
            </w:r>
          </w:p>
        </w:tc>
        <w:tc>
          <w:tcPr>
            <w:tcW w:w="1170" w:type="dxa"/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&lt; .001</w:t>
            </w:r>
          </w:p>
        </w:tc>
      </w:tr>
      <w:tr w:rsidR="00D43B76" w:rsidTr="008C3809">
        <w:tc>
          <w:tcPr>
            <w:tcW w:w="4428" w:type="dxa"/>
            <w:tcBorders>
              <w:bottom w:val="single" w:sz="4" w:space="0" w:color="auto"/>
            </w:tcBorders>
          </w:tcPr>
          <w:p w:rsidR="00D43B76" w:rsidRDefault="00D43B76" w:rsidP="008C3809">
            <w:pPr>
              <w:pStyle w:val="BodyText"/>
              <w:ind w:left="180"/>
            </w:pPr>
            <w:r>
              <w:t>Admission type not recorded, no. (%)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152 (8.7)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133 (5.1)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  <w:r>
              <w:t>&lt; .001</w:t>
            </w:r>
          </w:p>
        </w:tc>
      </w:tr>
      <w:tr w:rsidR="00D43B76" w:rsidTr="008C3809">
        <w:tc>
          <w:tcPr>
            <w:tcW w:w="4428" w:type="dxa"/>
            <w:tcBorders>
              <w:top w:val="single" w:sz="4" w:space="0" w:color="auto"/>
              <w:bottom w:val="dotted" w:sz="4" w:space="0" w:color="auto"/>
            </w:tcBorders>
          </w:tcPr>
          <w:p w:rsidR="00D43B76" w:rsidRPr="00737D7E" w:rsidRDefault="00D43B76" w:rsidP="008C3809">
            <w:pPr>
              <w:pStyle w:val="BodyText"/>
              <w:ind w:left="360" w:hanging="450"/>
              <w:rPr>
                <w:b/>
              </w:rPr>
            </w:pPr>
            <w:r w:rsidRPr="00737D7E">
              <w:rPr>
                <w:b/>
              </w:rPr>
              <w:t xml:space="preserve">Subject </w:t>
            </w:r>
            <w:r>
              <w:rPr>
                <w:b/>
              </w:rPr>
              <w:t>e</w:t>
            </w:r>
            <w:r w:rsidRPr="00737D7E">
              <w:rPr>
                <w:b/>
              </w:rPr>
              <w:t xml:space="preserve">xam </w:t>
            </w:r>
            <w:r>
              <w:rPr>
                <w:b/>
              </w:rPr>
              <w:t>s</w:t>
            </w:r>
            <w:r w:rsidRPr="00737D7E">
              <w:rPr>
                <w:b/>
              </w:rPr>
              <w:t>cores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43B76" w:rsidRPr="00737D7E" w:rsidRDefault="00D43B76" w:rsidP="008C3809">
            <w:pPr>
              <w:pStyle w:val="BodyText"/>
              <w:jc w:val="right"/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43B76" w:rsidRPr="00737D7E" w:rsidRDefault="00D43B76" w:rsidP="008C3809">
            <w:pPr>
              <w:pStyle w:val="BodyText"/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43B76" w:rsidRPr="00737D7E" w:rsidRDefault="00D43B76" w:rsidP="008C3809">
            <w:pPr>
              <w:pStyle w:val="BodyText"/>
              <w:jc w:val="right"/>
            </w:pPr>
          </w:p>
        </w:tc>
      </w:tr>
      <w:tr w:rsidR="00D43B76" w:rsidTr="008C3809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D43B76" w:rsidRPr="00737D7E" w:rsidRDefault="00D43B76" w:rsidP="008C3809">
            <w:pPr>
              <w:pStyle w:val="BodyText"/>
              <w:ind w:left="180"/>
            </w:pPr>
            <w:r>
              <w:t>Total no. of students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43B76" w:rsidRPr="00737D7E" w:rsidRDefault="00D43B76" w:rsidP="008C3809">
            <w:pPr>
              <w:pStyle w:val="BodyText"/>
              <w:jc w:val="right"/>
            </w:pPr>
            <w:r>
              <w:t>65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43B76" w:rsidRPr="00737D7E" w:rsidRDefault="00D43B76" w:rsidP="008C3809">
            <w:pPr>
              <w:pStyle w:val="BodyText"/>
              <w:jc w:val="right"/>
            </w:pPr>
            <w:r>
              <w:t>72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43B76" w:rsidRDefault="00D43B76" w:rsidP="008C3809">
            <w:pPr>
              <w:pStyle w:val="BodyText"/>
              <w:jc w:val="right"/>
            </w:pPr>
          </w:p>
        </w:tc>
      </w:tr>
      <w:tr w:rsidR="00D43B76" w:rsidTr="008C3809">
        <w:tc>
          <w:tcPr>
            <w:tcW w:w="4428" w:type="dxa"/>
            <w:tcBorders>
              <w:top w:val="dotted" w:sz="4" w:space="0" w:color="auto"/>
              <w:bottom w:val="single" w:sz="4" w:space="0" w:color="auto"/>
            </w:tcBorders>
          </w:tcPr>
          <w:p w:rsidR="00D43B76" w:rsidRPr="00737D7E" w:rsidRDefault="00D43B76" w:rsidP="008C3809">
            <w:pPr>
              <w:pStyle w:val="BodyText"/>
              <w:ind w:left="180"/>
            </w:pPr>
            <w:r w:rsidRPr="00737D7E">
              <w:t>Mean (SD)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43B76" w:rsidRPr="00737D7E" w:rsidRDefault="00D43B76" w:rsidP="008C3809">
            <w:pPr>
              <w:pStyle w:val="BodyText"/>
              <w:jc w:val="right"/>
            </w:pPr>
            <w:r w:rsidRPr="00737D7E">
              <w:t>77.5 (8.6)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43B76" w:rsidRPr="00737D7E" w:rsidRDefault="00D43B76" w:rsidP="008C3809">
            <w:pPr>
              <w:pStyle w:val="BodyText"/>
              <w:jc w:val="right"/>
            </w:pPr>
            <w:r w:rsidRPr="00737D7E">
              <w:t>76.1 (8.0)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43B76" w:rsidRPr="00737D7E" w:rsidRDefault="00D43B76" w:rsidP="008C3809">
            <w:pPr>
              <w:pStyle w:val="BodyText"/>
              <w:jc w:val="right"/>
            </w:pPr>
            <w:r>
              <w:t>.33</w:t>
            </w:r>
          </w:p>
        </w:tc>
      </w:tr>
    </w:tbl>
    <w:p w:rsidR="00D43B76" w:rsidRDefault="00D43B76" w:rsidP="00D43B76"/>
    <w:p w:rsidR="00D43B76" w:rsidRDefault="00D43B76" w:rsidP="00D43B76"/>
    <w:p w:rsidR="00D43B76" w:rsidRDefault="00D43B76" w:rsidP="00D43B76">
      <w:r w:rsidRPr="00633CC5">
        <w:rPr>
          <w:szCs w:val="20"/>
          <w:vertAlign w:val="superscript"/>
        </w:rPr>
        <w:t>*</w:t>
      </w:r>
      <w:r w:rsidRPr="00295560">
        <w:t xml:space="preserve"> </w:t>
      </w:r>
      <w:r>
        <w:t>Rated on a four-point scale: 1 = poor, 2 = fair, 3 = good, 4 = excellent.</w:t>
      </w:r>
    </w:p>
    <w:p w:rsidR="00D43B76" w:rsidRDefault="00D43B76" w:rsidP="00D43B76"/>
    <w:p w:rsidR="00722B2E" w:rsidRDefault="00D43B76" w:rsidP="00D43B76">
      <w:pPr>
        <w:pStyle w:val="BodyText"/>
        <w:spacing w:line="480" w:lineRule="auto"/>
      </w:pPr>
      <w:r w:rsidRPr="00633CC5">
        <w:rPr>
          <w:vertAlign w:val="superscript"/>
        </w:rPr>
        <w:t>†</w:t>
      </w:r>
      <w:r w:rsidRPr="00295560">
        <w:t xml:space="preserve"> </w:t>
      </w:r>
      <w:r>
        <w:t xml:space="preserve">Rated on a five-point scale: 1 = poor, 2 = fair, 3 = good, 4 = very good, 5 = excellent. </w:t>
      </w:r>
    </w:p>
    <w:sectPr w:rsidR="00722B2E" w:rsidSect="00606A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B76" w:rsidRDefault="00D43B76" w:rsidP="00D43B76">
      <w:r>
        <w:separator/>
      </w:r>
    </w:p>
  </w:endnote>
  <w:endnote w:type="continuationSeparator" w:id="1">
    <w:p w:rsidR="00D43B76" w:rsidRDefault="00D43B76" w:rsidP="00D43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76" w:rsidRDefault="00D43B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290751"/>
      <w:docPartObj>
        <w:docPartGallery w:val="Page Numbers (Bottom of Page)"/>
        <w:docPartUnique/>
      </w:docPartObj>
    </w:sdtPr>
    <w:sdtContent>
      <w:p w:rsidR="00650697" w:rsidRDefault="00AD640D">
        <w:pPr>
          <w:pStyle w:val="Footer"/>
          <w:jc w:val="right"/>
        </w:pPr>
        <w:r>
          <w:fldChar w:fldCharType="begin"/>
        </w:r>
        <w:r w:rsidR="00D43B76">
          <w:instrText xml:space="preserve"> PAGE   \* MERGEFORMAT </w:instrText>
        </w:r>
        <w:r>
          <w:fldChar w:fldCharType="separate"/>
        </w:r>
        <w:r w:rsidR="00093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0697" w:rsidRPr="00D43B76" w:rsidRDefault="00D43B76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Copyright © by the Association of American Medical Colleges. Unauthorized reproduction is prohibited.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76" w:rsidRDefault="00D43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B76" w:rsidRDefault="00D43B76" w:rsidP="00D43B76">
      <w:r>
        <w:separator/>
      </w:r>
    </w:p>
  </w:footnote>
  <w:footnote w:type="continuationSeparator" w:id="1">
    <w:p w:rsidR="00D43B76" w:rsidRDefault="00D43B76" w:rsidP="00D43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76" w:rsidRDefault="00D43B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76" w:rsidRPr="00D43B76" w:rsidRDefault="00D43B76">
    <w:pPr>
      <w:pStyle w:val="Head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Supplemental digital content for O’Connor AB, Lang VJ, Bordley DR. Restructuring an inpatient resident team to improve outcomes for residents, students, and patients. Acad Med. 2011;86(12).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76" w:rsidRDefault="00D43B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100000" w:hash="RSHVAtfTNdADN/MK/ra5saqvnxI=" w:salt="0olLaKwSxPwDhQGweDLiow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B76"/>
    <w:rsid w:val="00093809"/>
    <w:rsid w:val="00103BB3"/>
    <w:rsid w:val="0020512A"/>
    <w:rsid w:val="00260BD2"/>
    <w:rsid w:val="004A393E"/>
    <w:rsid w:val="0050663E"/>
    <w:rsid w:val="00606AA7"/>
    <w:rsid w:val="00AD640D"/>
    <w:rsid w:val="00B00035"/>
    <w:rsid w:val="00D43B76"/>
    <w:rsid w:val="00F20A34"/>
    <w:rsid w:val="00F3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3B76"/>
    <w:rPr>
      <w:szCs w:val="20"/>
    </w:rPr>
  </w:style>
  <w:style w:type="character" w:customStyle="1" w:styleId="BodyTextChar">
    <w:name w:val="Body Text Char"/>
    <w:basedOn w:val="DefaultParagraphFont"/>
    <w:link w:val="BodyText"/>
    <w:rsid w:val="00D43B7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3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7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4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B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12</DocSecurity>
  <Lines>13</Lines>
  <Paragraphs>3</Paragraphs>
  <ScaleCrop>false</ScaleCrop>
  <Company>AAMC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siler</cp:lastModifiedBy>
  <cp:revision>2</cp:revision>
  <dcterms:created xsi:type="dcterms:W3CDTF">2011-10-13T21:23:00Z</dcterms:created>
  <dcterms:modified xsi:type="dcterms:W3CDTF">2011-10-13T21:23:00Z</dcterms:modified>
</cp:coreProperties>
</file>