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06C6" w14:textId="77777777" w:rsidR="00BA4A60" w:rsidRPr="00090FB0" w:rsidRDefault="00BA4A60" w:rsidP="00BA4A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0FB0">
        <w:rPr>
          <w:rFonts w:ascii="Times New Roman" w:hAnsi="Times New Roman" w:cs="Times New Roman"/>
          <w:b/>
          <w:sz w:val="32"/>
          <w:szCs w:val="32"/>
        </w:rPr>
        <w:t>Supplemental Digital Appendix 1</w:t>
      </w:r>
    </w:p>
    <w:p w14:paraId="28081B31" w14:textId="7415FC5E" w:rsidR="00B33A56" w:rsidRDefault="00B33A56" w:rsidP="00BA4A60">
      <w:pPr>
        <w:autoSpaceDE w:val="0"/>
        <w:autoSpaceDN w:val="0"/>
        <w:adjustRightInd w:val="0"/>
        <w:spacing w:line="240" w:lineRule="auto"/>
        <w:rPr>
          <w:rFonts w:ascii="Times" w:hAnsi="Times" w:cs="Helvetica Neue"/>
          <w:bCs/>
          <w:color w:val="353535"/>
          <w:sz w:val="24"/>
          <w:szCs w:val="24"/>
        </w:rPr>
      </w:pPr>
      <w:r w:rsidRPr="00553CD5">
        <w:rPr>
          <w:rFonts w:ascii="Times" w:hAnsi="Times" w:cs="Helvetica Neue"/>
          <w:b/>
          <w:bCs/>
          <w:color w:val="353535"/>
          <w:sz w:val="24"/>
          <w:szCs w:val="24"/>
        </w:rPr>
        <w:t xml:space="preserve">Sample demographics. </w:t>
      </w:r>
      <w:r w:rsidRPr="00553CD5">
        <w:rPr>
          <w:rFonts w:ascii="Times" w:hAnsi="Times" w:cs="Helvetica Neue"/>
          <w:bCs/>
          <w:color w:val="353535"/>
          <w:sz w:val="24"/>
          <w:szCs w:val="24"/>
        </w:rPr>
        <w:t xml:space="preserve">Focus group identification, time frame, and number of </w:t>
      </w:r>
      <w:r w:rsidR="000111BF" w:rsidRPr="00553CD5">
        <w:rPr>
          <w:rFonts w:ascii="Times" w:hAnsi="Times" w:cs="Helvetica Neue"/>
          <w:bCs/>
          <w:color w:val="353535"/>
          <w:sz w:val="24"/>
          <w:szCs w:val="24"/>
        </w:rPr>
        <w:t>medical students who participated in focus groups which comprised the data for secondary analysis of factors that influence entrustment decisions in the Education in Pediatrics Across the Continuum project, 2014</w:t>
      </w:r>
      <w:r w:rsidR="00BA4A60">
        <w:rPr>
          <w:rFonts w:ascii="Times" w:hAnsi="Times" w:cs="Helvetica Neue"/>
          <w:bCs/>
          <w:color w:val="353535"/>
          <w:sz w:val="24"/>
          <w:szCs w:val="24"/>
        </w:rPr>
        <w:t>–</w:t>
      </w:r>
      <w:r w:rsidR="000111BF" w:rsidRPr="00553CD5">
        <w:rPr>
          <w:rFonts w:ascii="Times" w:hAnsi="Times" w:cs="Helvetica Neue"/>
          <w:bCs/>
          <w:color w:val="353535"/>
          <w:sz w:val="24"/>
          <w:szCs w:val="24"/>
        </w:rPr>
        <w:t>2018</w:t>
      </w:r>
    </w:p>
    <w:p w14:paraId="0A7F8DF9" w14:textId="77777777" w:rsidR="00BA4A60" w:rsidRPr="00553CD5" w:rsidRDefault="00BA4A60" w:rsidP="00BA4A60">
      <w:pPr>
        <w:autoSpaceDE w:val="0"/>
        <w:autoSpaceDN w:val="0"/>
        <w:adjustRightInd w:val="0"/>
        <w:spacing w:line="240" w:lineRule="auto"/>
        <w:rPr>
          <w:rFonts w:ascii="Times" w:hAnsi="Times" w:cs="Helvetica Neue"/>
          <w:b/>
          <w:bCs/>
          <w:color w:val="353535"/>
          <w:sz w:val="24"/>
          <w:szCs w:val="24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33A56" w:rsidRPr="00553CD5" w14:paraId="2ABA51D4" w14:textId="77777777" w:rsidTr="009A4D48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07E42A" w14:textId="713669B8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b/>
                <w:bCs/>
                <w:color w:val="353535"/>
                <w:sz w:val="24"/>
                <w:szCs w:val="24"/>
              </w:rPr>
              <w:t xml:space="preserve">Focus </w:t>
            </w:r>
            <w:r w:rsidR="003929BC">
              <w:rPr>
                <w:rFonts w:ascii="Times" w:hAnsi="Times" w:cs="Helvetica Neue"/>
                <w:b/>
                <w:bCs/>
                <w:color w:val="353535"/>
                <w:sz w:val="24"/>
                <w:szCs w:val="24"/>
              </w:rPr>
              <w:t>g</w:t>
            </w:r>
            <w:r w:rsidRPr="00553CD5">
              <w:rPr>
                <w:rFonts w:ascii="Times" w:hAnsi="Times" w:cs="Helvetica Neue"/>
                <w:b/>
                <w:bCs/>
                <w:color w:val="353535"/>
                <w:sz w:val="24"/>
                <w:szCs w:val="24"/>
              </w:rPr>
              <w:t>roup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C91664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b/>
                <w:bCs/>
                <w:color w:val="353535"/>
                <w:sz w:val="24"/>
                <w:szCs w:val="24"/>
              </w:rPr>
              <w:t>Timeframe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6CF32F" w14:textId="7850FA13" w:rsidR="00B33A56" w:rsidRPr="00553CD5" w:rsidRDefault="003929BC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b/>
                <w:bCs/>
                <w:i/>
                <w:iCs/>
                <w:color w:val="353535"/>
                <w:sz w:val="24"/>
                <w:szCs w:val="24"/>
              </w:rPr>
              <w:t>N</w:t>
            </w:r>
            <w:r>
              <w:rPr>
                <w:rFonts w:ascii="Times" w:hAnsi="Times" w:cs="Helvetica Neue"/>
                <w:b/>
                <w:bCs/>
                <w:i/>
                <w:iCs/>
                <w:color w:val="353535"/>
                <w:sz w:val="24"/>
                <w:szCs w:val="24"/>
              </w:rPr>
              <w:t>o.</w:t>
            </w:r>
          </w:p>
        </w:tc>
      </w:tr>
      <w:tr w:rsidR="00B33A56" w:rsidRPr="00553CD5" w14:paraId="69734FA6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E20051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32F626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2015, Spring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19D7A9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</w:t>
            </w:r>
          </w:p>
        </w:tc>
      </w:tr>
      <w:tr w:rsidR="00B33A56" w:rsidRPr="00553CD5" w14:paraId="6F35B549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C38AAB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B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AB8328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2015, Fall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D388D9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3</w:t>
            </w:r>
          </w:p>
        </w:tc>
      </w:tr>
      <w:tr w:rsidR="00B33A56" w:rsidRPr="00553CD5" w14:paraId="34773B2B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78A428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C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3E8F71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2016, Spring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118DBC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3</w:t>
            </w:r>
          </w:p>
        </w:tc>
      </w:tr>
      <w:tr w:rsidR="00B33A56" w:rsidRPr="00553CD5" w14:paraId="474547BD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25A5B4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52D65E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2016, Fall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F67DCE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4*</w:t>
            </w:r>
          </w:p>
        </w:tc>
      </w:tr>
      <w:tr w:rsidR="00B33A56" w:rsidRPr="00553CD5" w14:paraId="0EE91798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DDF9E6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C8B709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2017, Spring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229CE1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4*</w:t>
            </w:r>
          </w:p>
        </w:tc>
      </w:tr>
      <w:tr w:rsidR="00B33A56" w:rsidRPr="00553CD5" w14:paraId="607B9872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3ACA02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F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647383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2017, Fall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B038B1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4*</w:t>
            </w:r>
          </w:p>
        </w:tc>
      </w:tr>
      <w:tr w:rsidR="00B33A56" w:rsidRPr="00553CD5" w14:paraId="6D994AE6" w14:textId="77777777" w:rsidTr="009A4D4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942576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6DD464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2018, Spring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79E6D4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</w:t>
            </w:r>
          </w:p>
        </w:tc>
      </w:tr>
      <w:tr w:rsidR="00B33A56" w:rsidRPr="00553CD5" w14:paraId="1C85CF80" w14:textId="77777777" w:rsidTr="009A4D48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DB4B5F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H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E7520D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2018, Fall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43B510" w14:textId="77777777" w:rsidR="00B33A56" w:rsidRPr="00553CD5" w:rsidRDefault="00B33A56" w:rsidP="00BA4A60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 w:cs="Helvetica Neue"/>
                <w:color w:val="353535"/>
                <w:sz w:val="24"/>
                <w:szCs w:val="24"/>
              </w:rPr>
            </w:pPr>
            <w:r w:rsidRPr="00553CD5">
              <w:rPr>
                <w:rFonts w:ascii="Times" w:hAnsi="Times" w:cs="Helvetica Neue"/>
                <w:color w:val="353535"/>
                <w:sz w:val="24"/>
                <w:szCs w:val="24"/>
              </w:rPr>
              <w:t>4</w:t>
            </w:r>
          </w:p>
        </w:tc>
      </w:tr>
    </w:tbl>
    <w:p w14:paraId="3FEABD17" w14:textId="3AC69561" w:rsidR="007E087E" w:rsidRPr="00553CD5" w:rsidRDefault="00B33A56" w:rsidP="00BA4A60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" w:hAnsi="Times" w:cs="Helvetica Neue"/>
          <w:color w:val="353535"/>
          <w:sz w:val="24"/>
          <w:szCs w:val="24"/>
        </w:rPr>
        <w:t>*</w:t>
      </w:r>
      <w:r w:rsidR="00BA4A60">
        <w:rPr>
          <w:rFonts w:ascii="Times" w:hAnsi="Times" w:cs="Helvetica Neue"/>
          <w:color w:val="353535"/>
          <w:sz w:val="24"/>
          <w:szCs w:val="24"/>
        </w:rPr>
        <w:t>O</w:t>
      </w:r>
      <w:r w:rsidRPr="00553CD5">
        <w:rPr>
          <w:rFonts w:ascii="Times" w:hAnsi="Times" w:cs="Helvetica Neue"/>
          <w:color w:val="353535"/>
          <w:sz w:val="24"/>
          <w:szCs w:val="24"/>
        </w:rPr>
        <w:t>ne student had participated in a prior focus group</w:t>
      </w:r>
      <w:r w:rsidR="003929BC">
        <w:rPr>
          <w:rFonts w:ascii="Times" w:hAnsi="Times" w:cs="Helvetica Neue"/>
          <w:color w:val="353535"/>
          <w:sz w:val="24"/>
          <w:szCs w:val="24"/>
        </w:rPr>
        <w:t>.</w:t>
      </w:r>
      <w:r w:rsidRPr="00553CD5">
        <w:rPr>
          <w:rFonts w:ascii="Times" w:hAnsi="Times" w:cs="Helvetica Neue"/>
          <w:color w:val="353535"/>
          <w:sz w:val="24"/>
          <w:szCs w:val="24"/>
        </w:rPr>
        <w:br/>
      </w:r>
    </w:p>
    <w:p w14:paraId="172E3D6A" w14:textId="77777777" w:rsidR="00B33A56" w:rsidRPr="00553CD5" w:rsidRDefault="00B33A56" w:rsidP="00BA4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br w:type="page"/>
      </w:r>
    </w:p>
    <w:p w14:paraId="2F0B8107" w14:textId="2AD105EE" w:rsidR="00BA4A60" w:rsidRPr="00090FB0" w:rsidRDefault="00BA4A60" w:rsidP="00BA4A60">
      <w:pPr>
        <w:rPr>
          <w:rFonts w:ascii="Times New Roman" w:hAnsi="Times New Roman" w:cs="Times New Roman"/>
          <w:b/>
          <w:sz w:val="32"/>
          <w:szCs w:val="32"/>
        </w:rPr>
      </w:pPr>
      <w:r w:rsidRPr="00090FB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Supplemental Digital Appendix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44396EC7" w14:textId="57DC4B21" w:rsidR="000111BF" w:rsidRPr="00553CD5" w:rsidRDefault="000111BF" w:rsidP="00BA4A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Main questions from the focus group interview guide, designed for program evaluation of the Education in Pediatrics Across the Continuum 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(EPAC) </w:t>
      </w:r>
      <w:r w:rsidRPr="00553CD5">
        <w:rPr>
          <w:rFonts w:ascii="Times New Roman" w:hAnsi="Times New Roman" w:cs="Times New Roman"/>
          <w:sz w:val="24"/>
          <w:szCs w:val="24"/>
        </w:rPr>
        <w:t xml:space="preserve">project; focus groups conducted twice a year with a total of 27 medical student across </w:t>
      </w:r>
      <w:r w:rsidR="00C95D58" w:rsidRPr="00553CD5">
        <w:rPr>
          <w:rFonts w:ascii="Times New Roman" w:hAnsi="Times New Roman" w:cs="Times New Roman"/>
          <w:sz w:val="24"/>
          <w:szCs w:val="24"/>
        </w:rPr>
        <w:t>EPAC</w:t>
      </w:r>
      <w:r w:rsidRPr="00553CD5">
        <w:rPr>
          <w:rFonts w:ascii="Times New Roman" w:hAnsi="Times New Roman" w:cs="Times New Roman"/>
          <w:sz w:val="24"/>
          <w:szCs w:val="24"/>
        </w:rPr>
        <w:t xml:space="preserve"> site</w:t>
      </w:r>
      <w:r w:rsidR="00C95D58" w:rsidRPr="00553CD5">
        <w:rPr>
          <w:rFonts w:ascii="Times New Roman" w:hAnsi="Times New Roman" w:cs="Times New Roman"/>
          <w:sz w:val="24"/>
          <w:szCs w:val="24"/>
        </w:rPr>
        <w:t>s</w:t>
      </w:r>
      <w:r w:rsidRPr="00553CD5">
        <w:rPr>
          <w:rFonts w:ascii="Times New Roman" w:hAnsi="Times New Roman" w:cs="Times New Roman"/>
          <w:sz w:val="24"/>
          <w:szCs w:val="24"/>
        </w:rPr>
        <w:t>, 2014</w:t>
      </w:r>
      <w:r w:rsidR="00BA4A60">
        <w:rPr>
          <w:rFonts w:ascii="Times New Roman" w:hAnsi="Times New Roman" w:cs="Times New Roman"/>
          <w:sz w:val="24"/>
          <w:szCs w:val="24"/>
        </w:rPr>
        <w:t>–</w:t>
      </w:r>
      <w:r w:rsidRPr="00553CD5">
        <w:rPr>
          <w:rFonts w:ascii="Times New Roman" w:hAnsi="Times New Roman" w:cs="Times New Roman"/>
          <w:sz w:val="24"/>
          <w:szCs w:val="24"/>
        </w:rPr>
        <w:t>2018.</w:t>
      </w:r>
    </w:p>
    <w:p w14:paraId="6FDC589E" w14:textId="77777777" w:rsidR="000111BF" w:rsidRPr="00553CD5" w:rsidRDefault="000111BF" w:rsidP="00BA4A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183BC5" w14:textId="77777777" w:rsidR="001674BC" w:rsidRPr="00553CD5" w:rsidRDefault="001674BC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What attracted you to participate in EPAC?</w:t>
      </w:r>
    </w:p>
    <w:p w14:paraId="0767E0B3" w14:textId="77777777" w:rsidR="001674BC" w:rsidRPr="00553CD5" w:rsidRDefault="001674BC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What concerns did you have in making the decision to participate in EPAC?</w:t>
      </w:r>
    </w:p>
    <w:p w14:paraId="0FF18113" w14:textId="11577613" w:rsidR="00AD7277" w:rsidRPr="00553CD5" w:rsidRDefault="00AD7277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Think about the setting in which you work closely with an EPAC preceptor</w:t>
      </w:r>
      <w:r w:rsidR="00C95D58" w:rsidRPr="00553CD5">
        <w:rPr>
          <w:rFonts w:ascii="Times New Roman" w:hAnsi="Times New Roman" w:cs="Times New Roman"/>
          <w:sz w:val="24"/>
          <w:szCs w:val="24"/>
        </w:rPr>
        <w:t>.</w:t>
      </w:r>
      <w:r w:rsidRPr="00553CD5">
        <w:rPr>
          <w:rFonts w:ascii="Times New Roman" w:hAnsi="Times New Roman" w:cs="Times New Roman"/>
          <w:sz w:val="24"/>
          <w:szCs w:val="24"/>
        </w:rPr>
        <w:t xml:space="preserve"> 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These preceptors make decisions about whether, and how much, to “stand back” thus providing different levels of supervision. </w:t>
      </w:r>
    </w:p>
    <w:p w14:paraId="2B64F69F" w14:textId="618A9FD5" w:rsidR="00A609BB" w:rsidRPr="00553CD5" w:rsidRDefault="00A609BB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How do you think </w:t>
      </w:r>
      <w:r w:rsidR="00DE74B8" w:rsidRPr="00553CD5">
        <w:rPr>
          <w:rFonts w:ascii="Times New Roman" w:hAnsi="Times New Roman" w:cs="Times New Roman"/>
          <w:sz w:val="24"/>
          <w:szCs w:val="24"/>
        </w:rPr>
        <w:t xml:space="preserve">EPAC preceptors </w:t>
      </w:r>
      <w:r w:rsidRPr="00553CD5">
        <w:rPr>
          <w:rFonts w:ascii="Times New Roman" w:hAnsi="Times New Roman" w:cs="Times New Roman"/>
          <w:sz w:val="24"/>
          <w:szCs w:val="24"/>
        </w:rPr>
        <w:t xml:space="preserve">decide what level of supervision you need in different clinical situations? </w:t>
      </w:r>
    </w:p>
    <w:p w14:paraId="4E7EAB99" w14:textId="2E6D11C9" w:rsidR="00A609BB" w:rsidRPr="00553CD5" w:rsidRDefault="00AD7277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Now think about </w:t>
      </w:r>
      <w:r w:rsidR="00DE74B8" w:rsidRPr="00553CD5">
        <w:rPr>
          <w:rFonts w:ascii="Times New Roman" w:hAnsi="Times New Roman" w:cs="Times New Roman"/>
          <w:sz w:val="24"/>
          <w:szCs w:val="24"/>
        </w:rPr>
        <w:t>non-EPAC preceptors</w:t>
      </w:r>
      <w:r w:rsidRPr="00553CD5">
        <w:rPr>
          <w:rFonts w:ascii="Times New Roman" w:hAnsi="Times New Roman" w:cs="Times New Roman"/>
          <w:sz w:val="24"/>
          <w:szCs w:val="24"/>
        </w:rPr>
        <w:t xml:space="preserve">; do </w:t>
      </w:r>
      <w:r w:rsidR="00553CD5">
        <w:rPr>
          <w:rFonts w:ascii="Times New Roman" w:hAnsi="Times New Roman" w:cs="Times New Roman"/>
          <w:sz w:val="24"/>
          <w:szCs w:val="24"/>
        </w:rPr>
        <w:t xml:space="preserve">you think </w:t>
      </w:r>
      <w:r w:rsidRPr="00553CD5">
        <w:rPr>
          <w:rFonts w:ascii="Times New Roman" w:hAnsi="Times New Roman" w:cs="Times New Roman"/>
          <w:sz w:val="24"/>
          <w:szCs w:val="24"/>
        </w:rPr>
        <w:t xml:space="preserve">they </w:t>
      </w:r>
      <w:r w:rsidR="00A609BB" w:rsidRPr="00553CD5">
        <w:rPr>
          <w:rFonts w:ascii="Times New Roman" w:hAnsi="Times New Roman" w:cs="Times New Roman"/>
          <w:sz w:val="24"/>
          <w:szCs w:val="24"/>
        </w:rPr>
        <w:t xml:space="preserve">use similar </w:t>
      </w:r>
      <w:r w:rsidR="00553CD5">
        <w:rPr>
          <w:rFonts w:ascii="Times New Roman" w:hAnsi="Times New Roman" w:cs="Times New Roman"/>
          <w:sz w:val="24"/>
          <w:szCs w:val="24"/>
        </w:rPr>
        <w:t xml:space="preserve">decisions-making </w:t>
      </w:r>
      <w:r w:rsidR="00A609BB" w:rsidRPr="00553CD5">
        <w:rPr>
          <w:rFonts w:ascii="Times New Roman" w:hAnsi="Times New Roman" w:cs="Times New Roman"/>
          <w:sz w:val="24"/>
          <w:szCs w:val="24"/>
        </w:rPr>
        <w:t>strategies</w:t>
      </w:r>
      <w:r w:rsidR="00553CD5">
        <w:rPr>
          <w:rFonts w:ascii="Times New Roman" w:hAnsi="Times New Roman" w:cs="Times New Roman"/>
          <w:sz w:val="24"/>
          <w:szCs w:val="24"/>
        </w:rPr>
        <w:t xml:space="preserve"> …</w:t>
      </w:r>
      <w:r w:rsidR="00A609BB" w:rsidRPr="00553CD5">
        <w:rPr>
          <w:rFonts w:ascii="Times New Roman" w:hAnsi="Times New Roman" w:cs="Times New Roman"/>
          <w:sz w:val="24"/>
          <w:szCs w:val="24"/>
        </w:rPr>
        <w:t xml:space="preserve"> different strategies?</w:t>
      </w:r>
    </w:p>
    <w:p w14:paraId="5A50ABBD" w14:textId="77777777" w:rsidR="00C56BB7" w:rsidRPr="00553CD5" w:rsidRDefault="00C56BB7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Describe the role of feedback in your EPAC clinical experiences. </w:t>
      </w:r>
    </w:p>
    <w:p w14:paraId="63D95FCE" w14:textId="77D50739" w:rsidR="00C56BB7" w:rsidRPr="00553CD5" w:rsidRDefault="00C56BB7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What are the differences between feedback in </w:t>
      </w:r>
      <w:r w:rsidR="00553CD5">
        <w:rPr>
          <w:rFonts w:ascii="Times New Roman" w:hAnsi="Times New Roman" w:cs="Times New Roman"/>
          <w:sz w:val="24"/>
          <w:szCs w:val="24"/>
        </w:rPr>
        <w:t>the context of E</w:t>
      </w:r>
      <w:r w:rsidRPr="00553CD5">
        <w:rPr>
          <w:rFonts w:ascii="Times New Roman" w:hAnsi="Times New Roman" w:cs="Times New Roman"/>
          <w:sz w:val="24"/>
          <w:szCs w:val="24"/>
        </w:rPr>
        <w:t xml:space="preserve">PAC compared to </w:t>
      </w:r>
      <w:r w:rsidR="00553CD5">
        <w:rPr>
          <w:rFonts w:ascii="Times New Roman" w:hAnsi="Times New Roman" w:cs="Times New Roman"/>
          <w:sz w:val="24"/>
          <w:szCs w:val="24"/>
        </w:rPr>
        <w:t xml:space="preserve">feedback in </w:t>
      </w:r>
      <w:r w:rsidRPr="00553CD5">
        <w:rPr>
          <w:rFonts w:ascii="Times New Roman" w:hAnsi="Times New Roman" w:cs="Times New Roman"/>
          <w:sz w:val="24"/>
          <w:szCs w:val="24"/>
        </w:rPr>
        <w:t xml:space="preserve">other clinical experiences, if any? </w:t>
      </w:r>
    </w:p>
    <w:p w14:paraId="253D3C20" w14:textId="1BF59EE2" w:rsidR="00C56BB7" w:rsidRPr="00553CD5" w:rsidRDefault="00C56BB7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Do</w:t>
      </w:r>
      <w:r w:rsidR="00553CD5">
        <w:rPr>
          <w:rFonts w:ascii="Times New Roman" w:hAnsi="Times New Roman" w:cs="Times New Roman"/>
          <w:sz w:val="24"/>
          <w:szCs w:val="24"/>
        </w:rPr>
        <w:t xml:space="preserve"> you think</w:t>
      </w:r>
      <w:r w:rsidRPr="00553CD5">
        <w:rPr>
          <w:rFonts w:ascii="Times New Roman" w:hAnsi="Times New Roman" w:cs="Times New Roman"/>
          <w:sz w:val="24"/>
          <w:szCs w:val="24"/>
        </w:rPr>
        <w:t xml:space="preserve"> others 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in EPAC </w:t>
      </w:r>
      <w:r w:rsidRPr="00553CD5">
        <w:rPr>
          <w:rFonts w:ascii="Times New Roman" w:hAnsi="Times New Roman" w:cs="Times New Roman"/>
          <w:sz w:val="24"/>
          <w:szCs w:val="24"/>
        </w:rPr>
        <w:t xml:space="preserve">have similar or different </w:t>
      </w:r>
      <w:r w:rsidR="00553CD5">
        <w:rPr>
          <w:rFonts w:ascii="Times New Roman" w:hAnsi="Times New Roman" w:cs="Times New Roman"/>
          <w:sz w:val="24"/>
          <w:szCs w:val="24"/>
        </w:rPr>
        <w:t xml:space="preserve">feedback </w:t>
      </w:r>
      <w:r w:rsidRPr="00553CD5">
        <w:rPr>
          <w:rFonts w:ascii="Times New Roman" w:hAnsi="Times New Roman" w:cs="Times New Roman"/>
          <w:sz w:val="24"/>
          <w:szCs w:val="24"/>
        </w:rPr>
        <w:t xml:space="preserve">experiences? </w:t>
      </w:r>
    </w:p>
    <w:p w14:paraId="0D6BE908" w14:textId="068CAA79" w:rsidR="00372E0C" w:rsidRPr="00553CD5" w:rsidRDefault="00372E0C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Tell me </w:t>
      </w:r>
      <w:r w:rsidR="00C95D58" w:rsidRPr="00553CD5">
        <w:rPr>
          <w:rFonts w:ascii="Times New Roman" w:hAnsi="Times New Roman" w:cs="Times New Roman"/>
          <w:sz w:val="24"/>
          <w:szCs w:val="24"/>
        </w:rPr>
        <w:t>how the</w:t>
      </w:r>
      <w:r w:rsidRPr="00553CD5">
        <w:rPr>
          <w:rFonts w:ascii="Times New Roman" w:hAnsi="Times New Roman" w:cs="Times New Roman"/>
          <w:sz w:val="24"/>
          <w:szCs w:val="24"/>
        </w:rPr>
        <w:t xml:space="preserve"> longitudinal relationship with pediatric faculty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 has</w:t>
      </w:r>
      <w:r w:rsidRPr="00553CD5">
        <w:rPr>
          <w:rFonts w:ascii="Times New Roman" w:hAnsi="Times New Roman" w:cs="Times New Roman"/>
          <w:sz w:val="24"/>
          <w:szCs w:val="24"/>
        </w:rPr>
        <w:t xml:space="preserve"> influenced your learning</w:t>
      </w:r>
      <w:r w:rsidR="00C95D58" w:rsidRPr="00553CD5">
        <w:rPr>
          <w:rFonts w:ascii="Times New Roman" w:hAnsi="Times New Roman" w:cs="Times New Roman"/>
          <w:sz w:val="24"/>
          <w:szCs w:val="24"/>
        </w:rPr>
        <w:t>, if at all</w:t>
      </w:r>
      <w:r w:rsidRPr="00553C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5978E" w14:textId="5D7498C8" w:rsidR="00372E0C" w:rsidRPr="00553CD5" w:rsidRDefault="00372E0C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Do you think others 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in EPAC </w:t>
      </w:r>
      <w:r w:rsidRPr="00553CD5">
        <w:rPr>
          <w:rFonts w:ascii="Times New Roman" w:hAnsi="Times New Roman" w:cs="Times New Roman"/>
          <w:sz w:val="24"/>
          <w:szCs w:val="24"/>
        </w:rPr>
        <w:t>would say the same thing?</w:t>
      </w:r>
    </w:p>
    <w:p w14:paraId="3693E2A7" w14:textId="635969ED" w:rsidR="00372E0C" w:rsidRPr="00553CD5" w:rsidRDefault="00C95D58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Now tell me about h</w:t>
      </w:r>
      <w:r w:rsidR="00372E0C" w:rsidRPr="00553CD5">
        <w:rPr>
          <w:rFonts w:ascii="Times New Roman" w:hAnsi="Times New Roman" w:cs="Times New Roman"/>
          <w:sz w:val="24"/>
          <w:szCs w:val="24"/>
        </w:rPr>
        <w:t xml:space="preserve">ow </w:t>
      </w:r>
      <w:r w:rsidRPr="00553CD5">
        <w:rPr>
          <w:rFonts w:ascii="Times New Roman" w:hAnsi="Times New Roman" w:cs="Times New Roman"/>
          <w:sz w:val="24"/>
          <w:szCs w:val="24"/>
        </w:rPr>
        <w:t>t</w:t>
      </w:r>
      <w:r w:rsidR="00372E0C" w:rsidRPr="00553CD5">
        <w:rPr>
          <w:rFonts w:ascii="Times New Roman" w:hAnsi="Times New Roman" w:cs="Times New Roman"/>
          <w:sz w:val="24"/>
          <w:szCs w:val="24"/>
        </w:rPr>
        <w:t xml:space="preserve">he longitudinal relationship with a pediatric patient/family </w:t>
      </w:r>
      <w:r w:rsidRPr="00553CD5">
        <w:rPr>
          <w:rFonts w:ascii="Times New Roman" w:hAnsi="Times New Roman" w:cs="Times New Roman"/>
          <w:sz w:val="24"/>
          <w:szCs w:val="24"/>
        </w:rPr>
        <w:t xml:space="preserve">has </w:t>
      </w:r>
      <w:r w:rsidR="00372E0C" w:rsidRPr="00553CD5">
        <w:rPr>
          <w:rFonts w:ascii="Times New Roman" w:hAnsi="Times New Roman" w:cs="Times New Roman"/>
          <w:sz w:val="24"/>
          <w:szCs w:val="24"/>
        </w:rPr>
        <w:t>influenced your learning</w:t>
      </w:r>
      <w:r w:rsidR="00553CD5">
        <w:rPr>
          <w:rFonts w:ascii="Times New Roman" w:hAnsi="Times New Roman" w:cs="Times New Roman"/>
          <w:sz w:val="24"/>
          <w:szCs w:val="24"/>
        </w:rPr>
        <w:t>, if at all.</w:t>
      </w:r>
      <w:r w:rsidR="00372E0C" w:rsidRPr="00553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AB578" w14:textId="5A20BDF6" w:rsidR="00372E0C" w:rsidRPr="00553CD5" w:rsidRDefault="00372E0C" w:rsidP="00BA4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Do you think others </w:t>
      </w:r>
      <w:r w:rsidR="00C95D58" w:rsidRPr="00553CD5">
        <w:rPr>
          <w:rFonts w:ascii="Times New Roman" w:hAnsi="Times New Roman" w:cs="Times New Roman"/>
          <w:sz w:val="24"/>
          <w:szCs w:val="24"/>
        </w:rPr>
        <w:t xml:space="preserve">in EPAC </w:t>
      </w:r>
      <w:r w:rsidRPr="00553CD5">
        <w:rPr>
          <w:rFonts w:ascii="Times New Roman" w:hAnsi="Times New Roman" w:cs="Times New Roman"/>
          <w:sz w:val="24"/>
          <w:szCs w:val="24"/>
        </w:rPr>
        <w:t>would say the same thing?</w:t>
      </w:r>
    </w:p>
    <w:p w14:paraId="09F00493" w14:textId="06010FDF" w:rsidR="00C56BB7" w:rsidRPr="00553CD5" w:rsidRDefault="00C56BB7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What would you tell an incoming student about EPAC? </w:t>
      </w:r>
      <w:r w:rsidR="001674BC" w:rsidRPr="00553CD5">
        <w:rPr>
          <w:rFonts w:ascii="Times New Roman" w:hAnsi="Times New Roman" w:cs="Times New Roman"/>
          <w:sz w:val="24"/>
          <w:szCs w:val="24"/>
        </w:rPr>
        <w:t xml:space="preserve">What </w:t>
      </w:r>
      <w:r w:rsidRPr="00553CD5">
        <w:rPr>
          <w:rFonts w:ascii="Times New Roman" w:hAnsi="Times New Roman" w:cs="Times New Roman"/>
          <w:sz w:val="24"/>
          <w:szCs w:val="24"/>
        </w:rPr>
        <w:t>“lessons learned”</w:t>
      </w:r>
      <w:r w:rsidR="001674BC" w:rsidRPr="00553CD5">
        <w:rPr>
          <w:rFonts w:ascii="Times New Roman" w:hAnsi="Times New Roman" w:cs="Times New Roman"/>
          <w:sz w:val="24"/>
          <w:szCs w:val="24"/>
        </w:rPr>
        <w:t xml:space="preserve"> would you share</w:t>
      </w:r>
      <w:r w:rsidRPr="00553CD5">
        <w:rPr>
          <w:rFonts w:ascii="Times New Roman" w:hAnsi="Times New Roman" w:cs="Times New Roman"/>
          <w:sz w:val="24"/>
          <w:szCs w:val="24"/>
        </w:rPr>
        <w:t>?</w:t>
      </w:r>
    </w:p>
    <w:p w14:paraId="40F72C7C" w14:textId="11C0EC59" w:rsidR="00622F74" w:rsidRPr="00553CD5" w:rsidRDefault="00A609BB" w:rsidP="00BA4A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>Is there anything else you think I should know about EPAC but didn’t ask?</w:t>
      </w:r>
    </w:p>
    <w:p w14:paraId="3137CB21" w14:textId="2649D46E" w:rsidR="00C8163F" w:rsidRPr="00553CD5" w:rsidRDefault="00C8163F" w:rsidP="00BA4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3DEC" w14:textId="08BF8F42" w:rsidR="00C8163F" w:rsidRPr="00553CD5" w:rsidRDefault="00C8163F" w:rsidP="00BA4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788A8" w14:textId="7BE1D2CB" w:rsidR="00C8163F" w:rsidRPr="00553CD5" w:rsidRDefault="00C8163F" w:rsidP="00BA4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D5">
        <w:rPr>
          <w:rFonts w:ascii="Times New Roman" w:hAnsi="Times New Roman" w:cs="Times New Roman"/>
          <w:sz w:val="24"/>
          <w:szCs w:val="24"/>
        </w:rPr>
        <w:t xml:space="preserve">NOTE: The focus group interview was intended to elicit information for program evaluation. We used the above questions to initiate congruent discussions in each focus </w:t>
      </w:r>
      <w:proofErr w:type="gramStart"/>
      <w:r w:rsidRPr="00553CD5">
        <w:rPr>
          <w:rFonts w:ascii="Times New Roman" w:hAnsi="Times New Roman" w:cs="Times New Roman"/>
          <w:sz w:val="24"/>
          <w:szCs w:val="24"/>
        </w:rPr>
        <w:t>group, but</w:t>
      </w:r>
      <w:proofErr w:type="gramEnd"/>
      <w:r w:rsidRPr="00553CD5">
        <w:rPr>
          <w:rFonts w:ascii="Times New Roman" w:hAnsi="Times New Roman" w:cs="Times New Roman"/>
          <w:sz w:val="24"/>
          <w:szCs w:val="24"/>
        </w:rPr>
        <w:t xml:space="preserve"> asked variable follow-up questions that made sense given the flow of the discussion in each group.</w:t>
      </w:r>
    </w:p>
    <w:p w14:paraId="6BF977D9" w14:textId="77777777" w:rsidR="00372E0C" w:rsidRPr="00553CD5" w:rsidRDefault="00372E0C" w:rsidP="00BA4A60">
      <w:pPr>
        <w:pStyle w:val="ListParagraph"/>
        <w:spacing w:after="0" w:line="240" w:lineRule="auto"/>
      </w:pPr>
    </w:p>
    <w:sectPr w:rsidR="00372E0C" w:rsidRPr="00553CD5" w:rsidSect="00C816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D557" w14:textId="77777777" w:rsidR="001B5F94" w:rsidRDefault="001B5F94" w:rsidP="00BA4A60">
      <w:pPr>
        <w:spacing w:after="0" w:line="240" w:lineRule="auto"/>
      </w:pPr>
      <w:r>
        <w:separator/>
      </w:r>
    </w:p>
  </w:endnote>
  <w:endnote w:type="continuationSeparator" w:id="0">
    <w:p w14:paraId="4C126C4D" w14:textId="77777777" w:rsidR="001B5F94" w:rsidRDefault="001B5F94" w:rsidP="00BA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D16" w14:textId="3535FCE0" w:rsidR="00BA4A60" w:rsidRPr="00BA4A60" w:rsidRDefault="00BA4A60" w:rsidP="00BA4A60">
    <w:pPr>
      <w:pStyle w:val="Footer"/>
      <w:ind w:right="360"/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Copyright © the Association of American Medical Colleges. Unauthorized reproduction is prohibited.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D7FE" w14:textId="77777777" w:rsidR="001B5F94" w:rsidRDefault="001B5F94" w:rsidP="00BA4A60">
      <w:pPr>
        <w:spacing w:after="0" w:line="240" w:lineRule="auto"/>
      </w:pPr>
      <w:r>
        <w:separator/>
      </w:r>
    </w:p>
  </w:footnote>
  <w:footnote w:type="continuationSeparator" w:id="0">
    <w:p w14:paraId="2D1A79DD" w14:textId="77777777" w:rsidR="001B5F94" w:rsidRDefault="001B5F94" w:rsidP="00BA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7B3" w14:textId="039E8649" w:rsidR="00BA4A60" w:rsidRPr="00BA4A60" w:rsidRDefault="00BA4A60">
    <w:pPr>
      <w:pStyle w:val="Head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Caro </w:t>
    </w:r>
    <w:proofErr w:type="spellStart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>Monroig</w:t>
    </w:r>
    <w:proofErr w:type="spellEnd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AM, Chen HC, </w:t>
    </w:r>
    <w:proofErr w:type="spellStart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>Carraccio</w:t>
    </w:r>
    <w:proofErr w:type="spellEnd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C, Richards BF, ten Cate O, Balmer DF, EPAC Study Group. Medical Students’ Perspective on Entrustment Decision-Making</w:t>
    </w:r>
    <w:r w:rsidR="006A1086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in an EPA Assessment Framework</w:t>
    </w:r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: A Secondary Data Analysis. </w:t>
    </w:r>
    <w:proofErr w:type="spellStart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>Acad</w:t>
    </w:r>
    <w:proofErr w:type="spellEnd"/>
    <w:r w:rsidRPr="00BA4A6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Med.</w:t>
    </w:r>
  </w:p>
  <w:p w14:paraId="2AF5F812" w14:textId="77777777" w:rsidR="00BA4A60" w:rsidRDefault="00BA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40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D609AC"/>
    <w:multiLevelType w:val="hybridMultilevel"/>
    <w:tmpl w:val="531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111BF"/>
    <w:rsid w:val="001674BC"/>
    <w:rsid w:val="001A40D6"/>
    <w:rsid w:val="001B5F94"/>
    <w:rsid w:val="00201B02"/>
    <w:rsid w:val="002D14A9"/>
    <w:rsid w:val="002F4335"/>
    <w:rsid w:val="00372E0C"/>
    <w:rsid w:val="00375E10"/>
    <w:rsid w:val="003929BC"/>
    <w:rsid w:val="004D604E"/>
    <w:rsid w:val="004F2BA6"/>
    <w:rsid w:val="00553CD5"/>
    <w:rsid w:val="005C1593"/>
    <w:rsid w:val="00622F74"/>
    <w:rsid w:val="00641A55"/>
    <w:rsid w:val="006A1086"/>
    <w:rsid w:val="007E087E"/>
    <w:rsid w:val="00806579"/>
    <w:rsid w:val="00866061"/>
    <w:rsid w:val="0087687A"/>
    <w:rsid w:val="00A609BB"/>
    <w:rsid w:val="00AD7277"/>
    <w:rsid w:val="00B33A56"/>
    <w:rsid w:val="00B528D9"/>
    <w:rsid w:val="00BA4A60"/>
    <w:rsid w:val="00C56BB7"/>
    <w:rsid w:val="00C8163F"/>
    <w:rsid w:val="00C95D58"/>
    <w:rsid w:val="00C97D39"/>
    <w:rsid w:val="00CA19B8"/>
    <w:rsid w:val="00CF02F4"/>
    <w:rsid w:val="00D26B95"/>
    <w:rsid w:val="00D65BE9"/>
    <w:rsid w:val="00DC4919"/>
    <w:rsid w:val="00DE74B8"/>
    <w:rsid w:val="00E1202F"/>
    <w:rsid w:val="00E33A2B"/>
    <w:rsid w:val="00F04AF7"/>
    <w:rsid w:val="00F21FA3"/>
    <w:rsid w:val="00F2411D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20CF"/>
  <w15:chartTrackingRefBased/>
  <w15:docId w15:val="{482ADD36-FB5C-4D04-9DCD-E9C58035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0"/>
  </w:style>
  <w:style w:type="paragraph" w:styleId="Footer">
    <w:name w:val="footer"/>
    <w:basedOn w:val="Normal"/>
    <w:link w:val="FooterChar"/>
    <w:uiPriority w:val="99"/>
    <w:unhideWhenUsed/>
    <w:rsid w:val="00BA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77F7D49A5DC4BA839E0714F4B2C3B" ma:contentTypeVersion="9" ma:contentTypeDescription="Create a new document." ma:contentTypeScope="" ma:versionID="1db6caab5839a4ea393b5f364d8cbd87">
  <xsd:schema xmlns:xsd="http://www.w3.org/2001/XMLSchema" xmlns:xs="http://www.w3.org/2001/XMLSchema" xmlns:p="http://schemas.microsoft.com/office/2006/metadata/properties" xmlns:ns3="8aa61793-ed01-4ca5-a2a7-5d191f6c3788" targetNamespace="http://schemas.microsoft.com/office/2006/metadata/properties" ma:root="true" ma:fieldsID="1ca9e3e1e748b74888dda9b33bf0c880" ns3:_="">
    <xsd:import namespace="8aa61793-ed01-4ca5-a2a7-5d191f6c3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1793-ed01-4ca5-a2a7-5d191f6c3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2E0E-629B-4370-AB13-83D359B8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61793-ed01-4ca5-a2a7-5d191f6c3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5E6F3-A687-4E8E-9889-01724983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AE46-5299-45FB-A2D8-8E9145B25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68009-7BAF-4CC3-A069-D3B8B1C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Balmer, Dorene F</dc:creator>
  <cp:keywords/>
  <dc:description/>
  <cp:lastModifiedBy>Iler, Suzanne</cp:lastModifiedBy>
  <cp:revision>2</cp:revision>
  <cp:lastPrinted>2018-04-25T19:54:00Z</cp:lastPrinted>
  <dcterms:created xsi:type="dcterms:W3CDTF">2020-11-20T13:09:00Z</dcterms:created>
  <dcterms:modified xsi:type="dcterms:W3CDTF">2020-11-20T13:09:00Z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0x010100CF577F7D49A5DC4BA839E0714F4B2C3B</vt:lpwstr>
  </property>
</Properties>
</file>