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B" w:rsidRDefault="00B43C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53593" w:rsidTr="005F0676">
        <w:tc>
          <w:tcPr>
            <w:tcW w:w="9778" w:type="dxa"/>
          </w:tcPr>
          <w:p w:rsidR="00053593" w:rsidRDefault="0085282D" w:rsidP="005F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2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834512" cy="4535343"/>
                  <wp:effectExtent l="0" t="0" r="0" b="0"/>
                  <wp:docPr id="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834512" cy="4535343"/>
                            <a:chOff x="2993921" y="1268760"/>
                            <a:chExt cx="3834512" cy="4535343"/>
                          </a:xfrm>
                        </a:grpSpPr>
                        <a:graphicFrame>
                          <a:nvGraphicFramePr>
                            <a:cNvPr id="4" name="Content Placeholder 3"/>
                            <a:cNvGraphicFramePr>
                              <a:graphicFrameLocks noGrp="1"/>
                            </a:cNvGraphicFramePr>
                          </a:nvGraphicFramePr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4"/>
                            </a:graphicData>
                          </a:graphic>
                          <a:xfrm>
                            <a:off x="3275856" y="1268760"/>
                            <a:ext cx="3552577" cy="2076354"/>
                          </a:xfrm>
                        </a:graphicFrame>
                        <a:graphicFrame>
                          <a:nvGraphicFramePr>
                            <a:cNvPr id="5" name="Chart 4"/>
                            <a:cNvGraphicFramePr/>
                          </a:nvGraphicFramePr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5"/>
                            </a:graphicData>
                          </a:graphic>
                          <a:xfrm>
                            <a:off x="3275857" y="3284984"/>
                            <a:ext cx="3528392" cy="2127596"/>
                          </a:xfrm>
                        </a:graphicFrame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3419872" y="5373216"/>
                              <a:ext cx="2569934" cy="4308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da-DK" sz="1100" b="1" smtClean="0"/>
                                  <a:t>Specimen Category</a:t>
                                </a:r>
                                <a:r>
                                  <a:rPr lang="da-DK" sz="1200" b="1" smtClean="0"/>
                                  <a:t/>
                                </a:r>
                                <a:br>
                                  <a:rPr lang="da-DK" sz="1200" b="1" smtClean="0"/>
                                </a:br>
                                <a:r>
                                  <a:rPr lang="da-DK" sz="1000" b="1" smtClean="0"/>
                                  <a:t>(percent cells with nuclear ER staining)</a:t>
                                </a:r>
                                <a:endParaRPr lang="da-DK" sz="1000" b="1" dirty="0" err="1" smtClean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2993921" y="3503661"/>
                              <a:ext cx="353943" cy="1581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a:spPr>
                          <a:txSp>
                            <a:txBody>
                              <a:bodyPr vert="vert270"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da-DK" sz="1100" b="1" smtClean="0"/>
                                  <a:t>Number of Specimens</a:t>
                                </a:r>
                                <a:endParaRPr lang="da-DK" sz="1100" b="1" dirty="0" err="1" smtClean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3563888" y="1345664"/>
                              <a:ext cx="1440160" cy="3077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da-DK" sz="1400" smtClean="0"/>
                                  <a:t>AS Link 48</a:t>
                                </a:r>
                                <a:endParaRPr lang="da-DK" sz="1400" dirty="0" err="1" smtClean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3563888" y="3362414"/>
                              <a:ext cx="1368152" cy="3077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da-DK" sz="1400" smtClean="0"/>
                                  <a:t>Dako Omnis</a:t>
                                </a:r>
                                <a:endParaRPr lang="da-DK" sz="1400" dirty="0" err="1" smtClean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TextBox 9"/>
                            <a:cNvSpPr txBox="1"/>
                          </a:nvSpPr>
                          <a:spPr>
                            <a:xfrm>
                              <a:off x="2993921" y="1484784"/>
                              <a:ext cx="353943" cy="1581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a:spPr>
                          <a:txSp>
                            <a:txBody>
                              <a:bodyPr vert="vert270"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da-DK" sz="1100" b="1" smtClean="0"/>
                                  <a:t>Number of Specimens</a:t>
                                </a:r>
                                <a:endParaRPr lang="da-DK" sz="1100" b="1" dirty="0" err="1" smtClean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053593" w:rsidRPr="00053593" w:rsidTr="005F0676">
        <w:tc>
          <w:tcPr>
            <w:tcW w:w="9778" w:type="dxa"/>
          </w:tcPr>
          <w:p w:rsidR="005F0676" w:rsidRDefault="005F0676" w:rsidP="0094496A">
            <w:pPr>
              <w:rPr>
                <w:rFonts w:ascii="Arial" w:hAnsi="Arial" w:cs="Arial"/>
                <w:b/>
                <w:lang w:val="en-US"/>
              </w:rPr>
            </w:pPr>
          </w:p>
          <w:p w:rsidR="005F0676" w:rsidRDefault="005F0676" w:rsidP="0094496A">
            <w:pPr>
              <w:rPr>
                <w:rFonts w:ascii="Arial" w:hAnsi="Arial" w:cs="Arial"/>
                <w:b/>
                <w:lang w:val="en-US"/>
              </w:rPr>
            </w:pPr>
          </w:p>
          <w:p w:rsidR="00053593" w:rsidRDefault="00053593" w:rsidP="0094496A">
            <w:pPr>
              <w:rPr>
                <w:rFonts w:ascii="Arial" w:hAnsi="Arial" w:cs="Arial"/>
                <w:lang w:val="en-US"/>
              </w:rPr>
            </w:pPr>
            <w:r w:rsidRPr="00053593">
              <w:rPr>
                <w:rFonts w:ascii="Arial" w:hAnsi="Arial" w:cs="Arial"/>
                <w:b/>
                <w:lang w:val="en-US"/>
              </w:rPr>
              <w:t>Figure SDC1.</w:t>
            </w:r>
            <w:r w:rsidRPr="00053593">
              <w:rPr>
                <w:rFonts w:ascii="Arial" w:hAnsi="Arial" w:cs="Arial"/>
                <w:lang w:val="en-US"/>
              </w:rPr>
              <w:t xml:space="preserve"> Intensity of nuclear ER staining of breast</w:t>
            </w:r>
            <w:r>
              <w:rPr>
                <w:rFonts w:ascii="Arial" w:hAnsi="Arial" w:cs="Arial"/>
                <w:lang w:val="en-US"/>
              </w:rPr>
              <w:t xml:space="preserve"> carcinoma tissues, by specimen category and staining platform. For each ER-stained tissue specimen included in the Method Comparison Study, the pathologists recorded the percentage of positive cells and the staining intensity. For </w:t>
            </w:r>
            <w:r w:rsidR="0094496A">
              <w:rPr>
                <w:rFonts w:ascii="Arial" w:hAnsi="Arial" w:cs="Arial"/>
                <w:lang w:val="en-US"/>
              </w:rPr>
              <w:t>each staining platform</w:t>
            </w:r>
            <w:r w:rsidR="00D71EC8">
              <w:rPr>
                <w:rFonts w:ascii="Arial" w:hAnsi="Arial" w:cs="Arial"/>
                <w:lang w:val="en-US"/>
              </w:rPr>
              <w:t xml:space="preserve"> (Autostainer Link 48 or Dako Omnis)</w:t>
            </w:r>
            <w:r w:rsidR="0094496A">
              <w:rPr>
                <w:rFonts w:ascii="Arial" w:hAnsi="Arial" w:cs="Arial"/>
                <w:lang w:val="en-US"/>
              </w:rPr>
              <w:t>, the number of s</w:t>
            </w:r>
            <w:r>
              <w:rPr>
                <w:rFonts w:ascii="Arial" w:hAnsi="Arial" w:cs="Arial"/>
                <w:lang w:val="en-US"/>
              </w:rPr>
              <w:t xml:space="preserve">pecimens with positive cells </w:t>
            </w:r>
            <w:r w:rsidR="0094496A">
              <w:rPr>
                <w:rFonts w:ascii="Arial" w:hAnsi="Arial" w:cs="Arial"/>
                <w:lang w:val="en-US"/>
              </w:rPr>
              <w:t>is shown</w:t>
            </w:r>
            <w:r>
              <w:rPr>
                <w:rFonts w:ascii="Arial" w:hAnsi="Arial" w:cs="Arial"/>
                <w:lang w:val="en-US"/>
              </w:rPr>
              <w:t xml:space="preserve"> categorized </w:t>
            </w:r>
            <w:r w:rsidR="0094496A">
              <w:rPr>
                <w:rFonts w:ascii="Arial" w:hAnsi="Arial" w:cs="Arial"/>
                <w:lang w:val="en-US"/>
              </w:rPr>
              <w:t xml:space="preserve">by percentage positive cells </w:t>
            </w:r>
            <w:r>
              <w:rPr>
                <w:rFonts w:ascii="Arial" w:hAnsi="Arial" w:cs="Arial"/>
                <w:lang w:val="en-US"/>
              </w:rPr>
              <w:t xml:space="preserve">(&lt;1%, 1-10%, 11-30%, 31-60%, 61-100%) and </w:t>
            </w:r>
            <w:r w:rsidR="0094496A">
              <w:rPr>
                <w:rFonts w:ascii="Arial" w:hAnsi="Arial" w:cs="Arial"/>
                <w:lang w:val="en-US"/>
              </w:rPr>
              <w:t>within each category the number of specimens of each intensity (strong, moderate, weak) is shown.</w:t>
            </w:r>
          </w:p>
          <w:p w:rsidR="00B16213" w:rsidRDefault="00B16213" w:rsidP="0094496A">
            <w:pPr>
              <w:rPr>
                <w:rFonts w:ascii="Arial" w:hAnsi="Arial" w:cs="Arial"/>
                <w:lang w:val="en-US"/>
              </w:rPr>
            </w:pPr>
          </w:p>
          <w:p w:rsidR="00B16213" w:rsidRPr="00053593" w:rsidRDefault="00B16213" w:rsidP="00B162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B16213">
              <w:rPr>
                <w:rFonts w:ascii="Arial" w:hAnsi="Arial" w:cs="Arial"/>
                <w:lang w:val="en-US"/>
              </w:rPr>
              <w:t xml:space="preserve">he results were highly comparable between the two staining platforms in terms of the proportion of positive tumor cells, with a </w:t>
            </w:r>
            <w:r>
              <w:rPr>
                <w:rFonts w:ascii="Arial" w:hAnsi="Arial" w:cs="Arial"/>
                <w:lang w:val="en-US"/>
              </w:rPr>
              <w:t xml:space="preserve">slight </w:t>
            </w:r>
            <w:r w:rsidRPr="00B16213">
              <w:rPr>
                <w:rFonts w:ascii="Arial" w:hAnsi="Arial" w:cs="Arial"/>
                <w:lang w:val="en-US"/>
              </w:rPr>
              <w:t xml:space="preserve">tendency for a higher staining intensity for cases run </w:t>
            </w:r>
            <w:r>
              <w:rPr>
                <w:rFonts w:ascii="Arial" w:hAnsi="Arial" w:cs="Arial"/>
                <w:lang w:val="en-US"/>
              </w:rPr>
              <w:t>on</w:t>
            </w:r>
            <w:r w:rsidRPr="00B16213">
              <w:rPr>
                <w:rFonts w:ascii="Arial" w:hAnsi="Arial" w:cs="Arial"/>
                <w:lang w:val="en-US"/>
              </w:rPr>
              <w:t xml:space="preserve"> the </w:t>
            </w:r>
            <w:r>
              <w:rPr>
                <w:rFonts w:ascii="Arial" w:hAnsi="Arial" w:cs="Arial"/>
                <w:lang w:val="en-US"/>
              </w:rPr>
              <w:t xml:space="preserve">Dako </w:t>
            </w:r>
            <w:r w:rsidRPr="00B16213">
              <w:rPr>
                <w:rFonts w:ascii="Arial" w:hAnsi="Arial" w:cs="Arial"/>
                <w:lang w:val="en-US"/>
              </w:rPr>
              <w:t>Omnis</w:t>
            </w:r>
            <w:r>
              <w:rPr>
                <w:rFonts w:ascii="Arial" w:hAnsi="Arial" w:cs="Arial"/>
                <w:lang w:val="en-US"/>
              </w:rPr>
              <w:t xml:space="preserve"> platform compared to the Autostainer Link 48 platform.</w:t>
            </w:r>
          </w:p>
        </w:tc>
      </w:tr>
    </w:tbl>
    <w:p w:rsidR="00B43C4B" w:rsidRPr="00053593" w:rsidRDefault="00B43C4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43C4B" w:rsidRPr="00053593" w:rsidSect="001514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1304"/>
  <w:hyphenationZone w:val="425"/>
  <w:characterSpacingControl w:val="doNotCompress"/>
  <w:compat/>
  <w:rsids>
    <w:rsidRoot w:val="00B43C4B"/>
    <w:rsid w:val="00024B8F"/>
    <w:rsid w:val="0003057A"/>
    <w:rsid w:val="00041984"/>
    <w:rsid w:val="00053593"/>
    <w:rsid w:val="000C5E91"/>
    <w:rsid w:val="001514E7"/>
    <w:rsid w:val="00190EAB"/>
    <w:rsid w:val="001F518D"/>
    <w:rsid w:val="002A2C1F"/>
    <w:rsid w:val="002A3297"/>
    <w:rsid w:val="002F0787"/>
    <w:rsid w:val="004069EE"/>
    <w:rsid w:val="004F3245"/>
    <w:rsid w:val="005F0676"/>
    <w:rsid w:val="008008FD"/>
    <w:rsid w:val="00820D45"/>
    <w:rsid w:val="0085282D"/>
    <w:rsid w:val="00873BE4"/>
    <w:rsid w:val="00924FC5"/>
    <w:rsid w:val="0094496A"/>
    <w:rsid w:val="00962EB7"/>
    <w:rsid w:val="00B16213"/>
    <w:rsid w:val="00B16620"/>
    <w:rsid w:val="00B43C4B"/>
    <w:rsid w:val="00C77FA0"/>
    <w:rsid w:val="00CE5A77"/>
    <w:rsid w:val="00D326D6"/>
    <w:rsid w:val="00D71EC8"/>
    <w:rsid w:val="00DC1581"/>
    <w:rsid w:val="00E0555D"/>
    <w:rsid w:val="00E97863"/>
    <w:rsid w:val="00ED7B87"/>
    <w:rsid w:val="00FE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kfs\users\ylevy$\Projects\Omnis%20RTU%20FLEX\DAKOS0002_ER_Method%20Comp%20Study\Study%20Report\DAKOS0002-Database-Analysis-Blinded-2014Oct14_edited%20for%20printing_with%20staining%20analys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kfs\users\ylevy$\Projects\Omnis%20RTU%20FLEX\DAKOS0002_ER_Method%20Comp%20Study\Study%20Report\DAKOS0002-Database-Analysis-Blinded-2014Oct14_edited%20for%20printing_with%20staining%20analy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stacked"/>
        <c:ser>
          <c:idx val="0"/>
          <c:order val="0"/>
          <c:tx>
            <c:strRef>
              <c:f>'Breast Carcinoma staining'!$D$31</c:f>
              <c:strCache>
                <c:ptCount val="1"/>
                <c:pt idx="0">
                  <c:v>None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strRef>
              <c:f>'Breast Carcinoma staining'!$C$32:$C$36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'Breast Carcinoma staining'!$D$32:$D$36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'Breast Carcinoma staining'!$E$31</c:f>
              <c:strCache>
                <c:ptCount val="1"/>
                <c:pt idx="0">
                  <c:v>Weak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strRef>
              <c:f>'Breast Carcinoma staining'!$C$32:$C$36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'Breast Carcinoma staining'!$E$32:$E$36</c:f>
              <c:numCache>
                <c:formatCode>General</c:formatCode>
                <c:ptCount val="5"/>
                <c:pt idx="0">
                  <c:v>12</c:v>
                </c:pt>
                <c:pt idx="1">
                  <c:v>15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'Breast Carcinoma staining'!$F$31</c:f>
              <c:strCache>
                <c:ptCount val="1"/>
                <c:pt idx="0">
                  <c:v>Moderate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'Breast Carcinoma staining'!$C$32:$C$36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'Breast Carcinoma staining'!$F$32:$F$36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'Breast Carcinoma staining'!$G$31</c:f>
              <c:strCache>
                <c:ptCount val="1"/>
                <c:pt idx="0">
                  <c:v>Strong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'Breast Carcinoma staining'!$C$32:$C$36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'Breast Carcinoma staining'!$G$32:$G$36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62</c:v>
                </c:pt>
              </c:numCache>
            </c:numRef>
          </c:val>
        </c:ser>
        <c:overlap val="100"/>
        <c:axId val="111315968"/>
        <c:axId val="111317760"/>
      </c:barChart>
      <c:catAx>
        <c:axId val="1113159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da-DK"/>
          </a:p>
        </c:txPr>
        <c:crossAx val="111317760"/>
        <c:crosses val="autoZero"/>
        <c:auto val="1"/>
        <c:lblAlgn val="ctr"/>
        <c:lblOffset val="100"/>
      </c:catAx>
      <c:valAx>
        <c:axId val="111317760"/>
        <c:scaling>
          <c:orientation val="minMax"/>
          <c:max val="9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da-DK"/>
          </a:p>
        </c:txPr>
        <c:crossAx val="1113159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/>
          </a:pPr>
          <a:endParaRPr lang="da-DK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barChart>
        <c:barDir val="col"/>
        <c:grouping val="stacked"/>
        <c:ser>
          <c:idx val="0"/>
          <c:order val="0"/>
          <c:tx>
            <c:strRef>
              <c:f>'Breast Carcinoma staining'!$D$5</c:f>
              <c:strCache>
                <c:ptCount val="1"/>
                <c:pt idx="0">
                  <c:v>None</c:v>
                </c:pt>
              </c:strCache>
            </c:strRef>
          </c:tx>
          <c:spPr>
            <a:solidFill>
              <a:schemeClr val="bg1"/>
            </a:solidFill>
            <a:ln>
              <a:solidFill>
                <a:prstClr val="black"/>
              </a:solidFill>
            </a:ln>
          </c:spPr>
          <c:cat>
            <c:strRef>
              <c:f>'Breast Carcinoma staining'!$C$6:$C$10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'Breast Carcinoma staining'!$D$6:$D$10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'Breast Carcinoma staining'!$E$5</c:f>
              <c:strCache>
                <c:ptCount val="1"/>
                <c:pt idx="0">
                  <c:v>Weak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cat>
            <c:strRef>
              <c:f>'Breast Carcinoma staining'!$C$6:$C$10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'Breast Carcinoma staining'!$E$6:$E$10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'Breast Carcinoma staining'!$F$5</c:f>
              <c:strCache>
                <c:ptCount val="1"/>
                <c:pt idx="0">
                  <c:v>Moderate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'Breast Carcinoma staining'!$C$6:$C$10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'Breast Carcinoma staining'!$F$6:$F$10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10</c:v>
                </c:pt>
                <c:pt idx="4">
                  <c:v>13</c:v>
                </c:pt>
              </c:numCache>
            </c:numRef>
          </c:val>
        </c:ser>
        <c:ser>
          <c:idx val="3"/>
          <c:order val="3"/>
          <c:tx>
            <c:strRef>
              <c:f>'Breast Carcinoma staining'!$G$5</c:f>
              <c:strCache>
                <c:ptCount val="1"/>
                <c:pt idx="0">
                  <c:v>Strong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'Breast Carcinoma staining'!$C$6:$C$10</c:f>
              <c:strCache>
                <c:ptCount val="5"/>
                <c:pt idx="0">
                  <c:v>&lt;1%</c:v>
                </c:pt>
                <c:pt idx="1">
                  <c:v>1-10%</c:v>
                </c:pt>
                <c:pt idx="2">
                  <c:v>11-30%</c:v>
                </c:pt>
                <c:pt idx="3">
                  <c:v>31-60%</c:v>
                </c:pt>
                <c:pt idx="4">
                  <c:v>61-100%</c:v>
                </c:pt>
              </c:strCache>
            </c:strRef>
          </c:cat>
          <c:val>
            <c:numRef>
              <c:f>'Breast Carcinoma staining'!$G$6:$G$10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72</c:v>
                </c:pt>
              </c:numCache>
            </c:numRef>
          </c:val>
        </c:ser>
        <c:overlap val="100"/>
        <c:axId val="109387136"/>
        <c:axId val="109667456"/>
      </c:barChart>
      <c:catAx>
        <c:axId val="10938713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da-DK"/>
          </a:p>
        </c:txPr>
        <c:crossAx val="109667456"/>
        <c:crosses val="autoZero"/>
        <c:lblAlgn val="ctr"/>
        <c:lblOffset val="100"/>
      </c:catAx>
      <c:valAx>
        <c:axId val="109667456"/>
        <c:scaling>
          <c:orientation val="minMax"/>
          <c:max val="9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da-DK"/>
          </a:p>
        </c:txPr>
        <c:crossAx val="1093871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900"/>
          </a:pPr>
          <a:endParaRPr lang="da-DK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 Denmark A/S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ylevy</dc:creator>
  <cp:lastModifiedBy>ylevy</cp:lastModifiedBy>
  <cp:revision>6</cp:revision>
  <dcterms:created xsi:type="dcterms:W3CDTF">2015-06-26T08:29:00Z</dcterms:created>
  <dcterms:modified xsi:type="dcterms:W3CDTF">2015-06-26T09:03:00Z</dcterms:modified>
</cp:coreProperties>
</file>