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1B" w:rsidRPr="0076741B" w:rsidRDefault="0076741B" w:rsidP="0076741B">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8"/>
      </w:tblGrid>
      <w:tr w:rsidR="0076741B" w:rsidRPr="0076741B" w:rsidTr="00383421">
        <w:tc>
          <w:tcPr>
            <w:tcW w:w="9778" w:type="dxa"/>
          </w:tcPr>
          <w:p w:rsidR="0076741B" w:rsidRPr="0076741B" w:rsidRDefault="0076741B" w:rsidP="0076741B">
            <w:pPr>
              <w:spacing w:after="200" w:line="276" w:lineRule="auto"/>
              <w:jc w:val="center"/>
              <w:rPr>
                <w:rFonts w:ascii="Times New Roman" w:hAnsi="Times New Roman" w:cs="Times New Roman"/>
                <w:sz w:val="24"/>
                <w:szCs w:val="24"/>
              </w:rPr>
            </w:pPr>
            <w:r w:rsidRPr="0076741B">
              <w:rPr>
                <w:rFonts w:ascii="Times New Roman" w:hAnsi="Times New Roman" w:cs="Times New Roman"/>
                <w:sz w:val="24"/>
                <w:szCs w:val="24"/>
              </w:rPr>
              <w:drawing>
                <wp:inline distT="0" distB="0" distL="0" distR="0">
                  <wp:extent cx="4104456" cy="4698955"/>
                  <wp:effectExtent l="0" t="0" r="0" b="0"/>
                  <wp:docPr id="15"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04456" cy="4698955"/>
                            <a:chOff x="2915816" y="1178317"/>
                            <a:chExt cx="4104456" cy="4698955"/>
                          </a:xfrm>
                        </a:grpSpPr>
                        <a:grpSp>
                          <a:nvGrpSpPr>
                            <a:cNvPr id="19" name="Group 18"/>
                            <a:cNvGrpSpPr/>
                          </a:nvGrpSpPr>
                          <a:grpSpPr>
                            <a:xfrm>
                              <a:off x="2915816" y="1178317"/>
                              <a:ext cx="4104456" cy="4698955"/>
                              <a:chOff x="2267744" y="1178317"/>
                              <a:chExt cx="4104456" cy="4698955"/>
                            </a:xfrm>
                          </a:grpSpPr>
                          <a:graphicFrame>
                            <a:nvGraphicFramePr>
                              <a:cNvPr id="18" name="Chart 17"/>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4"/>
                              </a:graphicData>
                            </a:graphic>
                            <a:xfrm>
                              <a:off x="2627784" y="1178317"/>
                              <a:ext cx="3744416" cy="2128994"/>
                            </a:xfrm>
                          </a:graphicFrame>
                          <a:graphicFrame>
                            <a:nvGraphicFramePr>
                              <a:cNvPr id="17" name="Chart 16"/>
                              <a:cNvGraphicFramePr>
                                <a:graphicFrameLocks/>
                              </a:cNvGraphicFramePr>
                            </a:nvGraphicFramePr>
                            <a:graphic>
                              <a:graphicData uri="http://schemas.openxmlformats.org/drawingml/2006/chart">
                                <c:chart xmlns:c="http://schemas.openxmlformats.org/drawingml/2006/chart" xmlns:r="http://schemas.openxmlformats.org/officeDocument/2006/relationships" r:id="rId5"/>
                              </a:graphicData>
                            </a:graphic>
                            <a:xfrm>
                              <a:off x="2627784" y="3266549"/>
                              <a:ext cx="3744416" cy="2169212"/>
                            </a:xfrm>
                          </a:graphicFrame>
                          <a:sp>
                            <a:nvSpPr>
                              <a:cNvPr id="6" name="TextBox 5"/>
                              <a:cNvSpPr txBox="1"/>
                            </a:nvSpPr>
                            <a:spPr>
                              <a:xfrm>
                                <a:off x="2915816" y="5446385"/>
                                <a:ext cx="2569934" cy="430887"/>
                              </a:xfrm>
                              <a:prstGeom prst="rect">
                                <a:avLst/>
                              </a:prstGeom>
                              <a:noFill/>
                              <a:ln w="6350">
                                <a:noFill/>
                              </a:ln>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da-DK" sz="1100" b="1" smtClean="0"/>
                                    <a:t>Specimen Category</a:t>
                                  </a:r>
                                  <a:r>
                                    <a:rPr lang="da-DK" sz="1200" b="1" smtClean="0"/>
                                    <a:t/>
                                  </a:r>
                                  <a:br>
                                    <a:rPr lang="da-DK" sz="1200" b="1" smtClean="0"/>
                                  </a:br>
                                  <a:r>
                                    <a:rPr lang="da-DK" sz="1000" b="1" smtClean="0"/>
                                    <a:t>(percent cells with nuclear PR staining)</a:t>
                                  </a:r>
                                  <a:endParaRPr lang="da-DK" sz="1000" b="1" dirty="0" err="1" smtClean="0"/>
                                </a:p>
                              </a:txBody>
                              <a:useSpRect/>
                            </a:txSp>
                          </a:sp>
                          <a:sp>
                            <a:nvSpPr>
                              <a:cNvPr id="7" name="TextBox 6"/>
                              <a:cNvSpPr txBox="1"/>
                            </a:nvSpPr>
                            <a:spPr>
                              <a:xfrm>
                                <a:off x="2267744" y="3410565"/>
                                <a:ext cx="353943" cy="1581523"/>
                              </a:xfrm>
                              <a:prstGeom prst="rect">
                                <a:avLst/>
                              </a:prstGeom>
                              <a:noFill/>
                              <a:ln w="6350">
                                <a:noFill/>
                              </a:ln>
                            </a:spPr>
                            <a:txSp>
                              <a:txBody>
                                <a:bodyPr vert="vert270"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100" b="1" smtClean="0"/>
                                    <a:t>Number of Specimens</a:t>
                                  </a:r>
                                  <a:endParaRPr lang="da-DK" sz="1100" b="1" dirty="0" err="1" smtClean="0"/>
                                </a:p>
                              </a:txBody>
                              <a:useSpRect/>
                            </a:txSp>
                          </a:sp>
                          <a:sp>
                            <a:nvSpPr>
                              <a:cNvPr id="10" name="TextBox 9"/>
                              <a:cNvSpPr txBox="1"/>
                            </a:nvSpPr>
                            <a:spPr>
                              <a:xfrm>
                                <a:off x="2273841" y="1374745"/>
                                <a:ext cx="353943" cy="1581523"/>
                              </a:xfrm>
                              <a:prstGeom prst="rect">
                                <a:avLst/>
                              </a:prstGeom>
                              <a:noFill/>
                              <a:ln w="6350">
                                <a:noFill/>
                              </a:ln>
                            </a:spPr>
                            <a:txSp>
                              <a:txBody>
                                <a:bodyPr vert="vert270"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100" b="1" smtClean="0"/>
                                    <a:t>Number of Specimens</a:t>
                                  </a:r>
                                  <a:endParaRPr lang="da-DK" sz="1100" b="1" dirty="0" err="1" smtClean="0"/>
                                </a:p>
                              </a:txBody>
                              <a:useSpRect/>
                            </a:txSp>
                          </a:sp>
                          <a:sp>
                            <a:nvSpPr>
                              <a:cNvPr id="8" name="TextBox 7"/>
                              <a:cNvSpPr txBox="1"/>
                            </a:nvSpPr>
                            <a:spPr>
                              <a:xfrm>
                                <a:off x="2915816" y="1240457"/>
                                <a:ext cx="1440160" cy="307777"/>
                              </a:xfrm>
                              <a:prstGeom prst="rect">
                                <a:avLst/>
                              </a:prstGeom>
                              <a:noFill/>
                              <a:ln w="6350">
                                <a:no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400" smtClean="0"/>
                                    <a:t>AS Link 48</a:t>
                                  </a:r>
                                  <a:endParaRPr lang="da-DK" sz="1400" dirty="0" err="1" smtClean="0"/>
                                </a:p>
                              </a:txBody>
                              <a:useSpRect/>
                            </a:txSp>
                          </a:sp>
                          <a:sp>
                            <a:nvSpPr>
                              <a:cNvPr id="9" name="TextBox 8"/>
                              <a:cNvSpPr txBox="1"/>
                            </a:nvSpPr>
                            <a:spPr>
                              <a:xfrm>
                                <a:off x="2894560" y="3337742"/>
                                <a:ext cx="1461416" cy="307777"/>
                              </a:xfrm>
                              <a:prstGeom prst="rect">
                                <a:avLst/>
                              </a:prstGeom>
                              <a:noFill/>
                              <a:ln w="6350">
                                <a:no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da-DK" sz="1400" smtClean="0"/>
                                    <a:t>Dako Omnis</a:t>
                                  </a:r>
                                  <a:endParaRPr lang="da-DK" sz="1400" dirty="0" err="1" smtClean="0"/>
                                </a:p>
                              </a:txBody>
                              <a:useSpRect/>
                            </a:txSp>
                          </a:sp>
                        </a:grpSp>
                      </lc:lockedCanvas>
                    </a:graphicData>
                  </a:graphic>
                </wp:inline>
              </w:drawing>
            </w:r>
          </w:p>
        </w:tc>
      </w:tr>
      <w:tr w:rsidR="0076741B" w:rsidRPr="0076741B" w:rsidTr="00383421">
        <w:tc>
          <w:tcPr>
            <w:tcW w:w="9778" w:type="dxa"/>
          </w:tcPr>
          <w:p w:rsidR="0076741B" w:rsidRPr="0076741B" w:rsidRDefault="0076741B" w:rsidP="0076741B">
            <w:pPr>
              <w:spacing w:after="200" w:line="276" w:lineRule="auto"/>
              <w:rPr>
                <w:rFonts w:ascii="Arial" w:hAnsi="Arial" w:cs="Arial"/>
                <w:b/>
                <w:lang w:val="en-US"/>
              </w:rPr>
            </w:pPr>
          </w:p>
          <w:p w:rsidR="0076741B" w:rsidRPr="0076741B" w:rsidRDefault="0076741B" w:rsidP="0076741B">
            <w:pPr>
              <w:spacing w:after="200" w:line="276" w:lineRule="auto"/>
              <w:rPr>
                <w:rFonts w:ascii="Arial" w:hAnsi="Arial" w:cs="Arial"/>
                <w:lang w:val="en-US"/>
              </w:rPr>
            </w:pPr>
            <w:r w:rsidRPr="0076741B">
              <w:rPr>
                <w:rFonts w:ascii="Arial" w:hAnsi="Arial" w:cs="Arial"/>
                <w:b/>
                <w:lang w:val="en-US"/>
              </w:rPr>
              <w:t>Figure SDC4.</w:t>
            </w:r>
            <w:r w:rsidRPr="0076741B">
              <w:rPr>
                <w:rFonts w:ascii="Arial" w:hAnsi="Arial" w:cs="Arial"/>
                <w:lang w:val="en-US"/>
              </w:rPr>
              <w:t xml:space="preserve"> Extent and i</w:t>
            </w:r>
            <w:r w:rsidR="00EB11BF">
              <w:rPr>
                <w:rFonts w:ascii="Arial" w:hAnsi="Arial" w:cs="Arial"/>
                <w:lang w:val="en-US"/>
              </w:rPr>
              <w:t>ntensity of nuclear P</w:t>
            </w:r>
            <w:r w:rsidRPr="0076741B">
              <w:rPr>
                <w:rFonts w:ascii="Arial" w:hAnsi="Arial" w:cs="Arial"/>
                <w:lang w:val="en-US"/>
              </w:rPr>
              <w:t>R staining in the ductal carcinoma in situ (DCIS) component of sections with invasive carcinoma, by specimen category a</w:t>
            </w:r>
            <w:r w:rsidR="00EB11BF">
              <w:rPr>
                <w:rFonts w:ascii="Arial" w:hAnsi="Arial" w:cs="Arial"/>
                <w:lang w:val="en-US"/>
              </w:rPr>
              <w:t>nd staining platform. For each P</w:t>
            </w:r>
            <w:r w:rsidRPr="0076741B">
              <w:rPr>
                <w:rFonts w:ascii="Arial" w:hAnsi="Arial" w:cs="Arial"/>
                <w:lang w:val="en-US"/>
              </w:rPr>
              <w:t>R-stained tissue specimen included in the Method Comparison Study, if the tissue specimen included a DCIS component then the pathologists recorded the percentage of positive cells and the staining intensity within the DCIS. For each staining platform (Autostainer Link 48 or Dako Omnis), the number of specimens with positive cells is shown categorized by percentage positive cells (&lt;1%, 1-10%, 11-30%, 31-60%, 61-100%) and within each category the number of specimens of each intensity (strong, moderate, weak, none) is shown.</w:t>
            </w:r>
          </w:p>
          <w:p w:rsidR="0076741B" w:rsidRPr="0076741B" w:rsidRDefault="0076741B" w:rsidP="00EB11BF">
            <w:pPr>
              <w:spacing w:after="200" w:line="276" w:lineRule="auto"/>
              <w:rPr>
                <w:rFonts w:ascii="Arial" w:hAnsi="Arial" w:cs="Arial"/>
                <w:lang w:val="en-US"/>
              </w:rPr>
            </w:pPr>
            <w:r w:rsidRPr="0076741B">
              <w:rPr>
                <w:rFonts w:ascii="Arial" w:hAnsi="Arial" w:cs="Arial"/>
                <w:lang w:val="en-US"/>
              </w:rPr>
              <w:t xml:space="preserve">For both staining platforms, the majority of specimens </w:t>
            </w:r>
            <w:r w:rsidR="00EB11BF">
              <w:rPr>
                <w:rFonts w:ascii="Arial" w:hAnsi="Arial" w:cs="Arial"/>
                <w:lang w:val="en-US"/>
              </w:rPr>
              <w:t>with DCIS components had P</w:t>
            </w:r>
            <w:r w:rsidRPr="0076741B">
              <w:rPr>
                <w:rFonts w:ascii="Arial" w:hAnsi="Arial" w:cs="Arial"/>
                <w:lang w:val="en-US"/>
              </w:rPr>
              <w:t xml:space="preserve">R nuclear staining in DCIS components of either &lt;1% or &gt;61% of cells. The </w:t>
            </w:r>
            <w:r w:rsidR="00EB11BF">
              <w:rPr>
                <w:rFonts w:ascii="Arial" w:hAnsi="Arial" w:cs="Arial"/>
                <w:lang w:val="en-US"/>
              </w:rPr>
              <w:t xml:space="preserve">proportion of specimens with “strong” </w:t>
            </w:r>
            <w:r w:rsidRPr="0076741B">
              <w:rPr>
                <w:rFonts w:ascii="Arial" w:hAnsi="Arial" w:cs="Arial"/>
                <w:lang w:val="en-US"/>
              </w:rPr>
              <w:t xml:space="preserve">staining </w:t>
            </w:r>
            <w:r w:rsidR="00EB11BF">
              <w:rPr>
                <w:rFonts w:ascii="Arial" w:hAnsi="Arial" w:cs="Arial"/>
                <w:lang w:val="en-US"/>
              </w:rPr>
              <w:t xml:space="preserve">was </w:t>
            </w:r>
            <w:r w:rsidRPr="0076741B">
              <w:rPr>
                <w:rFonts w:ascii="Arial" w:hAnsi="Arial" w:cs="Arial"/>
                <w:lang w:val="en-US"/>
              </w:rPr>
              <w:t xml:space="preserve">correlated with the percentage of cells </w:t>
            </w:r>
            <w:r w:rsidR="00EB11BF">
              <w:rPr>
                <w:rFonts w:ascii="Arial" w:hAnsi="Arial" w:cs="Arial"/>
                <w:lang w:val="en-US"/>
              </w:rPr>
              <w:t>showing P</w:t>
            </w:r>
            <w:r w:rsidRPr="0076741B">
              <w:rPr>
                <w:rFonts w:ascii="Arial" w:hAnsi="Arial" w:cs="Arial"/>
                <w:lang w:val="en-US"/>
              </w:rPr>
              <w:t>R nuclear staining in DCIS components. T</w:t>
            </w:r>
            <w:r w:rsidR="00EB11BF">
              <w:rPr>
                <w:rFonts w:ascii="Arial" w:hAnsi="Arial" w:cs="Arial"/>
                <w:lang w:val="en-US"/>
              </w:rPr>
              <w:t>he pattern of DCIS staining was</w:t>
            </w:r>
            <w:r w:rsidRPr="0076741B">
              <w:rPr>
                <w:rFonts w:ascii="Arial" w:hAnsi="Arial" w:cs="Arial"/>
                <w:lang w:val="en-US"/>
              </w:rPr>
              <w:t xml:space="preserve"> similar between the two staining platforms.</w:t>
            </w:r>
          </w:p>
        </w:tc>
      </w:tr>
    </w:tbl>
    <w:p w:rsidR="0076741B" w:rsidRPr="0076741B" w:rsidRDefault="0076741B" w:rsidP="0076741B">
      <w:pPr>
        <w:rPr>
          <w:rFonts w:ascii="Times New Roman" w:hAnsi="Times New Roman" w:cs="Times New Roman"/>
          <w:sz w:val="24"/>
          <w:szCs w:val="24"/>
          <w:lang w:val="en-US"/>
        </w:rPr>
      </w:pPr>
    </w:p>
    <w:p w:rsidR="00B43C4B" w:rsidRPr="0076741B" w:rsidRDefault="00B43C4B" w:rsidP="0076741B">
      <w:pPr>
        <w:rPr>
          <w:szCs w:val="24"/>
          <w:lang w:val="en-US"/>
        </w:rPr>
      </w:pPr>
    </w:p>
    <w:sectPr w:rsidR="00B43C4B" w:rsidRPr="0076741B" w:rsidSect="001514E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304"/>
  <w:hyphenationZone w:val="425"/>
  <w:characterSpacingControl w:val="doNotCompress"/>
  <w:compat/>
  <w:rsids>
    <w:rsidRoot w:val="00B43C4B"/>
    <w:rsid w:val="00024B8F"/>
    <w:rsid w:val="0003057A"/>
    <w:rsid w:val="00041984"/>
    <w:rsid w:val="00053593"/>
    <w:rsid w:val="000C5E91"/>
    <w:rsid w:val="001514E7"/>
    <w:rsid w:val="00190EAB"/>
    <w:rsid w:val="001F518D"/>
    <w:rsid w:val="002A0B26"/>
    <w:rsid w:val="002A2C1F"/>
    <w:rsid w:val="002A3297"/>
    <w:rsid w:val="002F0787"/>
    <w:rsid w:val="004069EE"/>
    <w:rsid w:val="0049407B"/>
    <w:rsid w:val="004F3245"/>
    <w:rsid w:val="005F0676"/>
    <w:rsid w:val="0076741B"/>
    <w:rsid w:val="008008FD"/>
    <w:rsid w:val="00820D45"/>
    <w:rsid w:val="0085282D"/>
    <w:rsid w:val="00873BE4"/>
    <w:rsid w:val="00924FC5"/>
    <w:rsid w:val="0094496A"/>
    <w:rsid w:val="00962EB7"/>
    <w:rsid w:val="00AC4D10"/>
    <w:rsid w:val="00B16213"/>
    <w:rsid w:val="00B16620"/>
    <w:rsid w:val="00B43C4B"/>
    <w:rsid w:val="00C77FA0"/>
    <w:rsid w:val="00CE5A77"/>
    <w:rsid w:val="00D326D6"/>
    <w:rsid w:val="00D71EC8"/>
    <w:rsid w:val="00DC1581"/>
    <w:rsid w:val="00E0555D"/>
    <w:rsid w:val="00E61F78"/>
    <w:rsid w:val="00E97863"/>
    <w:rsid w:val="00EB11BF"/>
    <w:rsid w:val="00ED7B87"/>
    <w:rsid w:val="00FE4C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4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ataserv4\users\ylevy$\Projects\Omnis%20RTU%20FLEX\DAKOS0004_PR_Method%20Comp%20Study\Study%20Report\DAKOS0004-Database-Unblinded-2015MAY08-FINAL_ERROR%20CORRECTED_with%20staining%20analys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taserv4\users\ylevy$\Projects\Omnis%20RTU%20FLEX\DAKOS0004_PR_Method%20Comp%20Study\Study%20Report\DAKOS0004-Database-Unblinded-2015MAY08-FINAL_ERROR%20CORRECTED_with%20staining%20analy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a-DK"/>
  <c:chart>
    <c:autoTitleDeleted val="1"/>
    <c:plotArea>
      <c:layout/>
      <c:barChart>
        <c:barDir val="col"/>
        <c:grouping val="stacked"/>
        <c:ser>
          <c:idx val="0"/>
          <c:order val="0"/>
          <c:tx>
            <c:strRef>
              <c:f>'DCIS Staining'!$D$31</c:f>
              <c:strCache>
                <c:ptCount val="1"/>
                <c:pt idx="0">
                  <c:v>None</c:v>
                </c:pt>
              </c:strCache>
            </c:strRef>
          </c:tx>
          <c:spPr>
            <a:solidFill>
              <a:schemeClr val="bg1"/>
            </a:solidFill>
            <a:ln>
              <a:solidFill>
                <a:schemeClr val="tx1"/>
              </a:solidFill>
            </a:ln>
          </c:spPr>
          <c:cat>
            <c:strRef>
              <c:f>'DCIS Staining'!$C$32:$C$36</c:f>
              <c:strCache>
                <c:ptCount val="5"/>
                <c:pt idx="0">
                  <c:v>&lt;1%</c:v>
                </c:pt>
                <c:pt idx="1">
                  <c:v>1-10%</c:v>
                </c:pt>
                <c:pt idx="2">
                  <c:v>11-30%</c:v>
                </c:pt>
                <c:pt idx="3">
                  <c:v>31-60%</c:v>
                </c:pt>
                <c:pt idx="4">
                  <c:v>61-100%</c:v>
                </c:pt>
              </c:strCache>
            </c:strRef>
          </c:cat>
          <c:val>
            <c:numRef>
              <c:f>'DCIS Staining'!$D$32:$D$36</c:f>
              <c:numCache>
                <c:formatCode>General</c:formatCode>
                <c:ptCount val="5"/>
                <c:pt idx="0">
                  <c:v>19</c:v>
                </c:pt>
                <c:pt idx="1">
                  <c:v>0</c:v>
                </c:pt>
                <c:pt idx="2">
                  <c:v>0</c:v>
                </c:pt>
                <c:pt idx="3">
                  <c:v>0</c:v>
                </c:pt>
                <c:pt idx="4">
                  <c:v>0</c:v>
                </c:pt>
              </c:numCache>
            </c:numRef>
          </c:val>
        </c:ser>
        <c:ser>
          <c:idx val="1"/>
          <c:order val="1"/>
          <c:tx>
            <c:strRef>
              <c:f>'DCIS Staining'!$E$31</c:f>
              <c:strCache>
                <c:ptCount val="1"/>
                <c:pt idx="0">
                  <c:v>Weak</c:v>
                </c:pt>
              </c:strCache>
            </c:strRef>
          </c:tx>
          <c:spPr>
            <a:solidFill>
              <a:schemeClr val="bg1">
                <a:lumMod val="85000"/>
              </a:schemeClr>
            </a:solidFill>
            <a:ln>
              <a:solidFill>
                <a:schemeClr val="bg1">
                  <a:lumMod val="85000"/>
                </a:schemeClr>
              </a:solidFill>
            </a:ln>
          </c:spPr>
          <c:cat>
            <c:strRef>
              <c:f>'DCIS Staining'!$C$32:$C$36</c:f>
              <c:strCache>
                <c:ptCount val="5"/>
                <c:pt idx="0">
                  <c:v>&lt;1%</c:v>
                </c:pt>
                <c:pt idx="1">
                  <c:v>1-10%</c:v>
                </c:pt>
                <c:pt idx="2">
                  <c:v>11-30%</c:v>
                </c:pt>
                <c:pt idx="3">
                  <c:v>31-60%</c:v>
                </c:pt>
                <c:pt idx="4">
                  <c:v>61-100%</c:v>
                </c:pt>
              </c:strCache>
            </c:strRef>
          </c:cat>
          <c:val>
            <c:numRef>
              <c:f>'DCIS Staining'!$E$32:$E$36</c:f>
              <c:numCache>
                <c:formatCode>General</c:formatCode>
                <c:ptCount val="5"/>
                <c:pt idx="0">
                  <c:v>1</c:v>
                </c:pt>
                <c:pt idx="1">
                  <c:v>4</c:v>
                </c:pt>
                <c:pt idx="2">
                  <c:v>0</c:v>
                </c:pt>
                <c:pt idx="3">
                  <c:v>0</c:v>
                </c:pt>
                <c:pt idx="4">
                  <c:v>0</c:v>
                </c:pt>
              </c:numCache>
            </c:numRef>
          </c:val>
        </c:ser>
        <c:ser>
          <c:idx val="2"/>
          <c:order val="2"/>
          <c:tx>
            <c:strRef>
              <c:f>'DCIS Staining'!$F$31</c:f>
              <c:strCache>
                <c:ptCount val="1"/>
                <c:pt idx="0">
                  <c:v>Moderate</c:v>
                </c:pt>
              </c:strCache>
            </c:strRef>
          </c:tx>
          <c:spPr>
            <a:solidFill>
              <a:schemeClr val="bg1">
                <a:lumMod val="50000"/>
              </a:schemeClr>
            </a:solidFill>
            <a:ln>
              <a:solidFill>
                <a:schemeClr val="bg1">
                  <a:lumMod val="50000"/>
                </a:schemeClr>
              </a:solidFill>
            </a:ln>
          </c:spPr>
          <c:cat>
            <c:strRef>
              <c:f>'DCIS Staining'!$C$32:$C$36</c:f>
              <c:strCache>
                <c:ptCount val="5"/>
                <c:pt idx="0">
                  <c:v>&lt;1%</c:v>
                </c:pt>
                <c:pt idx="1">
                  <c:v>1-10%</c:v>
                </c:pt>
                <c:pt idx="2">
                  <c:v>11-30%</c:v>
                </c:pt>
                <c:pt idx="3">
                  <c:v>31-60%</c:v>
                </c:pt>
                <c:pt idx="4">
                  <c:v>61-100%</c:v>
                </c:pt>
              </c:strCache>
            </c:strRef>
          </c:cat>
          <c:val>
            <c:numRef>
              <c:f>'DCIS Staining'!$F$32:$F$36</c:f>
              <c:numCache>
                <c:formatCode>General</c:formatCode>
                <c:ptCount val="5"/>
                <c:pt idx="0">
                  <c:v>3</c:v>
                </c:pt>
                <c:pt idx="1">
                  <c:v>4</c:v>
                </c:pt>
                <c:pt idx="2">
                  <c:v>3</c:v>
                </c:pt>
                <c:pt idx="3">
                  <c:v>5</c:v>
                </c:pt>
                <c:pt idx="4">
                  <c:v>5</c:v>
                </c:pt>
              </c:numCache>
            </c:numRef>
          </c:val>
        </c:ser>
        <c:ser>
          <c:idx val="3"/>
          <c:order val="3"/>
          <c:tx>
            <c:strRef>
              <c:f>'DCIS Staining'!$G$31</c:f>
              <c:strCache>
                <c:ptCount val="1"/>
                <c:pt idx="0">
                  <c:v>Strong</c:v>
                </c:pt>
              </c:strCache>
            </c:strRef>
          </c:tx>
          <c:spPr>
            <a:solidFill>
              <a:schemeClr val="tx1"/>
            </a:solidFill>
            <a:ln>
              <a:solidFill>
                <a:schemeClr val="tx1"/>
              </a:solidFill>
            </a:ln>
          </c:spPr>
          <c:cat>
            <c:strRef>
              <c:f>'DCIS Staining'!$C$32:$C$36</c:f>
              <c:strCache>
                <c:ptCount val="5"/>
                <c:pt idx="0">
                  <c:v>&lt;1%</c:v>
                </c:pt>
                <c:pt idx="1">
                  <c:v>1-10%</c:v>
                </c:pt>
                <c:pt idx="2">
                  <c:v>11-30%</c:v>
                </c:pt>
                <c:pt idx="3">
                  <c:v>31-60%</c:v>
                </c:pt>
                <c:pt idx="4">
                  <c:v>61-100%</c:v>
                </c:pt>
              </c:strCache>
            </c:strRef>
          </c:cat>
          <c:val>
            <c:numRef>
              <c:f>'DCIS Staining'!$G$32:$G$36</c:f>
              <c:numCache>
                <c:formatCode>General</c:formatCode>
                <c:ptCount val="5"/>
                <c:pt idx="0">
                  <c:v>0</c:v>
                </c:pt>
                <c:pt idx="1">
                  <c:v>4</c:v>
                </c:pt>
                <c:pt idx="2">
                  <c:v>7</c:v>
                </c:pt>
                <c:pt idx="3">
                  <c:v>17</c:v>
                </c:pt>
                <c:pt idx="4">
                  <c:v>45</c:v>
                </c:pt>
              </c:numCache>
            </c:numRef>
          </c:val>
        </c:ser>
        <c:overlap val="100"/>
        <c:axId val="100737792"/>
        <c:axId val="100739712"/>
      </c:barChart>
      <c:catAx>
        <c:axId val="100737792"/>
        <c:scaling>
          <c:orientation val="minMax"/>
        </c:scaling>
        <c:axPos val="b"/>
        <c:numFmt formatCode="@" sourceLinked="1"/>
        <c:tickLblPos val="nextTo"/>
        <c:txPr>
          <a:bodyPr/>
          <a:lstStyle/>
          <a:p>
            <a:pPr>
              <a:defRPr sz="800"/>
            </a:pPr>
            <a:endParaRPr lang="da-DK"/>
          </a:p>
        </c:txPr>
        <c:crossAx val="100739712"/>
        <c:crosses val="autoZero"/>
        <c:auto val="1"/>
        <c:lblAlgn val="ctr"/>
        <c:lblOffset val="100"/>
      </c:catAx>
      <c:valAx>
        <c:axId val="100739712"/>
        <c:scaling>
          <c:orientation val="minMax"/>
          <c:max val="50"/>
        </c:scaling>
        <c:axPos val="l"/>
        <c:majorGridlines/>
        <c:numFmt formatCode="General" sourceLinked="1"/>
        <c:tickLblPos val="nextTo"/>
        <c:txPr>
          <a:bodyPr/>
          <a:lstStyle/>
          <a:p>
            <a:pPr>
              <a:defRPr sz="800"/>
            </a:pPr>
            <a:endParaRPr lang="da-DK"/>
          </a:p>
        </c:txPr>
        <c:crossAx val="10073779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da-DK"/>
  <c:chart>
    <c:autoTitleDeleted val="1"/>
    <c:plotArea>
      <c:layout/>
      <c:barChart>
        <c:barDir val="col"/>
        <c:grouping val="stacked"/>
        <c:ser>
          <c:idx val="0"/>
          <c:order val="0"/>
          <c:tx>
            <c:strRef>
              <c:f>'DCIS Staining'!$D$5</c:f>
              <c:strCache>
                <c:ptCount val="1"/>
                <c:pt idx="0">
                  <c:v>None</c:v>
                </c:pt>
              </c:strCache>
            </c:strRef>
          </c:tx>
          <c:spPr>
            <a:solidFill>
              <a:schemeClr val="bg1"/>
            </a:solidFill>
            <a:ln>
              <a:solidFill>
                <a:schemeClr val="tx1"/>
              </a:solidFill>
            </a:ln>
          </c:spPr>
          <c:cat>
            <c:strRef>
              <c:f>'DCIS Staining'!$C$6:$C$10</c:f>
              <c:strCache>
                <c:ptCount val="5"/>
                <c:pt idx="0">
                  <c:v>&lt;1%</c:v>
                </c:pt>
                <c:pt idx="1">
                  <c:v>1-10%</c:v>
                </c:pt>
                <c:pt idx="2">
                  <c:v>11-30%</c:v>
                </c:pt>
                <c:pt idx="3">
                  <c:v>31-60%</c:v>
                </c:pt>
                <c:pt idx="4">
                  <c:v>61-100%</c:v>
                </c:pt>
              </c:strCache>
            </c:strRef>
          </c:cat>
          <c:val>
            <c:numRef>
              <c:f>'DCIS Staining'!$D$6:$D$10</c:f>
              <c:numCache>
                <c:formatCode>General</c:formatCode>
                <c:ptCount val="5"/>
                <c:pt idx="0">
                  <c:v>22</c:v>
                </c:pt>
                <c:pt idx="1">
                  <c:v>0</c:v>
                </c:pt>
                <c:pt idx="2">
                  <c:v>0</c:v>
                </c:pt>
                <c:pt idx="3">
                  <c:v>0</c:v>
                </c:pt>
                <c:pt idx="4">
                  <c:v>0</c:v>
                </c:pt>
              </c:numCache>
            </c:numRef>
          </c:val>
        </c:ser>
        <c:ser>
          <c:idx val="1"/>
          <c:order val="1"/>
          <c:tx>
            <c:strRef>
              <c:f>'DCIS Staining'!$E$5</c:f>
              <c:strCache>
                <c:ptCount val="1"/>
                <c:pt idx="0">
                  <c:v>Weak</c:v>
                </c:pt>
              </c:strCache>
            </c:strRef>
          </c:tx>
          <c:spPr>
            <a:solidFill>
              <a:schemeClr val="bg1">
                <a:lumMod val="85000"/>
              </a:schemeClr>
            </a:solidFill>
            <a:ln>
              <a:solidFill>
                <a:schemeClr val="bg1">
                  <a:lumMod val="85000"/>
                </a:schemeClr>
              </a:solidFill>
            </a:ln>
          </c:spPr>
          <c:cat>
            <c:strRef>
              <c:f>'DCIS Staining'!$C$6:$C$10</c:f>
              <c:strCache>
                <c:ptCount val="5"/>
                <c:pt idx="0">
                  <c:v>&lt;1%</c:v>
                </c:pt>
                <c:pt idx="1">
                  <c:v>1-10%</c:v>
                </c:pt>
                <c:pt idx="2">
                  <c:v>11-30%</c:v>
                </c:pt>
                <c:pt idx="3">
                  <c:v>31-60%</c:v>
                </c:pt>
                <c:pt idx="4">
                  <c:v>61-100%</c:v>
                </c:pt>
              </c:strCache>
            </c:strRef>
          </c:cat>
          <c:val>
            <c:numRef>
              <c:f>'DCIS Staining'!$E$6:$E$10</c:f>
              <c:numCache>
                <c:formatCode>General</c:formatCode>
                <c:ptCount val="5"/>
                <c:pt idx="0">
                  <c:v>3</c:v>
                </c:pt>
                <c:pt idx="1">
                  <c:v>4</c:v>
                </c:pt>
                <c:pt idx="2">
                  <c:v>1</c:v>
                </c:pt>
                <c:pt idx="3">
                  <c:v>0</c:v>
                </c:pt>
                <c:pt idx="4">
                  <c:v>0</c:v>
                </c:pt>
              </c:numCache>
            </c:numRef>
          </c:val>
        </c:ser>
        <c:ser>
          <c:idx val="2"/>
          <c:order val="2"/>
          <c:tx>
            <c:strRef>
              <c:f>'DCIS Staining'!$F$5</c:f>
              <c:strCache>
                <c:ptCount val="1"/>
                <c:pt idx="0">
                  <c:v>Moderate</c:v>
                </c:pt>
              </c:strCache>
            </c:strRef>
          </c:tx>
          <c:spPr>
            <a:solidFill>
              <a:schemeClr val="tx1">
                <a:lumMod val="50000"/>
                <a:lumOff val="50000"/>
              </a:schemeClr>
            </a:solidFill>
            <a:ln>
              <a:solidFill>
                <a:schemeClr val="bg1">
                  <a:lumMod val="50000"/>
                </a:schemeClr>
              </a:solidFill>
            </a:ln>
          </c:spPr>
          <c:cat>
            <c:strRef>
              <c:f>'DCIS Staining'!$C$6:$C$10</c:f>
              <c:strCache>
                <c:ptCount val="5"/>
                <c:pt idx="0">
                  <c:v>&lt;1%</c:v>
                </c:pt>
                <c:pt idx="1">
                  <c:v>1-10%</c:v>
                </c:pt>
                <c:pt idx="2">
                  <c:v>11-30%</c:v>
                </c:pt>
                <c:pt idx="3">
                  <c:v>31-60%</c:v>
                </c:pt>
                <c:pt idx="4">
                  <c:v>61-100%</c:v>
                </c:pt>
              </c:strCache>
            </c:strRef>
          </c:cat>
          <c:val>
            <c:numRef>
              <c:f>'DCIS Staining'!$F$6:$F$10</c:f>
              <c:numCache>
                <c:formatCode>General</c:formatCode>
                <c:ptCount val="5"/>
                <c:pt idx="0">
                  <c:v>1</c:v>
                </c:pt>
                <c:pt idx="1">
                  <c:v>3</c:v>
                </c:pt>
                <c:pt idx="2">
                  <c:v>8</c:v>
                </c:pt>
                <c:pt idx="3">
                  <c:v>6</c:v>
                </c:pt>
                <c:pt idx="4">
                  <c:v>16</c:v>
                </c:pt>
              </c:numCache>
            </c:numRef>
          </c:val>
        </c:ser>
        <c:ser>
          <c:idx val="3"/>
          <c:order val="3"/>
          <c:tx>
            <c:strRef>
              <c:f>'DCIS Staining'!$G$5</c:f>
              <c:strCache>
                <c:ptCount val="1"/>
                <c:pt idx="0">
                  <c:v>Strong</c:v>
                </c:pt>
              </c:strCache>
            </c:strRef>
          </c:tx>
          <c:spPr>
            <a:solidFill>
              <a:schemeClr val="tx1"/>
            </a:solidFill>
            <a:ln>
              <a:solidFill>
                <a:schemeClr val="tx1"/>
              </a:solidFill>
            </a:ln>
          </c:spPr>
          <c:cat>
            <c:strRef>
              <c:f>'DCIS Staining'!$C$6:$C$10</c:f>
              <c:strCache>
                <c:ptCount val="5"/>
                <c:pt idx="0">
                  <c:v>&lt;1%</c:v>
                </c:pt>
                <c:pt idx="1">
                  <c:v>1-10%</c:v>
                </c:pt>
                <c:pt idx="2">
                  <c:v>11-30%</c:v>
                </c:pt>
                <c:pt idx="3">
                  <c:v>31-60%</c:v>
                </c:pt>
                <c:pt idx="4">
                  <c:v>61-100%</c:v>
                </c:pt>
              </c:strCache>
            </c:strRef>
          </c:cat>
          <c:val>
            <c:numRef>
              <c:f>'DCIS Staining'!$G$6:$G$10</c:f>
              <c:numCache>
                <c:formatCode>General</c:formatCode>
                <c:ptCount val="5"/>
                <c:pt idx="0">
                  <c:v>1</c:v>
                </c:pt>
                <c:pt idx="1">
                  <c:v>1</c:v>
                </c:pt>
                <c:pt idx="2">
                  <c:v>10</c:v>
                </c:pt>
                <c:pt idx="3">
                  <c:v>9</c:v>
                </c:pt>
                <c:pt idx="4">
                  <c:v>34</c:v>
                </c:pt>
              </c:numCache>
            </c:numRef>
          </c:val>
        </c:ser>
        <c:overlap val="100"/>
        <c:axId val="105838080"/>
        <c:axId val="109733760"/>
      </c:barChart>
      <c:catAx>
        <c:axId val="105838080"/>
        <c:scaling>
          <c:orientation val="minMax"/>
        </c:scaling>
        <c:axPos val="b"/>
        <c:numFmt formatCode="@" sourceLinked="1"/>
        <c:tickLblPos val="nextTo"/>
        <c:txPr>
          <a:bodyPr/>
          <a:lstStyle/>
          <a:p>
            <a:pPr>
              <a:defRPr sz="800"/>
            </a:pPr>
            <a:endParaRPr lang="da-DK"/>
          </a:p>
        </c:txPr>
        <c:crossAx val="109733760"/>
        <c:crosses val="autoZero"/>
        <c:auto val="1"/>
        <c:lblAlgn val="ctr"/>
        <c:lblOffset val="100"/>
      </c:catAx>
      <c:valAx>
        <c:axId val="109733760"/>
        <c:scaling>
          <c:orientation val="minMax"/>
          <c:max val="50"/>
        </c:scaling>
        <c:axPos val="l"/>
        <c:majorGridlines/>
        <c:numFmt formatCode="General" sourceLinked="1"/>
        <c:tickLblPos val="nextTo"/>
        <c:txPr>
          <a:bodyPr/>
          <a:lstStyle/>
          <a:p>
            <a:pPr>
              <a:defRPr sz="800"/>
            </a:pPr>
            <a:endParaRPr lang="da-DK"/>
          </a:p>
        </c:txPr>
        <c:crossAx val="105838080"/>
        <c:crosses val="autoZero"/>
        <c:crossBetween val="between"/>
      </c:valAx>
    </c:plotArea>
    <c:legend>
      <c:legendPos val="r"/>
      <c:layout/>
      <c:spPr>
        <a:noFill/>
      </c:sp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155</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Dako Denmark A/S</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ylevy</dc:creator>
  <cp:lastModifiedBy>ylevy</cp:lastModifiedBy>
  <cp:revision>5</cp:revision>
  <dcterms:created xsi:type="dcterms:W3CDTF">2015-06-26T09:16:00Z</dcterms:created>
  <dcterms:modified xsi:type="dcterms:W3CDTF">2015-06-26T09:32:00Z</dcterms:modified>
</cp:coreProperties>
</file>