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F1" w:rsidRPr="00A94280" w:rsidRDefault="001142C6">
      <w:pPr>
        <w:rPr>
          <w:b/>
          <w:bCs/>
          <w:sz w:val="28"/>
          <w:szCs w:val="28"/>
          <w:u w:val="single"/>
        </w:rPr>
      </w:pPr>
      <w:r w:rsidRPr="00A94280">
        <w:rPr>
          <w:b/>
          <w:bCs/>
          <w:sz w:val="28"/>
          <w:szCs w:val="28"/>
          <w:u w:val="single"/>
        </w:rPr>
        <w:t xml:space="preserve">Search </w:t>
      </w:r>
      <w:r w:rsidR="004B26AF" w:rsidRPr="00A94280">
        <w:rPr>
          <w:b/>
          <w:bCs/>
          <w:sz w:val="28"/>
          <w:szCs w:val="28"/>
          <w:u w:val="single"/>
        </w:rPr>
        <w:t xml:space="preserve">strategy and </w:t>
      </w:r>
      <w:r w:rsidRPr="00A94280">
        <w:rPr>
          <w:b/>
          <w:bCs/>
          <w:sz w:val="28"/>
          <w:szCs w:val="28"/>
          <w:u w:val="single"/>
        </w:rPr>
        <w:t>criteria</w:t>
      </w:r>
      <w:r w:rsidRPr="00BD1ABF">
        <w:rPr>
          <w:b/>
          <w:bCs/>
          <w:sz w:val="28"/>
          <w:szCs w:val="28"/>
        </w:rPr>
        <w:t>:</w:t>
      </w:r>
    </w:p>
    <w:p w:rsidR="001142C6" w:rsidRPr="00A94280" w:rsidRDefault="00B81091" w:rsidP="00495710">
      <w:pPr>
        <w:spacing w:line="360" w:lineRule="auto"/>
        <w:rPr>
          <w:sz w:val="24"/>
          <w:szCs w:val="24"/>
        </w:rPr>
      </w:pPr>
      <w:r w:rsidRPr="00A94280">
        <w:rPr>
          <w:sz w:val="24"/>
          <w:szCs w:val="24"/>
        </w:rPr>
        <w:t>Search strategy and selec</w:t>
      </w:r>
      <w:bookmarkStart w:id="0" w:name="_GoBack"/>
      <w:bookmarkEnd w:id="0"/>
      <w:r w:rsidRPr="00A94280">
        <w:rPr>
          <w:sz w:val="24"/>
          <w:szCs w:val="24"/>
        </w:rPr>
        <w:t>tion criteria for this review were identified by searches of MEDLINE/PubMed</w:t>
      </w:r>
      <w:r w:rsidR="00F438DE" w:rsidRPr="00A94280">
        <w:rPr>
          <w:sz w:val="24"/>
          <w:szCs w:val="24"/>
        </w:rPr>
        <w:t xml:space="preserve"> for </w:t>
      </w:r>
      <w:r w:rsidRPr="00A94280">
        <w:rPr>
          <w:sz w:val="24"/>
          <w:szCs w:val="24"/>
        </w:rPr>
        <w:t xml:space="preserve">relevant articles using the search terms “metastasis to breast”, “secondary cancers to breast”, “non-hematologic </w:t>
      </w:r>
      <w:r w:rsidR="00B204ED" w:rsidRPr="00A94280">
        <w:rPr>
          <w:sz w:val="24"/>
          <w:szCs w:val="24"/>
        </w:rPr>
        <w:t>metastases</w:t>
      </w:r>
      <w:r w:rsidRPr="00A94280">
        <w:rPr>
          <w:sz w:val="24"/>
          <w:szCs w:val="24"/>
        </w:rPr>
        <w:t xml:space="preserve"> to breast”</w:t>
      </w:r>
      <w:r w:rsidR="0060664F">
        <w:rPr>
          <w:sz w:val="24"/>
          <w:szCs w:val="24"/>
        </w:rPr>
        <w:t xml:space="preserve"> and “</w:t>
      </w:r>
      <w:proofErr w:type="spellStart"/>
      <w:r w:rsidR="0060664F">
        <w:rPr>
          <w:sz w:val="24"/>
          <w:szCs w:val="24"/>
        </w:rPr>
        <w:t>intramammary</w:t>
      </w:r>
      <w:proofErr w:type="spellEnd"/>
      <w:r w:rsidR="0060664F">
        <w:rPr>
          <w:sz w:val="24"/>
          <w:szCs w:val="24"/>
        </w:rPr>
        <w:t xml:space="preserve"> metastasis”</w:t>
      </w:r>
      <w:r w:rsidRPr="00A94280">
        <w:rPr>
          <w:sz w:val="24"/>
          <w:szCs w:val="24"/>
        </w:rPr>
        <w:t xml:space="preserve">. </w:t>
      </w:r>
      <w:r w:rsidR="001C1539">
        <w:rPr>
          <w:sz w:val="24"/>
          <w:szCs w:val="24"/>
        </w:rPr>
        <w:t>The</w:t>
      </w:r>
      <w:r w:rsidRPr="00A94280">
        <w:rPr>
          <w:sz w:val="24"/>
          <w:szCs w:val="24"/>
        </w:rPr>
        <w:t xml:space="preserve"> articles published between 19</w:t>
      </w:r>
      <w:r w:rsidR="0047725D">
        <w:rPr>
          <w:sz w:val="24"/>
          <w:szCs w:val="24"/>
        </w:rPr>
        <w:t xml:space="preserve">77 </w:t>
      </w:r>
      <w:r w:rsidRPr="00A94280">
        <w:rPr>
          <w:sz w:val="24"/>
          <w:szCs w:val="24"/>
        </w:rPr>
        <w:t>and 20</w:t>
      </w:r>
      <w:r w:rsidR="001309E6" w:rsidRPr="00A94280">
        <w:rPr>
          <w:sz w:val="24"/>
          <w:szCs w:val="24"/>
        </w:rPr>
        <w:t>1</w:t>
      </w:r>
      <w:r w:rsidR="001C7746">
        <w:rPr>
          <w:sz w:val="24"/>
          <w:szCs w:val="24"/>
        </w:rPr>
        <w:t>9</w:t>
      </w:r>
      <w:r w:rsidRPr="00A94280">
        <w:rPr>
          <w:sz w:val="24"/>
          <w:szCs w:val="24"/>
        </w:rPr>
        <w:t xml:space="preserve"> were included</w:t>
      </w:r>
      <w:r w:rsidR="00F041E6" w:rsidRPr="00A94280">
        <w:rPr>
          <w:sz w:val="24"/>
          <w:szCs w:val="24"/>
        </w:rPr>
        <w:t xml:space="preserve"> in the review</w:t>
      </w:r>
      <w:r w:rsidR="001538FE">
        <w:rPr>
          <w:sz w:val="24"/>
          <w:szCs w:val="24"/>
        </w:rPr>
        <w:t xml:space="preserve"> (last update was done in June 2019)</w:t>
      </w:r>
      <w:r w:rsidRPr="00A94280">
        <w:rPr>
          <w:sz w:val="24"/>
          <w:szCs w:val="24"/>
        </w:rPr>
        <w:t>.</w:t>
      </w:r>
      <w:r w:rsidR="001007DF">
        <w:rPr>
          <w:sz w:val="24"/>
          <w:szCs w:val="24"/>
        </w:rPr>
        <w:t xml:space="preserve"> </w:t>
      </w:r>
      <w:r w:rsidR="004A6E6F" w:rsidRPr="00A94280">
        <w:rPr>
          <w:sz w:val="24"/>
          <w:szCs w:val="24"/>
        </w:rPr>
        <w:t>Case reports and small case series (≤5 cases) are not presented in the table.</w:t>
      </w:r>
    </w:p>
    <w:p w:rsidR="001142C6" w:rsidRDefault="001142C6"/>
    <w:tbl>
      <w:tblPr>
        <w:tblStyle w:val="TableGrid"/>
        <w:tblW w:w="10647" w:type="dxa"/>
        <w:tblInd w:w="-572" w:type="dxa"/>
        <w:tblLook w:val="04A0" w:firstRow="1" w:lastRow="0" w:firstColumn="1" w:lastColumn="0" w:noHBand="0" w:noVBand="1"/>
      </w:tblPr>
      <w:tblGrid>
        <w:gridCol w:w="2048"/>
        <w:gridCol w:w="2299"/>
        <w:gridCol w:w="1749"/>
        <w:gridCol w:w="4551"/>
      </w:tblGrid>
      <w:tr w:rsidR="0066661F" w:rsidTr="00233201">
        <w:tc>
          <w:tcPr>
            <w:tcW w:w="2048" w:type="dxa"/>
          </w:tcPr>
          <w:p w:rsidR="0066661F" w:rsidRPr="00936D78" w:rsidRDefault="0066661F" w:rsidP="00C97B67">
            <w:pPr>
              <w:jc w:val="center"/>
              <w:rPr>
                <w:b/>
                <w:sz w:val="28"/>
                <w:szCs w:val="24"/>
              </w:rPr>
            </w:pPr>
            <w:r w:rsidRPr="00936D78">
              <w:rPr>
                <w:b/>
                <w:sz w:val="28"/>
                <w:szCs w:val="24"/>
              </w:rPr>
              <w:t>Author</w:t>
            </w:r>
          </w:p>
        </w:tc>
        <w:tc>
          <w:tcPr>
            <w:tcW w:w="2299" w:type="dxa"/>
          </w:tcPr>
          <w:p w:rsidR="0066661F" w:rsidRPr="00936D78" w:rsidRDefault="00726802" w:rsidP="00C97B6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Reference</w:t>
            </w:r>
          </w:p>
        </w:tc>
        <w:tc>
          <w:tcPr>
            <w:tcW w:w="1749" w:type="dxa"/>
          </w:tcPr>
          <w:p w:rsidR="0066661F" w:rsidRPr="00936D78" w:rsidRDefault="0066661F" w:rsidP="002B3C99">
            <w:pPr>
              <w:jc w:val="center"/>
              <w:rPr>
                <w:b/>
                <w:sz w:val="28"/>
                <w:szCs w:val="24"/>
              </w:rPr>
            </w:pPr>
            <w:r w:rsidRPr="00936D78">
              <w:rPr>
                <w:b/>
                <w:sz w:val="28"/>
                <w:szCs w:val="24"/>
              </w:rPr>
              <w:t>N</w:t>
            </w:r>
            <w:r w:rsidR="002B3C99">
              <w:rPr>
                <w:b/>
                <w:sz w:val="28"/>
                <w:szCs w:val="24"/>
              </w:rPr>
              <w:t>o</w:t>
            </w:r>
            <w:r w:rsidRPr="00936D78">
              <w:rPr>
                <w:b/>
                <w:sz w:val="28"/>
                <w:szCs w:val="24"/>
              </w:rPr>
              <w:t xml:space="preserve"> of cases</w:t>
            </w:r>
          </w:p>
        </w:tc>
        <w:tc>
          <w:tcPr>
            <w:tcW w:w="4551" w:type="dxa"/>
          </w:tcPr>
          <w:p w:rsidR="0066661F" w:rsidRPr="00936D78" w:rsidRDefault="0066661F" w:rsidP="00C97B67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 w:rsidRPr="00936D78">
              <w:rPr>
                <w:b/>
                <w:sz w:val="28"/>
                <w:szCs w:val="24"/>
              </w:rPr>
              <w:t>Histotypes</w:t>
            </w:r>
            <w:proofErr w:type="spellEnd"/>
            <w:r w:rsidRPr="00936D78">
              <w:rPr>
                <w:b/>
                <w:sz w:val="28"/>
                <w:szCs w:val="24"/>
              </w:rPr>
              <w:t xml:space="preserve"> of metastatic cancer</w:t>
            </w:r>
            <w:r w:rsidR="00C20476">
              <w:rPr>
                <w:b/>
                <w:sz w:val="28"/>
                <w:szCs w:val="24"/>
              </w:rPr>
              <w:t xml:space="preserve"> to </w:t>
            </w:r>
            <w:r w:rsidR="0008047A">
              <w:rPr>
                <w:b/>
                <w:sz w:val="28"/>
                <w:szCs w:val="24"/>
              </w:rPr>
              <w:t xml:space="preserve">the </w:t>
            </w:r>
            <w:r w:rsidR="00C20476">
              <w:rPr>
                <w:b/>
                <w:sz w:val="28"/>
                <w:szCs w:val="24"/>
              </w:rPr>
              <w:t>breast</w:t>
            </w:r>
          </w:p>
        </w:tc>
      </w:tr>
      <w:tr w:rsidR="00531638" w:rsidTr="00233201">
        <w:tc>
          <w:tcPr>
            <w:tcW w:w="2048" w:type="dxa"/>
          </w:tcPr>
          <w:p w:rsidR="00531638" w:rsidRPr="006958B4" w:rsidRDefault="00204A02" w:rsidP="004D7E73">
            <w:pPr>
              <w:jc w:val="center"/>
            </w:pPr>
            <w:r>
              <w:t>Moreno-</w:t>
            </w:r>
            <w:proofErr w:type="spellStart"/>
            <w:r>
              <w:t>Astudillo</w:t>
            </w:r>
            <w:proofErr w:type="spellEnd"/>
            <w:r>
              <w:t xml:space="preserve"> et al. </w:t>
            </w:r>
          </w:p>
        </w:tc>
        <w:tc>
          <w:tcPr>
            <w:tcW w:w="2299" w:type="dxa"/>
          </w:tcPr>
          <w:p w:rsidR="00531638" w:rsidRPr="006958B4" w:rsidRDefault="00531638" w:rsidP="00531638">
            <w:pPr>
              <w:jc w:val="center"/>
            </w:pPr>
            <w:r w:rsidRPr="00531638">
              <w:t xml:space="preserve">Case Rep </w:t>
            </w:r>
            <w:proofErr w:type="spellStart"/>
            <w:r w:rsidRPr="00531638">
              <w:t>Radiol</w:t>
            </w:r>
            <w:proofErr w:type="spellEnd"/>
            <w:r w:rsidRPr="00531638">
              <w:t>. 2019;2019:9454201</w:t>
            </w:r>
          </w:p>
        </w:tc>
        <w:tc>
          <w:tcPr>
            <w:tcW w:w="1749" w:type="dxa"/>
          </w:tcPr>
          <w:p w:rsidR="00531638" w:rsidRPr="006958B4" w:rsidRDefault="00531638" w:rsidP="001F6B23">
            <w:pPr>
              <w:jc w:val="center"/>
            </w:pPr>
            <w:r>
              <w:t>12</w:t>
            </w:r>
            <w:r w:rsidR="00233201">
              <w:t xml:space="preserve"> (2 hematologic)</w:t>
            </w:r>
          </w:p>
        </w:tc>
        <w:tc>
          <w:tcPr>
            <w:tcW w:w="4551" w:type="dxa"/>
          </w:tcPr>
          <w:p w:rsidR="00531638" w:rsidRPr="006958B4" w:rsidRDefault="00204A02" w:rsidP="00204A02">
            <w:pPr>
              <w:jc w:val="center"/>
            </w:pPr>
            <w:r>
              <w:t>Ovarian carcinoma (4), melanoma (3), lymphoma (2), gastric carcinoma (2), oral carcinoma (1)</w:t>
            </w:r>
          </w:p>
        </w:tc>
      </w:tr>
      <w:tr w:rsidR="001F6B23" w:rsidTr="00233201">
        <w:tc>
          <w:tcPr>
            <w:tcW w:w="2048" w:type="dxa"/>
          </w:tcPr>
          <w:p w:rsidR="001F6B23" w:rsidRPr="006958B4" w:rsidRDefault="001F6B23" w:rsidP="004D7E73">
            <w:pPr>
              <w:jc w:val="center"/>
            </w:pPr>
            <w:r w:rsidRPr="006958B4">
              <w:t xml:space="preserve">Sun et al. </w:t>
            </w:r>
          </w:p>
        </w:tc>
        <w:tc>
          <w:tcPr>
            <w:tcW w:w="2299" w:type="dxa"/>
          </w:tcPr>
          <w:p w:rsidR="001F6B23" w:rsidRPr="006958B4" w:rsidRDefault="001F6B23" w:rsidP="001F6B23">
            <w:pPr>
              <w:jc w:val="center"/>
            </w:pPr>
            <w:proofErr w:type="spellStart"/>
            <w:r w:rsidRPr="006958B4">
              <w:t>Oncol</w:t>
            </w:r>
            <w:proofErr w:type="spellEnd"/>
            <w:r w:rsidRPr="006958B4">
              <w:t xml:space="preserve"> Lett. 2018;15:3685-3693</w:t>
            </w:r>
          </w:p>
        </w:tc>
        <w:tc>
          <w:tcPr>
            <w:tcW w:w="1749" w:type="dxa"/>
          </w:tcPr>
          <w:p w:rsidR="001F6B23" w:rsidRPr="006958B4" w:rsidRDefault="001F6B23" w:rsidP="001F6B23">
            <w:pPr>
              <w:jc w:val="center"/>
            </w:pPr>
            <w:r w:rsidRPr="006958B4">
              <w:t>22</w:t>
            </w:r>
          </w:p>
        </w:tc>
        <w:tc>
          <w:tcPr>
            <w:tcW w:w="4551" w:type="dxa"/>
          </w:tcPr>
          <w:p w:rsidR="001F6B23" w:rsidRPr="006958B4" w:rsidRDefault="001F6B23" w:rsidP="001F6B23">
            <w:pPr>
              <w:jc w:val="center"/>
            </w:pPr>
            <w:r w:rsidRPr="006958B4">
              <w:t>Lung (22.7%) and nasopharyngeal carcinoma (18.2%)</w:t>
            </w:r>
          </w:p>
        </w:tc>
      </w:tr>
      <w:tr w:rsidR="003E3748" w:rsidTr="00233201">
        <w:tc>
          <w:tcPr>
            <w:tcW w:w="2048" w:type="dxa"/>
          </w:tcPr>
          <w:p w:rsidR="003E3748" w:rsidRPr="006958B4" w:rsidRDefault="00161C1E" w:rsidP="001F6B23">
            <w:pPr>
              <w:jc w:val="center"/>
            </w:pPr>
            <w:proofErr w:type="spellStart"/>
            <w:r w:rsidRPr="00161C1E">
              <w:t>Bitencourt</w:t>
            </w:r>
            <w:proofErr w:type="spellEnd"/>
            <w:r w:rsidR="004D7E73">
              <w:t xml:space="preserve"> et al. </w:t>
            </w:r>
          </w:p>
        </w:tc>
        <w:tc>
          <w:tcPr>
            <w:tcW w:w="2299" w:type="dxa"/>
          </w:tcPr>
          <w:p w:rsidR="003E3748" w:rsidRPr="006958B4" w:rsidRDefault="003E3748" w:rsidP="003E3748">
            <w:pPr>
              <w:jc w:val="center"/>
            </w:pPr>
            <w:r w:rsidRPr="003E3748">
              <w:t xml:space="preserve">Br J </w:t>
            </w:r>
            <w:proofErr w:type="spellStart"/>
            <w:r w:rsidRPr="003E3748">
              <w:t>Radiol</w:t>
            </w:r>
            <w:proofErr w:type="spellEnd"/>
            <w:r w:rsidRPr="003E3748">
              <w:t>. 2017;</w:t>
            </w:r>
            <w:r>
              <w:t xml:space="preserve"> </w:t>
            </w:r>
            <w:r w:rsidRPr="003E3748">
              <w:t>90:20170197</w:t>
            </w:r>
          </w:p>
        </w:tc>
        <w:tc>
          <w:tcPr>
            <w:tcW w:w="1749" w:type="dxa"/>
          </w:tcPr>
          <w:p w:rsidR="00625D9C" w:rsidRDefault="003E3748" w:rsidP="001F6B23">
            <w:pPr>
              <w:jc w:val="center"/>
            </w:pPr>
            <w:r>
              <w:t>8</w:t>
            </w:r>
            <w:r w:rsidR="002D62D6">
              <w:t xml:space="preserve"> </w:t>
            </w:r>
          </w:p>
          <w:p w:rsidR="003E3748" w:rsidRPr="006958B4" w:rsidRDefault="002D62D6" w:rsidP="001F6B23">
            <w:pPr>
              <w:jc w:val="center"/>
            </w:pPr>
            <w:r>
              <w:t>(2 hematologic)</w:t>
            </w:r>
          </w:p>
        </w:tc>
        <w:tc>
          <w:tcPr>
            <w:tcW w:w="4551" w:type="dxa"/>
          </w:tcPr>
          <w:p w:rsidR="003E3748" w:rsidRPr="006958B4" w:rsidRDefault="002D62D6" w:rsidP="00226AF8">
            <w:pPr>
              <w:jc w:val="center"/>
            </w:pPr>
            <w:r>
              <w:t xml:space="preserve">Melanoma (2), neuroendocrine carcinoma, lung carcinoma, </w:t>
            </w:r>
            <w:r w:rsidR="00D451BC">
              <w:t>ovarian carcinoma (1), lymphomas (2)</w:t>
            </w:r>
          </w:p>
        </w:tc>
      </w:tr>
      <w:tr w:rsidR="001F6B23" w:rsidTr="00233201">
        <w:tc>
          <w:tcPr>
            <w:tcW w:w="2048" w:type="dxa"/>
          </w:tcPr>
          <w:p w:rsidR="001F6B23" w:rsidRPr="006958B4" w:rsidRDefault="004D7E73" w:rsidP="001F6B23">
            <w:pPr>
              <w:jc w:val="center"/>
            </w:pPr>
            <w:proofErr w:type="spellStart"/>
            <w:r>
              <w:t>Buisman</w:t>
            </w:r>
            <w:proofErr w:type="spellEnd"/>
            <w:r>
              <w:t xml:space="preserve"> et al. </w:t>
            </w:r>
          </w:p>
        </w:tc>
        <w:tc>
          <w:tcPr>
            <w:tcW w:w="2299" w:type="dxa"/>
          </w:tcPr>
          <w:p w:rsidR="001F6B23" w:rsidRPr="006958B4" w:rsidRDefault="001F6B23" w:rsidP="001F6B23">
            <w:pPr>
              <w:jc w:val="center"/>
            </w:pPr>
            <w:r w:rsidRPr="006958B4">
              <w:t xml:space="preserve">World J </w:t>
            </w:r>
            <w:proofErr w:type="spellStart"/>
            <w:r w:rsidRPr="006958B4">
              <w:t>Surg</w:t>
            </w:r>
            <w:proofErr w:type="spellEnd"/>
            <w:r w:rsidRPr="006958B4">
              <w:t xml:space="preserve"> </w:t>
            </w:r>
            <w:proofErr w:type="spellStart"/>
            <w:r w:rsidRPr="006958B4">
              <w:t>Oncol</w:t>
            </w:r>
            <w:proofErr w:type="spellEnd"/>
            <w:r w:rsidRPr="006958B4">
              <w:t>. 2016;14:166</w:t>
            </w:r>
          </w:p>
        </w:tc>
        <w:tc>
          <w:tcPr>
            <w:tcW w:w="1749" w:type="dxa"/>
          </w:tcPr>
          <w:p w:rsidR="005227C2" w:rsidRDefault="001F6B23" w:rsidP="005227C2">
            <w:pPr>
              <w:jc w:val="center"/>
            </w:pPr>
            <w:r w:rsidRPr="006958B4">
              <w:t xml:space="preserve">47 </w:t>
            </w:r>
          </w:p>
          <w:p w:rsidR="001F6B23" w:rsidRPr="006958B4" w:rsidRDefault="001F6B23" w:rsidP="009B363B">
            <w:pPr>
              <w:jc w:val="center"/>
            </w:pPr>
            <w:r w:rsidRPr="006958B4">
              <w:t>(</w:t>
            </w:r>
            <w:r w:rsidR="009B363B">
              <w:t xml:space="preserve">18 </w:t>
            </w:r>
            <w:r w:rsidR="005227C2">
              <w:t>h</w:t>
            </w:r>
            <w:r w:rsidRPr="006958B4">
              <w:t>ematologic)</w:t>
            </w:r>
          </w:p>
        </w:tc>
        <w:tc>
          <w:tcPr>
            <w:tcW w:w="4551" w:type="dxa"/>
          </w:tcPr>
          <w:p w:rsidR="001F6B23" w:rsidRPr="006958B4" w:rsidRDefault="001F6B23" w:rsidP="00226AF8">
            <w:pPr>
              <w:jc w:val="center"/>
            </w:pPr>
            <w:r w:rsidRPr="006958B4">
              <w:t xml:space="preserve">Lymphoma (18), melanoma (11), ovary (6), lung (6), colon (3), kidney (1), stomach </w:t>
            </w:r>
            <w:r w:rsidR="00226AF8" w:rsidRPr="006958B4">
              <w:t>(</w:t>
            </w:r>
            <w:r w:rsidRPr="006958B4">
              <w:t>1), and chorion (1).</w:t>
            </w:r>
          </w:p>
        </w:tc>
      </w:tr>
      <w:tr w:rsidR="004F4A71" w:rsidTr="00233201">
        <w:tc>
          <w:tcPr>
            <w:tcW w:w="2048" w:type="dxa"/>
          </w:tcPr>
          <w:p w:rsidR="004F4A71" w:rsidRPr="006958B4" w:rsidRDefault="004D7E73" w:rsidP="001F6B23">
            <w:pPr>
              <w:jc w:val="center"/>
            </w:pPr>
            <w:proofErr w:type="spellStart"/>
            <w:r>
              <w:t>Mirrielees</w:t>
            </w:r>
            <w:proofErr w:type="spellEnd"/>
            <w:r>
              <w:t xml:space="preserve"> et al. </w:t>
            </w:r>
          </w:p>
        </w:tc>
        <w:tc>
          <w:tcPr>
            <w:tcW w:w="2299" w:type="dxa"/>
          </w:tcPr>
          <w:p w:rsidR="004F4A71" w:rsidRPr="006958B4" w:rsidRDefault="008A73D3" w:rsidP="008A73D3">
            <w:pPr>
              <w:jc w:val="center"/>
            </w:pPr>
            <w:r w:rsidRPr="008A73D3">
              <w:t xml:space="preserve">J </w:t>
            </w:r>
            <w:proofErr w:type="spellStart"/>
            <w:r w:rsidRPr="008A73D3">
              <w:t>Surg</w:t>
            </w:r>
            <w:proofErr w:type="spellEnd"/>
            <w:r w:rsidRPr="008A73D3">
              <w:t xml:space="preserve"> Res. 2014;188:419-31</w:t>
            </w:r>
          </w:p>
        </w:tc>
        <w:tc>
          <w:tcPr>
            <w:tcW w:w="1749" w:type="dxa"/>
          </w:tcPr>
          <w:p w:rsidR="004F4A71" w:rsidRPr="006958B4" w:rsidRDefault="004F4A71" w:rsidP="001F6B23">
            <w:pPr>
              <w:jc w:val="center"/>
            </w:pPr>
            <w:r>
              <w:t>31</w:t>
            </w:r>
            <w:r w:rsidR="00DB5EDA">
              <w:t xml:space="preserve"> (systematic review)</w:t>
            </w:r>
          </w:p>
        </w:tc>
        <w:tc>
          <w:tcPr>
            <w:tcW w:w="4551" w:type="dxa"/>
          </w:tcPr>
          <w:p w:rsidR="004F4A71" w:rsidRPr="006958B4" w:rsidRDefault="004F4A71" w:rsidP="008855E9">
            <w:pPr>
              <w:jc w:val="center"/>
            </w:pPr>
            <w:r>
              <w:t>Non-small cell lung carcinoma</w:t>
            </w:r>
          </w:p>
        </w:tc>
      </w:tr>
      <w:tr w:rsidR="001F6B23" w:rsidTr="00233201">
        <w:tc>
          <w:tcPr>
            <w:tcW w:w="2048" w:type="dxa"/>
          </w:tcPr>
          <w:p w:rsidR="001F6B23" w:rsidRPr="006958B4" w:rsidRDefault="001F6B23" w:rsidP="001F6B23">
            <w:pPr>
              <w:jc w:val="center"/>
            </w:pPr>
          </w:p>
          <w:p w:rsidR="001F6B23" w:rsidRPr="006958B4" w:rsidRDefault="004D7E73" w:rsidP="001F6B23">
            <w:pPr>
              <w:jc w:val="center"/>
            </w:pPr>
            <w:r>
              <w:t xml:space="preserve">Zhou et al. </w:t>
            </w:r>
          </w:p>
        </w:tc>
        <w:tc>
          <w:tcPr>
            <w:tcW w:w="2299" w:type="dxa"/>
          </w:tcPr>
          <w:p w:rsidR="001F6B23" w:rsidRPr="006958B4" w:rsidRDefault="001F6B23" w:rsidP="001F6B23">
            <w:pPr>
              <w:jc w:val="center"/>
            </w:pPr>
          </w:p>
          <w:p w:rsidR="001F6B23" w:rsidRPr="006958B4" w:rsidRDefault="001F6B23" w:rsidP="001F6B23">
            <w:pPr>
              <w:jc w:val="center"/>
            </w:pPr>
            <w:proofErr w:type="spellStart"/>
            <w:r w:rsidRPr="006958B4">
              <w:t>Zhonghua</w:t>
            </w:r>
            <w:proofErr w:type="spellEnd"/>
            <w:r w:rsidRPr="006958B4">
              <w:t xml:space="preserve"> Bing Li </w:t>
            </w:r>
            <w:proofErr w:type="spellStart"/>
            <w:r w:rsidRPr="006958B4">
              <w:t>Xue</w:t>
            </w:r>
            <w:proofErr w:type="spellEnd"/>
            <w:r w:rsidRPr="006958B4">
              <w:t xml:space="preserve"> </w:t>
            </w:r>
            <w:proofErr w:type="spellStart"/>
            <w:r w:rsidRPr="006958B4">
              <w:t>Za</w:t>
            </w:r>
            <w:proofErr w:type="spellEnd"/>
            <w:r w:rsidRPr="006958B4">
              <w:t xml:space="preserve"> </w:t>
            </w:r>
            <w:proofErr w:type="spellStart"/>
            <w:r w:rsidRPr="006958B4">
              <w:t>Zhi</w:t>
            </w:r>
            <w:proofErr w:type="spellEnd"/>
            <w:r w:rsidRPr="006958B4">
              <w:t>. 2014</w:t>
            </w:r>
            <w:proofErr w:type="gramStart"/>
            <w:r w:rsidRPr="006958B4">
              <w:t>;43:231</w:t>
            </w:r>
            <w:proofErr w:type="gramEnd"/>
            <w:r w:rsidRPr="006958B4">
              <w:t>-5.</w:t>
            </w:r>
          </w:p>
        </w:tc>
        <w:tc>
          <w:tcPr>
            <w:tcW w:w="1749" w:type="dxa"/>
          </w:tcPr>
          <w:p w:rsidR="001F6B23" w:rsidRPr="006958B4" w:rsidRDefault="001F6B23" w:rsidP="001F6B23">
            <w:pPr>
              <w:jc w:val="center"/>
            </w:pPr>
          </w:p>
          <w:p w:rsidR="001F6B23" w:rsidRPr="006958B4" w:rsidRDefault="001F6B23" w:rsidP="001F6B23">
            <w:pPr>
              <w:jc w:val="center"/>
            </w:pPr>
          </w:p>
          <w:p w:rsidR="001F6B23" w:rsidRPr="006958B4" w:rsidRDefault="001F6B23" w:rsidP="001F6B23">
            <w:pPr>
              <w:jc w:val="center"/>
            </w:pPr>
            <w:r w:rsidRPr="006958B4">
              <w:t>28</w:t>
            </w:r>
          </w:p>
        </w:tc>
        <w:tc>
          <w:tcPr>
            <w:tcW w:w="4551" w:type="dxa"/>
          </w:tcPr>
          <w:p w:rsidR="001F6B23" w:rsidRPr="006958B4" w:rsidRDefault="00777905" w:rsidP="008855E9">
            <w:pPr>
              <w:jc w:val="center"/>
            </w:pPr>
            <w:r w:rsidRPr="006958B4">
              <w:t>Lung</w:t>
            </w:r>
            <w:r w:rsidR="001F6B23" w:rsidRPr="006958B4">
              <w:t xml:space="preserve"> adenocarcinoma</w:t>
            </w:r>
            <w:r w:rsidR="00541ECE" w:rsidRPr="006958B4">
              <w:t xml:space="preserve"> (8)</w:t>
            </w:r>
            <w:r w:rsidR="001F6B23" w:rsidRPr="006958B4">
              <w:t>, ovarian serous carcinoma</w:t>
            </w:r>
            <w:r w:rsidR="00541ECE" w:rsidRPr="006958B4">
              <w:t xml:space="preserve"> (5)</w:t>
            </w:r>
            <w:r w:rsidR="001F6B23" w:rsidRPr="006958B4">
              <w:t>, gastric carcinoma</w:t>
            </w:r>
            <w:r w:rsidR="00541ECE" w:rsidRPr="006958B4">
              <w:t xml:space="preserve"> (3)</w:t>
            </w:r>
            <w:r w:rsidR="001F6B23" w:rsidRPr="006958B4">
              <w:t>, rectal carcinoma</w:t>
            </w:r>
            <w:r w:rsidR="00541ECE" w:rsidRPr="006958B4">
              <w:t xml:space="preserve"> (2)</w:t>
            </w:r>
            <w:r w:rsidR="001F6B23" w:rsidRPr="006958B4">
              <w:t>, pancreatic neuroendocrine carcinoma</w:t>
            </w:r>
            <w:r w:rsidR="001B52FA" w:rsidRPr="006958B4">
              <w:t xml:space="preserve"> (1)</w:t>
            </w:r>
            <w:r w:rsidR="001F6B23" w:rsidRPr="006958B4">
              <w:t>, prostatic carcinoma</w:t>
            </w:r>
            <w:r w:rsidR="006B22C2" w:rsidRPr="006958B4">
              <w:t xml:space="preserve"> (1)</w:t>
            </w:r>
            <w:r w:rsidR="001F6B23" w:rsidRPr="006958B4">
              <w:t>, melanoma</w:t>
            </w:r>
            <w:r w:rsidR="005342AC" w:rsidRPr="006958B4">
              <w:t xml:space="preserve"> (4)</w:t>
            </w:r>
            <w:r w:rsidR="001F6B23" w:rsidRPr="006958B4">
              <w:t>, rhabdomyosarcoma</w:t>
            </w:r>
            <w:r w:rsidR="006474E8" w:rsidRPr="006958B4">
              <w:t xml:space="preserve"> (3)</w:t>
            </w:r>
            <w:r w:rsidR="00EE6A32" w:rsidRPr="006958B4">
              <w:t xml:space="preserve">, </w:t>
            </w:r>
            <w:r w:rsidR="001F6B23" w:rsidRPr="006958B4">
              <w:t>malignant peripheral nerve sheath tumor</w:t>
            </w:r>
            <w:r w:rsidR="00EE6A32" w:rsidRPr="006958B4">
              <w:t xml:space="preserve"> (1</w:t>
            </w:r>
            <w:r w:rsidR="001F6B23" w:rsidRPr="006958B4">
              <w:t>).</w:t>
            </w:r>
          </w:p>
        </w:tc>
      </w:tr>
      <w:tr w:rsidR="0066661F" w:rsidTr="00233201">
        <w:tc>
          <w:tcPr>
            <w:tcW w:w="2048" w:type="dxa"/>
          </w:tcPr>
          <w:p w:rsidR="0066661F" w:rsidRPr="006958B4" w:rsidRDefault="004D7E73" w:rsidP="004D7E73">
            <w:pPr>
              <w:jc w:val="center"/>
            </w:pPr>
            <w:r>
              <w:t>Shah et al.</w:t>
            </w:r>
          </w:p>
        </w:tc>
        <w:tc>
          <w:tcPr>
            <w:tcW w:w="2299" w:type="dxa"/>
          </w:tcPr>
          <w:p w:rsidR="0066661F" w:rsidRPr="006958B4" w:rsidRDefault="0066661F" w:rsidP="00A55F10">
            <w:pPr>
              <w:jc w:val="center"/>
            </w:pPr>
            <w:r w:rsidRPr="006958B4">
              <w:t xml:space="preserve">Gulf J </w:t>
            </w:r>
            <w:proofErr w:type="spellStart"/>
            <w:r w:rsidRPr="006958B4">
              <w:t>Oncolog</w:t>
            </w:r>
            <w:proofErr w:type="spellEnd"/>
            <w:r w:rsidRPr="006958B4">
              <w:t>. 2014</w:t>
            </w:r>
            <w:proofErr w:type="gramStart"/>
            <w:r w:rsidRPr="006958B4">
              <w:t>;1:40</w:t>
            </w:r>
            <w:proofErr w:type="gramEnd"/>
            <w:r w:rsidRPr="006958B4">
              <w:t>-5.</w:t>
            </w:r>
          </w:p>
        </w:tc>
        <w:tc>
          <w:tcPr>
            <w:tcW w:w="1749" w:type="dxa"/>
          </w:tcPr>
          <w:p w:rsidR="0066661F" w:rsidRPr="006958B4" w:rsidRDefault="00344881" w:rsidP="00C97B67">
            <w:pPr>
              <w:jc w:val="center"/>
            </w:pPr>
            <w:r w:rsidRPr="006958B4">
              <w:t>26</w:t>
            </w:r>
          </w:p>
        </w:tc>
        <w:tc>
          <w:tcPr>
            <w:tcW w:w="4551" w:type="dxa"/>
          </w:tcPr>
          <w:p w:rsidR="0066661F" w:rsidRPr="006958B4" w:rsidRDefault="0066661F" w:rsidP="00C97B67">
            <w:pPr>
              <w:jc w:val="center"/>
            </w:pPr>
            <w:r w:rsidRPr="006958B4">
              <w:t xml:space="preserve">adenocarcinoma </w:t>
            </w:r>
            <w:r w:rsidR="002A1766" w:rsidRPr="006958B4">
              <w:t>(13)</w:t>
            </w:r>
          </w:p>
          <w:p w:rsidR="0066661F" w:rsidRPr="006958B4" w:rsidRDefault="0066661F" w:rsidP="00C97B67">
            <w:pPr>
              <w:jc w:val="center"/>
            </w:pPr>
            <w:r w:rsidRPr="006958B4">
              <w:t>squamous cell carcinoma</w:t>
            </w:r>
            <w:r w:rsidR="002A1766" w:rsidRPr="006958B4">
              <w:t xml:space="preserve"> (12)</w:t>
            </w:r>
          </w:p>
          <w:p w:rsidR="0066661F" w:rsidRPr="006958B4" w:rsidRDefault="0066661F" w:rsidP="00C97B67">
            <w:pPr>
              <w:jc w:val="center"/>
            </w:pPr>
            <w:r w:rsidRPr="006958B4">
              <w:t>poorly differentiated carcinoma</w:t>
            </w:r>
            <w:r w:rsidR="002A1766" w:rsidRPr="006958B4">
              <w:t xml:space="preserve"> (1)</w:t>
            </w:r>
          </w:p>
        </w:tc>
      </w:tr>
      <w:tr w:rsidR="0074691E" w:rsidTr="00233201">
        <w:tc>
          <w:tcPr>
            <w:tcW w:w="2048" w:type="dxa"/>
          </w:tcPr>
          <w:p w:rsidR="0074691E" w:rsidRPr="006958B4" w:rsidRDefault="00FF104F" w:rsidP="004D7E73">
            <w:pPr>
              <w:jc w:val="center"/>
            </w:pPr>
            <w:proofErr w:type="spellStart"/>
            <w:r w:rsidRPr="00FF104F">
              <w:t>Bacchi</w:t>
            </w:r>
            <w:proofErr w:type="spellEnd"/>
            <w:r>
              <w:t xml:space="preserve"> et al. </w:t>
            </w:r>
          </w:p>
        </w:tc>
        <w:tc>
          <w:tcPr>
            <w:tcW w:w="2299" w:type="dxa"/>
          </w:tcPr>
          <w:p w:rsidR="0074691E" w:rsidRPr="006958B4" w:rsidRDefault="00103759" w:rsidP="00103759">
            <w:pPr>
              <w:jc w:val="center"/>
            </w:pPr>
            <w:r w:rsidRPr="00103759">
              <w:t xml:space="preserve">Arch </w:t>
            </w:r>
            <w:proofErr w:type="spellStart"/>
            <w:r w:rsidRPr="00103759">
              <w:t>Pathol</w:t>
            </w:r>
            <w:proofErr w:type="spellEnd"/>
            <w:r w:rsidRPr="00103759">
              <w:t xml:space="preserve"> Lab Med. 2013;137:41-9</w:t>
            </w:r>
          </w:p>
        </w:tc>
        <w:tc>
          <w:tcPr>
            <w:tcW w:w="1749" w:type="dxa"/>
          </w:tcPr>
          <w:p w:rsidR="0074691E" w:rsidRPr="006958B4" w:rsidRDefault="0074691E" w:rsidP="001F6B23">
            <w:pPr>
              <w:jc w:val="center"/>
            </w:pPr>
            <w:r>
              <w:t>13</w:t>
            </w:r>
          </w:p>
        </w:tc>
        <w:tc>
          <w:tcPr>
            <w:tcW w:w="4551" w:type="dxa"/>
          </w:tcPr>
          <w:p w:rsidR="0074691E" w:rsidRPr="006958B4" w:rsidRDefault="0074691E" w:rsidP="001F6B23">
            <w:pPr>
              <w:jc w:val="center"/>
            </w:pPr>
            <w:r>
              <w:t>Melanoma (13)</w:t>
            </w:r>
          </w:p>
        </w:tc>
      </w:tr>
      <w:tr w:rsidR="001F6B23" w:rsidTr="00233201">
        <w:tc>
          <w:tcPr>
            <w:tcW w:w="2048" w:type="dxa"/>
          </w:tcPr>
          <w:p w:rsidR="001F6B23" w:rsidRPr="006958B4" w:rsidRDefault="004D7E73" w:rsidP="001F6B23">
            <w:pPr>
              <w:jc w:val="center"/>
            </w:pPr>
            <w:proofErr w:type="spellStart"/>
            <w:r>
              <w:t>DeLair</w:t>
            </w:r>
            <w:proofErr w:type="spellEnd"/>
            <w:r>
              <w:t xml:space="preserve"> DF et al. </w:t>
            </w:r>
          </w:p>
        </w:tc>
        <w:tc>
          <w:tcPr>
            <w:tcW w:w="2299" w:type="dxa"/>
          </w:tcPr>
          <w:p w:rsidR="001F6B23" w:rsidRPr="006958B4" w:rsidRDefault="001F6B23" w:rsidP="001F6B23">
            <w:pPr>
              <w:jc w:val="center"/>
            </w:pPr>
            <w:r w:rsidRPr="006958B4">
              <w:t xml:space="preserve">Mod </w:t>
            </w:r>
            <w:proofErr w:type="spellStart"/>
            <w:r w:rsidRPr="006958B4">
              <w:t>Pathol</w:t>
            </w:r>
            <w:proofErr w:type="spellEnd"/>
            <w:r w:rsidRPr="006958B4">
              <w:t>. 2013;26:343-9</w:t>
            </w:r>
          </w:p>
        </w:tc>
        <w:tc>
          <w:tcPr>
            <w:tcW w:w="1749" w:type="dxa"/>
          </w:tcPr>
          <w:p w:rsidR="001F6B23" w:rsidRPr="006958B4" w:rsidRDefault="001F6B23" w:rsidP="001F6B23">
            <w:pPr>
              <w:jc w:val="center"/>
            </w:pPr>
            <w:r w:rsidRPr="006958B4">
              <w:t>85</w:t>
            </w:r>
          </w:p>
        </w:tc>
        <w:tc>
          <w:tcPr>
            <w:tcW w:w="4551" w:type="dxa"/>
          </w:tcPr>
          <w:p w:rsidR="001F6B23" w:rsidRPr="006958B4" w:rsidRDefault="001F6B23" w:rsidP="001F6B23">
            <w:pPr>
              <w:jc w:val="center"/>
            </w:pPr>
            <w:r w:rsidRPr="006958B4">
              <w:t>Carcinoma (58%), melanoma (22%) and sarcoma (20%).</w:t>
            </w:r>
          </w:p>
        </w:tc>
      </w:tr>
      <w:tr w:rsidR="00CE1AD5" w:rsidTr="00233201">
        <w:tc>
          <w:tcPr>
            <w:tcW w:w="2048" w:type="dxa"/>
          </w:tcPr>
          <w:p w:rsidR="00CE1AD5" w:rsidRPr="006958B4" w:rsidRDefault="004D7E73" w:rsidP="00CE1AD5">
            <w:pPr>
              <w:jc w:val="center"/>
            </w:pPr>
            <w:r>
              <w:t>Rodríguez-Gil et al.</w:t>
            </w:r>
          </w:p>
        </w:tc>
        <w:tc>
          <w:tcPr>
            <w:tcW w:w="2299" w:type="dxa"/>
          </w:tcPr>
          <w:p w:rsidR="00CE1AD5" w:rsidRPr="006958B4" w:rsidRDefault="00CE1AD5" w:rsidP="00CE1AD5">
            <w:pPr>
              <w:jc w:val="center"/>
            </w:pPr>
            <w:proofErr w:type="spellStart"/>
            <w:r w:rsidRPr="006958B4">
              <w:t>Diagn</w:t>
            </w:r>
            <w:proofErr w:type="spellEnd"/>
            <w:r w:rsidRPr="006958B4">
              <w:t xml:space="preserve"> </w:t>
            </w:r>
            <w:proofErr w:type="spellStart"/>
            <w:r w:rsidRPr="006958B4">
              <w:t>Cytopathol</w:t>
            </w:r>
            <w:proofErr w:type="spellEnd"/>
            <w:r w:rsidRPr="006958B4">
              <w:t>. 2012;40:297-304</w:t>
            </w:r>
          </w:p>
        </w:tc>
        <w:tc>
          <w:tcPr>
            <w:tcW w:w="1749" w:type="dxa"/>
          </w:tcPr>
          <w:p w:rsidR="00CE1AD5" w:rsidRPr="006958B4" w:rsidRDefault="00CE1AD5" w:rsidP="00CE1AD5">
            <w:pPr>
              <w:jc w:val="center"/>
            </w:pPr>
            <w:r w:rsidRPr="006958B4">
              <w:t>7</w:t>
            </w:r>
          </w:p>
        </w:tc>
        <w:tc>
          <w:tcPr>
            <w:tcW w:w="4551" w:type="dxa"/>
          </w:tcPr>
          <w:p w:rsidR="00CE1AD5" w:rsidRPr="006958B4" w:rsidRDefault="00CE1AD5" w:rsidP="00CE1AD5">
            <w:pPr>
              <w:jc w:val="center"/>
            </w:pPr>
            <w:r w:rsidRPr="006958B4">
              <w:t xml:space="preserve">Melanoma, synovial sarcoma, alveolar rhabdomyosarcoma, mixed </w:t>
            </w:r>
            <w:proofErr w:type="spellStart"/>
            <w:r w:rsidRPr="006958B4">
              <w:t>müllerian</w:t>
            </w:r>
            <w:proofErr w:type="spellEnd"/>
            <w:r w:rsidRPr="006958B4">
              <w:t xml:space="preserve"> tumor, medullary carcinoma of thyroid, colonic adenocarcinoma, gastric adenocarcinoma</w:t>
            </w:r>
          </w:p>
        </w:tc>
      </w:tr>
      <w:tr w:rsidR="00786FBF" w:rsidTr="00233201">
        <w:tc>
          <w:tcPr>
            <w:tcW w:w="2048" w:type="dxa"/>
          </w:tcPr>
          <w:p w:rsidR="00786FBF" w:rsidRPr="006958B4" w:rsidRDefault="004D7E73" w:rsidP="004D7E73">
            <w:pPr>
              <w:jc w:val="center"/>
            </w:pPr>
            <w:proofErr w:type="spellStart"/>
            <w:r>
              <w:lastRenderedPageBreak/>
              <w:t>Surov</w:t>
            </w:r>
            <w:proofErr w:type="spellEnd"/>
            <w:r>
              <w:t xml:space="preserve"> A et al. </w:t>
            </w:r>
          </w:p>
        </w:tc>
        <w:tc>
          <w:tcPr>
            <w:tcW w:w="2299" w:type="dxa"/>
          </w:tcPr>
          <w:p w:rsidR="00786FBF" w:rsidRPr="006958B4" w:rsidRDefault="00786FBF" w:rsidP="00A55F10">
            <w:pPr>
              <w:jc w:val="center"/>
            </w:pPr>
            <w:proofErr w:type="spellStart"/>
            <w:r w:rsidRPr="006958B4">
              <w:t>Acad</w:t>
            </w:r>
            <w:proofErr w:type="spellEnd"/>
            <w:r w:rsidRPr="006958B4">
              <w:t xml:space="preserve"> </w:t>
            </w:r>
            <w:proofErr w:type="spellStart"/>
            <w:r w:rsidRPr="006958B4">
              <w:t>Radiol</w:t>
            </w:r>
            <w:proofErr w:type="spellEnd"/>
            <w:r w:rsidRPr="006958B4">
              <w:t>. 2011;18:565-74</w:t>
            </w:r>
          </w:p>
        </w:tc>
        <w:tc>
          <w:tcPr>
            <w:tcW w:w="1749" w:type="dxa"/>
          </w:tcPr>
          <w:p w:rsidR="00786FBF" w:rsidRPr="006958B4" w:rsidRDefault="00786FBF" w:rsidP="00C97B67">
            <w:pPr>
              <w:jc w:val="center"/>
            </w:pPr>
            <w:r w:rsidRPr="006958B4">
              <w:t>51</w:t>
            </w:r>
          </w:p>
        </w:tc>
        <w:tc>
          <w:tcPr>
            <w:tcW w:w="4551" w:type="dxa"/>
          </w:tcPr>
          <w:p w:rsidR="00786FBF" w:rsidRPr="006958B4" w:rsidRDefault="00786FBF" w:rsidP="00C97B67">
            <w:pPr>
              <w:jc w:val="center"/>
            </w:pPr>
            <w:r w:rsidRPr="006958B4">
              <w:t>Radiologic characteristics of primary vs. metastatic cancers to the breast</w:t>
            </w:r>
          </w:p>
        </w:tc>
      </w:tr>
      <w:tr w:rsidR="00FB429C" w:rsidTr="00233201">
        <w:tc>
          <w:tcPr>
            <w:tcW w:w="2048" w:type="dxa"/>
          </w:tcPr>
          <w:p w:rsidR="00FB429C" w:rsidRPr="006958B4" w:rsidRDefault="004D7E73" w:rsidP="004D7E73">
            <w:pPr>
              <w:jc w:val="center"/>
            </w:pPr>
            <w:r>
              <w:t xml:space="preserve">Lee et al. </w:t>
            </w:r>
          </w:p>
        </w:tc>
        <w:tc>
          <w:tcPr>
            <w:tcW w:w="2299" w:type="dxa"/>
          </w:tcPr>
          <w:p w:rsidR="00FB429C" w:rsidRPr="006958B4" w:rsidRDefault="00A2512C" w:rsidP="00A2512C">
            <w:pPr>
              <w:jc w:val="center"/>
            </w:pPr>
            <w:r w:rsidRPr="006958B4">
              <w:t xml:space="preserve">J </w:t>
            </w:r>
            <w:proofErr w:type="spellStart"/>
            <w:r w:rsidRPr="006958B4">
              <w:t>Surg</w:t>
            </w:r>
            <w:proofErr w:type="spellEnd"/>
            <w:r w:rsidRPr="006958B4">
              <w:t xml:space="preserve"> </w:t>
            </w:r>
            <w:proofErr w:type="spellStart"/>
            <w:r w:rsidRPr="006958B4">
              <w:t>Oncol</w:t>
            </w:r>
            <w:proofErr w:type="spellEnd"/>
            <w:r w:rsidRPr="006958B4">
              <w:t>. 2010;101:137-40</w:t>
            </w:r>
          </w:p>
        </w:tc>
        <w:tc>
          <w:tcPr>
            <w:tcW w:w="1749" w:type="dxa"/>
          </w:tcPr>
          <w:p w:rsidR="00D553C5" w:rsidRDefault="00FB429C" w:rsidP="00C97B67">
            <w:pPr>
              <w:jc w:val="center"/>
            </w:pPr>
            <w:r w:rsidRPr="006958B4">
              <w:t>33</w:t>
            </w:r>
            <w:r w:rsidR="00C679E4" w:rsidRPr="006958B4">
              <w:t xml:space="preserve"> </w:t>
            </w:r>
          </w:p>
          <w:p w:rsidR="00FB429C" w:rsidRPr="006958B4" w:rsidRDefault="00C679E4" w:rsidP="005227C2">
            <w:pPr>
              <w:jc w:val="center"/>
            </w:pPr>
            <w:r w:rsidRPr="006958B4">
              <w:t>(4 hematologic)</w:t>
            </w:r>
          </w:p>
        </w:tc>
        <w:tc>
          <w:tcPr>
            <w:tcW w:w="4551" w:type="dxa"/>
          </w:tcPr>
          <w:p w:rsidR="00FB429C" w:rsidRPr="006958B4" w:rsidRDefault="00D63BB0" w:rsidP="00C86413">
            <w:pPr>
              <w:jc w:val="center"/>
            </w:pPr>
            <w:r w:rsidRPr="006958B4">
              <w:t>Gastric carcinoma (</w:t>
            </w:r>
            <w:r w:rsidR="00C86413" w:rsidRPr="006958B4">
              <w:t>8</w:t>
            </w:r>
            <w:r w:rsidRPr="006958B4">
              <w:t>), lung (</w:t>
            </w:r>
            <w:r w:rsidR="00C86413" w:rsidRPr="006958B4">
              <w:t>5</w:t>
            </w:r>
            <w:r w:rsidRPr="006958B4">
              <w:t>)</w:t>
            </w:r>
            <w:r w:rsidR="00C86413" w:rsidRPr="006958B4">
              <w:t xml:space="preserve">, </w:t>
            </w:r>
            <w:r w:rsidR="00B87406" w:rsidRPr="006958B4">
              <w:t>liver (2), colon (2),</w:t>
            </w:r>
            <w:r w:rsidR="00747B3F" w:rsidRPr="006958B4">
              <w:t xml:space="preserve"> CUP (2),</w:t>
            </w:r>
            <w:r w:rsidR="00B87406" w:rsidRPr="006958B4">
              <w:t xml:space="preserve"> melanoma (2), </w:t>
            </w:r>
            <w:proofErr w:type="spellStart"/>
            <w:r w:rsidR="00B87406" w:rsidRPr="006958B4">
              <w:t>cholangiocarcinoma</w:t>
            </w:r>
            <w:proofErr w:type="spellEnd"/>
            <w:r w:rsidR="00B87406" w:rsidRPr="006958B4">
              <w:t>,</w:t>
            </w:r>
            <w:r w:rsidR="00424BC1" w:rsidRPr="006958B4">
              <w:t xml:space="preserve"> skin,</w:t>
            </w:r>
            <w:r w:rsidR="00B87406" w:rsidRPr="006958B4">
              <w:t xml:space="preserve"> heart, ovary, prostate, thyroid, trachea, soft tissue (1)</w:t>
            </w:r>
            <w:r w:rsidR="005553C8" w:rsidRPr="006958B4">
              <w:t>, lymphoma and thymus (4)</w:t>
            </w:r>
          </w:p>
        </w:tc>
      </w:tr>
      <w:tr w:rsidR="002A5AC9" w:rsidTr="00233201">
        <w:tc>
          <w:tcPr>
            <w:tcW w:w="2048" w:type="dxa"/>
          </w:tcPr>
          <w:p w:rsidR="002A5AC9" w:rsidRPr="006958B4" w:rsidRDefault="002A5AC9" w:rsidP="004D7E73">
            <w:pPr>
              <w:jc w:val="center"/>
            </w:pPr>
            <w:proofErr w:type="spellStart"/>
            <w:r w:rsidRPr="006958B4">
              <w:t>Kinkor</w:t>
            </w:r>
            <w:proofErr w:type="spellEnd"/>
            <w:r w:rsidRPr="006958B4">
              <w:t xml:space="preserve"> et al. </w:t>
            </w:r>
          </w:p>
        </w:tc>
        <w:tc>
          <w:tcPr>
            <w:tcW w:w="2299" w:type="dxa"/>
          </w:tcPr>
          <w:p w:rsidR="002A5AC9" w:rsidRPr="006958B4" w:rsidRDefault="002A5AC9" w:rsidP="00A55F10">
            <w:pPr>
              <w:jc w:val="center"/>
            </w:pPr>
            <w:proofErr w:type="spellStart"/>
            <w:r w:rsidRPr="006958B4">
              <w:t>Ceska</w:t>
            </w:r>
            <w:proofErr w:type="spellEnd"/>
            <w:r w:rsidRPr="006958B4">
              <w:t xml:space="preserve"> </w:t>
            </w:r>
            <w:proofErr w:type="spellStart"/>
            <w:r w:rsidRPr="006958B4">
              <w:t>Gynekol</w:t>
            </w:r>
            <w:proofErr w:type="spellEnd"/>
            <w:r w:rsidRPr="006958B4">
              <w:t>. 2010</w:t>
            </w:r>
            <w:proofErr w:type="gramStart"/>
            <w:r w:rsidRPr="006958B4">
              <w:t>;75:560</w:t>
            </w:r>
            <w:proofErr w:type="gramEnd"/>
            <w:r w:rsidRPr="006958B4">
              <w:t>-3.</w:t>
            </w:r>
          </w:p>
        </w:tc>
        <w:tc>
          <w:tcPr>
            <w:tcW w:w="1749" w:type="dxa"/>
          </w:tcPr>
          <w:p w:rsidR="002A5AC9" w:rsidRPr="006958B4" w:rsidRDefault="002A5AC9" w:rsidP="00C97B67">
            <w:pPr>
              <w:jc w:val="center"/>
            </w:pPr>
            <w:r w:rsidRPr="006958B4">
              <w:t>9</w:t>
            </w:r>
          </w:p>
        </w:tc>
        <w:tc>
          <w:tcPr>
            <w:tcW w:w="4551" w:type="dxa"/>
          </w:tcPr>
          <w:p w:rsidR="002A5AC9" w:rsidRPr="006958B4" w:rsidRDefault="002A5AC9" w:rsidP="00AB62FC">
            <w:pPr>
              <w:jc w:val="center"/>
            </w:pPr>
            <w:r w:rsidRPr="006958B4">
              <w:t>melanoma</w:t>
            </w:r>
            <w:r w:rsidR="00AB62FC" w:rsidRPr="006958B4">
              <w:t xml:space="preserve"> (3)</w:t>
            </w:r>
            <w:r w:rsidRPr="006958B4">
              <w:t>, small cell carcinoma</w:t>
            </w:r>
            <w:r w:rsidR="00AB62FC" w:rsidRPr="006958B4">
              <w:t xml:space="preserve"> (2), c</w:t>
            </w:r>
            <w:r w:rsidRPr="006958B4">
              <w:t>arcinoma from salivary gland, ovary, kidney and prostate</w:t>
            </w:r>
            <w:r w:rsidR="00AB62FC" w:rsidRPr="006958B4">
              <w:t xml:space="preserve"> (1)</w:t>
            </w:r>
          </w:p>
        </w:tc>
      </w:tr>
      <w:tr w:rsidR="0028203E" w:rsidTr="00233201">
        <w:tc>
          <w:tcPr>
            <w:tcW w:w="2048" w:type="dxa"/>
          </w:tcPr>
          <w:p w:rsidR="0028203E" w:rsidRPr="006958B4" w:rsidRDefault="004D7E73" w:rsidP="004D7E73">
            <w:pPr>
              <w:jc w:val="center"/>
            </w:pPr>
            <w:r>
              <w:t>Sauer et al.</w:t>
            </w:r>
          </w:p>
        </w:tc>
        <w:tc>
          <w:tcPr>
            <w:tcW w:w="2299" w:type="dxa"/>
          </w:tcPr>
          <w:p w:rsidR="0028203E" w:rsidRPr="006958B4" w:rsidRDefault="0028203E" w:rsidP="0028203E">
            <w:pPr>
              <w:jc w:val="center"/>
            </w:pPr>
            <w:proofErr w:type="spellStart"/>
            <w:r w:rsidRPr="006958B4">
              <w:t>Cytojournal</w:t>
            </w:r>
            <w:proofErr w:type="spellEnd"/>
            <w:r w:rsidRPr="006958B4">
              <w:t>. 2010</w:t>
            </w:r>
            <w:proofErr w:type="gramStart"/>
            <w:r w:rsidRPr="006958B4">
              <w:t>;7:10</w:t>
            </w:r>
            <w:proofErr w:type="gramEnd"/>
            <w:r w:rsidRPr="006958B4">
              <w:t>.</w:t>
            </w:r>
          </w:p>
        </w:tc>
        <w:tc>
          <w:tcPr>
            <w:tcW w:w="1749" w:type="dxa"/>
          </w:tcPr>
          <w:p w:rsidR="0028203E" w:rsidRPr="006958B4" w:rsidRDefault="0028203E" w:rsidP="0028203E">
            <w:pPr>
              <w:jc w:val="center"/>
            </w:pPr>
            <w:r w:rsidRPr="006958B4">
              <w:t>36</w:t>
            </w:r>
          </w:p>
        </w:tc>
        <w:tc>
          <w:tcPr>
            <w:tcW w:w="4551" w:type="dxa"/>
          </w:tcPr>
          <w:p w:rsidR="0028203E" w:rsidRPr="006958B4" w:rsidRDefault="0028203E" w:rsidP="0028203E">
            <w:pPr>
              <w:jc w:val="center"/>
            </w:pPr>
            <w:r w:rsidRPr="006958B4">
              <w:t>Lung (15/36 = 41.7%). In five cases (5/36 = 13.9%), the origin remained uncertain</w:t>
            </w:r>
          </w:p>
        </w:tc>
      </w:tr>
      <w:tr w:rsidR="003D3993" w:rsidTr="00233201">
        <w:tc>
          <w:tcPr>
            <w:tcW w:w="2048" w:type="dxa"/>
          </w:tcPr>
          <w:p w:rsidR="003D3993" w:rsidRPr="006958B4" w:rsidRDefault="004D7E73" w:rsidP="004D7E73">
            <w:pPr>
              <w:jc w:val="center"/>
            </w:pPr>
            <w:r>
              <w:t xml:space="preserve">Wood et al. </w:t>
            </w:r>
          </w:p>
        </w:tc>
        <w:tc>
          <w:tcPr>
            <w:tcW w:w="2299" w:type="dxa"/>
          </w:tcPr>
          <w:p w:rsidR="003D3993" w:rsidRPr="006958B4" w:rsidRDefault="003D3993" w:rsidP="003D3993">
            <w:pPr>
              <w:jc w:val="center"/>
            </w:pPr>
            <w:r w:rsidRPr="006958B4">
              <w:t>Pathology. 2008</w:t>
            </w:r>
            <w:proofErr w:type="gramStart"/>
            <w:r w:rsidRPr="006958B4">
              <w:t>;40:345</w:t>
            </w:r>
            <w:proofErr w:type="gramEnd"/>
            <w:r w:rsidRPr="006958B4">
              <w:t>-51.</w:t>
            </w:r>
          </w:p>
        </w:tc>
        <w:tc>
          <w:tcPr>
            <w:tcW w:w="1749" w:type="dxa"/>
          </w:tcPr>
          <w:p w:rsidR="00793696" w:rsidRDefault="003D3993" w:rsidP="003D3993">
            <w:pPr>
              <w:jc w:val="center"/>
            </w:pPr>
            <w:r w:rsidRPr="006958B4">
              <w:t xml:space="preserve">32 </w:t>
            </w:r>
          </w:p>
          <w:p w:rsidR="003D3993" w:rsidRPr="006958B4" w:rsidRDefault="003D3993" w:rsidP="002D08B6">
            <w:pPr>
              <w:jc w:val="center"/>
            </w:pPr>
            <w:r w:rsidRPr="006958B4">
              <w:t>(</w:t>
            </w:r>
            <w:r w:rsidR="002D08B6">
              <w:t>5 hematologic</w:t>
            </w:r>
            <w:r w:rsidRPr="006958B4">
              <w:t>)</w:t>
            </w:r>
          </w:p>
        </w:tc>
        <w:tc>
          <w:tcPr>
            <w:tcW w:w="4551" w:type="dxa"/>
          </w:tcPr>
          <w:p w:rsidR="003D3993" w:rsidRPr="006958B4" w:rsidRDefault="003D3993" w:rsidP="003D3993">
            <w:pPr>
              <w:jc w:val="center"/>
            </w:pPr>
            <w:r w:rsidRPr="006958B4">
              <w:t>Cutaneous melanoma (10), lung (8), non-Hodgkin's lymphoma (5), soft tissue (4), colon (2), endometrium, ovary and bladder.</w:t>
            </w:r>
          </w:p>
        </w:tc>
      </w:tr>
      <w:tr w:rsidR="000C5892" w:rsidTr="00233201">
        <w:tc>
          <w:tcPr>
            <w:tcW w:w="2048" w:type="dxa"/>
          </w:tcPr>
          <w:p w:rsidR="000C5892" w:rsidRPr="006958B4" w:rsidRDefault="004D7E73" w:rsidP="004D7E73">
            <w:pPr>
              <w:jc w:val="center"/>
            </w:pPr>
            <w:proofErr w:type="spellStart"/>
            <w:r>
              <w:t>Fulciniti</w:t>
            </w:r>
            <w:proofErr w:type="spellEnd"/>
            <w:r>
              <w:t xml:space="preserve"> et al.</w:t>
            </w:r>
          </w:p>
        </w:tc>
        <w:tc>
          <w:tcPr>
            <w:tcW w:w="2299" w:type="dxa"/>
          </w:tcPr>
          <w:p w:rsidR="000C5892" w:rsidRPr="006958B4" w:rsidRDefault="00CF5451" w:rsidP="00A55F10">
            <w:pPr>
              <w:jc w:val="center"/>
            </w:pPr>
            <w:r w:rsidRPr="006958B4">
              <w:t xml:space="preserve">Ann </w:t>
            </w:r>
            <w:proofErr w:type="spellStart"/>
            <w:r w:rsidRPr="006958B4">
              <w:t>Oncol</w:t>
            </w:r>
            <w:proofErr w:type="spellEnd"/>
            <w:r w:rsidRPr="006958B4">
              <w:t>. 2008;19:682-7</w:t>
            </w:r>
          </w:p>
        </w:tc>
        <w:tc>
          <w:tcPr>
            <w:tcW w:w="1749" w:type="dxa"/>
          </w:tcPr>
          <w:p w:rsidR="000C5892" w:rsidRPr="006958B4" w:rsidRDefault="000C5892" w:rsidP="00C97B67">
            <w:pPr>
              <w:jc w:val="center"/>
            </w:pPr>
            <w:r w:rsidRPr="006958B4">
              <w:t>9</w:t>
            </w:r>
          </w:p>
        </w:tc>
        <w:tc>
          <w:tcPr>
            <w:tcW w:w="4551" w:type="dxa"/>
          </w:tcPr>
          <w:p w:rsidR="000C5892" w:rsidRPr="006958B4" w:rsidRDefault="000C5892" w:rsidP="000C688D">
            <w:pPr>
              <w:jc w:val="center"/>
            </w:pPr>
            <w:r w:rsidRPr="006958B4">
              <w:t>Ovary (</w:t>
            </w:r>
            <w:r w:rsidR="000C688D" w:rsidRPr="006958B4">
              <w:t>3</w:t>
            </w:r>
            <w:r w:rsidRPr="006958B4">
              <w:t>), melanoma (</w:t>
            </w:r>
            <w:r w:rsidR="000C688D" w:rsidRPr="006958B4">
              <w:t>2</w:t>
            </w:r>
            <w:r w:rsidRPr="006958B4">
              <w:t xml:space="preserve">), </w:t>
            </w:r>
            <w:proofErr w:type="spellStart"/>
            <w:r w:rsidRPr="006958B4">
              <w:t>endocervix</w:t>
            </w:r>
            <w:proofErr w:type="spellEnd"/>
            <w:r w:rsidRPr="006958B4">
              <w:t xml:space="preserve"> (</w:t>
            </w:r>
            <w:r w:rsidR="000C688D" w:rsidRPr="006958B4">
              <w:t>1</w:t>
            </w:r>
            <w:r w:rsidRPr="006958B4">
              <w:t>), endometrium (</w:t>
            </w:r>
            <w:r w:rsidR="000C688D" w:rsidRPr="006958B4">
              <w:t>1</w:t>
            </w:r>
            <w:r w:rsidRPr="006958B4">
              <w:t>), lung (</w:t>
            </w:r>
            <w:r w:rsidR="000C688D" w:rsidRPr="006958B4">
              <w:t>1</w:t>
            </w:r>
            <w:r w:rsidRPr="006958B4">
              <w:t>) and prostate (</w:t>
            </w:r>
            <w:r w:rsidR="000C688D" w:rsidRPr="006958B4">
              <w:t>1</w:t>
            </w:r>
            <w:r w:rsidRPr="006958B4">
              <w:t>).</w:t>
            </w:r>
          </w:p>
        </w:tc>
      </w:tr>
      <w:tr w:rsidR="00F20870" w:rsidTr="00233201">
        <w:tc>
          <w:tcPr>
            <w:tcW w:w="2048" w:type="dxa"/>
          </w:tcPr>
          <w:p w:rsidR="00F20870" w:rsidRPr="00E64898" w:rsidRDefault="004D7E73" w:rsidP="009B10DD">
            <w:pPr>
              <w:jc w:val="center"/>
            </w:pPr>
            <w:r>
              <w:t xml:space="preserve">Williams et al. </w:t>
            </w:r>
          </w:p>
        </w:tc>
        <w:tc>
          <w:tcPr>
            <w:tcW w:w="2299" w:type="dxa"/>
          </w:tcPr>
          <w:p w:rsidR="00F20870" w:rsidRPr="00E64898" w:rsidRDefault="00F42B10" w:rsidP="00F42B10">
            <w:pPr>
              <w:jc w:val="center"/>
            </w:pPr>
            <w:r w:rsidRPr="00E64898">
              <w:t>Cancer. 2007</w:t>
            </w:r>
            <w:proofErr w:type="gramStart"/>
            <w:r w:rsidRPr="00E64898">
              <w:t>;110:731</w:t>
            </w:r>
            <w:proofErr w:type="gramEnd"/>
            <w:r w:rsidRPr="00E64898">
              <w:t>-7.</w:t>
            </w:r>
          </w:p>
        </w:tc>
        <w:tc>
          <w:tcPr>
            <w:tcW w:w="1749" w:type="dxa"/>
          </w:tcPr>
          <w:p w:rsidR="00F20870" w:rsidRPr="00E64898" w:rsidRDefault="00F20870" w:rsidP="009B10DD">
            <w:pPr>
              <w:jc w:val="center"/>
            </w:pPr>
            <w:r w:rsidRPr="00E64898">
              <w:t>169</w:t>
            </w:r>
          </w:p>
        </w:tc>
        <w:tc>
          <w:tcPr>
            <w:tcW w:w="4551" w:type="dxa"/>
          </w:tcPr>
          <w:p w:rsidR="00F20870" w:rsidRPr="00E64898" w:rsidRDefault="005F68FE" w:rsidP="000357E1">
            <w:pPr>
              <w:jc w:val="center"/>
            </w:pPr>
            <w:r w:rsidRPr="00E64898">
              <w:t>Melanoma</w:t>
            </w:r>
            <w:r w:rsidR="000357E1" w:rsidRPr="00E64898">
              <w:t>/skin</w:t>
            </w:r>
            <w:r w:rsidRPr="00E64898">
              <w:t xml:space="preserve"> (6</w:t>
            </w:r>
            <w:r w:rsidR="000357E1" w:rsidRPr="00E64898">
              <w:t>7</w:t>
            </w:r>
            <w:r w:rsidRPr="00E64898">
              <w:t xml:space="preserve">), </w:t>
            </w:r>
            <w:r w:rsidR="000357E1" w:rsidRPr="00E64898">
              <w:t>respiratory (41), gynecologic (24), gastrointestinal (12), head and neck (9), genitourinary (68), sarcoma (6), other (2)</w:t>
            </w:r>
          </w:p>
        </w:tc>
      </w:tr>
      <w:tr w:rsidR="009B10DD" w:rsidTr="00233201">
        <w:tc>
          <w:tcPr>
            <w:tcW w:w="2048" w:type="dxa"/>
          </w:tcPr>
          <w:p w:rsidR="009B10DD" w:rsidRPr="006958B4" w:rsidRDefault="004D7E73" w:rsidP="009B10DD">
            <w:pPr>
              <w:jc w:val="center"/>
            </w:pPr>
            <w:r>
              <w:t xml:space="preserve">Lee </w:t>
            </w:r>
          </w:p>
        </w:tc>
        <w:tc>
          <w:tcPr>
            <w:tcW w:w="2299" w:type="dxa"/>
          </w:tcPr>
          <w:p w:rsidR="009B10DD" w:rsidRPr="006958B4" w:rsidRDefault="009B10DD" w:rsidP="009B10DD">
            <w:pPr>
              <w:jc w:val="center"/>
            </w:pPr>
            <w:r w:rsidRPr="006958B4">
              <w:t xml:space="preserve">J </w:t>
            </w:r>
            <w:proofErr w:type="spellStart"/>
            <w:r w:rsidRPr="006958B4">
              <w:t>Clin</w:t>
            </w:r>
            <w:proofErr w:type="spellEnd"/>
            <w:r w:rsidRPr="006958B4">
              <w:t xml:space="preserve"> </w:t>
            </w:r>
            <w:proofErr w:type="spellStart"/>
            <w:r w:rsidRPr="006958B4">
              <w:t>Pathol</w:t>
            </w:r>
            <w:proofErr w:type="spellEnd"/>
            <w:r w:rsidRPr="006958B4">
              <w:t>. 2007</w:t>
            </w:r>
            <w:proofErr w:type="gramStart"/>
            <w:r w:rsidRPr="006958B4">
              <w:t>;60:1333</w:t>
            </w:r>
            <w:proofErr w:type="gramEnd"/>
            <w:r w:rsidRPr="006958B4">
              <w:t>–1341.</w:t>
            </w:r>
          </w:p>
        </w:tc>
        <w:tc>
          <w:tcPr>
            <w:tcW w:w="1749" w:type="dxa"/>
          </w:tcPr>
          <w:p w:rsidR="009B10DD" w:rsidRPr="006958B4" w:rsidRDefault="009B10DD" w:rsidP="009B10DD">
            <w:pPr>
              <w:jc w:val="center"/>
            </w:pPr>
            <w:r w:rsidRPr="006958B4">
              <w:t>18</w:t>
            </w:r>
          </w:p>
        </w:tc>
        <w:tc>
          <w:tcPr>
            <w:tcW w:w="4551" w:type="dxa"/>
          </w:tcPr>
          <w:p w:rsidR="009B10DD" w:rsidRPr="006958B4" w:rsidRDefault="009B10DD" w:rsidP="00193154">
            <w:pPr>
              <w:jc w:val="center"/>
            </w:pPr>
            <w:r w:rsidRPr="006958B4">
              <w:t>Lung (5), ovary (4), melanoma (4), GEJ, kidney, thyroid, prostate</w:t>
            </w:r>
            <w:r w:rsidR="00193154" w:rsidRPr="006958B4">
              <w:t xml:space="preserve"> (1</w:t>
            </w:r>
            <w:r w:rsidRPr="006958B4">
              <w:t xml:space="preserve">), </w:t>
            </w:r>
            <w:proofErr w:type="spellStart"/>
            <w:r w:rsidRPr="006958B4">
              <w:t>leiomyosarcoma</w:t>
            </w:r>
            <w:proofErr w:type="spellEnd"/>
            <w:r w:rsidRPr="006958B4">
              <w:t>, ovary</w:t>
            </w:r>
            <w:r w:rsidR="00193154" w:rsidRPr="006958B4">
              <w:t xml:space="preserve"> (1</w:t>
            </w:r>
            <w:r w:rsidRPr="006958B4">
              <w:t>)</w:t>
            </w:r>
          </w:p>
        </w:tc>
      </w:tr>
      <w:tr w:rsidR="00B6000C" w:rsidTr="00233201">
        <w:tc>
          <w:tcPr>
            <w:tcW w:w="2048" w:type="dxa"/>
          </w:tcPr>
          <w:p w:rsidR="00B6000C" w:rsidRPr="006958B4" w:rsidRDefault="004D7E73" w:rsidP="004D7E73">
            <w:pPr>
              <w:jc w:val="center"/>
            </w:pPr>
            <w:r>
              <w:t xml:space="preserve">Vaughan et al. </w:t>
            </w:r>
          </w:p>
        </w:tc>
        <w:tc>
          <w:tcPr>
            <w:tcW w:w="2299" w:type="dxa"/>
          </w:tcPr>
          <w:p w:rsidR="00B6000C" w:rsidRPr="006958B4" w:rsidRDefault="00B6000C" w:rsidP="00B6000C">
            <w:pPr>
              <w:jc w:val="center"/>
            </w:pPr>
            <w:r w:rsidRPr="006958B4">
              <w:t xml:space="preserve">World J </w:t>
            </w:r>
            <w:proofErr w:type="spellStart"/>
            <w:r w:rsidRPr="006958B4">
              <w:t>Surg</w:t>
            </w:r>
            <w:proofErr w:type="spellEnd"/>
            <w:r w:rsidRPr="006958B4">
              <w:t xml:space="preserve"> </w:t>
            </w:r>
            <w:proofErr w:type="spellStart"/>
            <w:r w:rsidRPr="006958B4">
              <w:t>Oncol</w:t>
            </w:r>
            <w:proofErr w:type="spellEnd"/>
            <w:r w:rsidRPr="006958B4">
              <w:t>. 2007</w:t>
            </w:r>
            <w:proofErr w:type="gramStart"/>
            <w:r w:rsidRPr="006958B4">
              <w:t>;5:74</w:t>
            </w:r>
            <w:proofErr w:type="gramEnd"/>
            <w:r w:rsidRPr="006958B4">
              <w:t>.</w:t>
            </w:r>
          </w:p>
        </w:tc>
        <w:tc>
          <w:tcPr>
            <w:tcW w:w="1749" w:type="dxa"/>
          </w:tcPr>
          <w:p w:rsidR="00B6000C" w:rsidRPr="006958B4" w:rsidRDefault="00B6000C" w:rsidP="00B6000C">
            <w:pPr>
              <w:jc w:val="center"/>
            </w:pPr>
            <w:r w:rsidRPr="006958B4">
              <w:t>18</w:t>
            </w:r>
          </w:p>
        </w:tc>
        <w:tc>
          <w:tcPr>
            <w:tcW w:w="4551" w:type="dxa"/>
          </w:tcPr>
          <w:p w:rsidR="00B6000C" w:rsidRPr="006958B4" w:rsidRDefault="0068642E" w:rsidP="0068642E">
            <w:pPr>
              <w:jc w:val="center"/>
            </w:pPr>
            <w:r w:rsidRPr="006958B4">
              <w:t>ovary (3)</w:t>
            </w:r>
            <w:r w:rsidR="00B6000C" w:rsidRPr="006958B4">
              <w:t>, melanoma</w:t>
            </w:r>
            <w:r w:rsidRPr="006958B4">
              <w:t xml:space="preserve"> (6), medullary thyroid (</w:t>
            </w:r>
            <w:r w:rsidR="00B6000C" w:rsidRPr="006958B4">
              <w:t>3</w:t>
            </w:r>
            <w:r w:rsidRPr="006958B4">
              <w:t>)</w:t>
            </w:r>
            <w:r w:rsidR="00B6000C" w:rsidRPr="006958B4">
              <w:t xml:space="preserve"> pulmonary neuroendocrine, pulmonary small cell, oral squamous cell, and renal cell</w:t>
            </w:r>
            <w:r w:rsidRPr="006958B4">
              <w:t xml:space="preserve"> (1)</w:t>
            </w:r>
          </w:p>
        </w:tc>
      </w:tr>
      <w:tr w:rsidR="003058F6" w:rsidRPr="00DF11FC" w:rsidTr="00233201">
        <w:tc>
          <w:tcPr>
            <w:tcW w:w="2048" w:type="dxa"/>
          </w:tcPr>
          <w:p w:rsidR="00B971A0" w:rsidRPr="006958B4" w:rsidRDefault="00B971A0" w:rsidP="00C97B67">
            <w:pPr>
              <w:jc w:val="center"/>
              <w:rPr>
                <w:lang w:val="da-DK"/>
              </w:rPr>
            </w:pPr>
          </w:p>
          <w:p w:rsidR="003058F6" w:rsidRPr="006958B4" w:rsidRDefault="003058F6" w:rsidP="00C97B67">
            <w:pPr>
              <w:jc w:val="center"/>
              <w:rPr>
                <w:lang w:val="da-DK"/>
              </w:rPr>
            </w:pPr>
            <w:r w:rsidRPr="006958B4">
              <w:rPr>
                <w:lang w:val="da-DK"/>
              </w:rPr>
              <w:t xml:space="preserve">Ribeiro-Silva A et al. </w:t>
            </w:r>
          </w:p>
        </w:tc>
        <w:tc>
          <w:tcPr>
            <w:tcW w:w="2299" w:type="dxa"/>
          </w:tcPr>
          <w:p w:rsidR="00B971A0" w:rsidRPr="006958B4" w:rsidRDefault="00B971A0" w:rsidP="00C97B67">
            <w:pPr>
              <w:jc w:val="center"/>
              <w:rPr>
                <w:lang w:val="da-DK"/>
              </w:rPr>
            </w:pPr>
          </w:p>
          <w:p w:rsidR="003058F6" w:rsidRPr="006958B4" w:rsidRDefault="003058F6" w:rsidP="00A55F10">
            <w:pPr>
              <w:jc w:val="center"/>
              <w:rPr>
                <w:lang w:val="da-DK"/>
              </w:rPr>
            </w:pPr>
            <w:r w:rsidRPr="006958B4">
              <w:rPr>
                <w:lang w:val="da-DK"/>
              </w:rPr>
              <w:t>Pol J Pathol. 2006;57:161-5.</w:t>
            </w:r>
          </w:p>
        </w:tc>
        <w:tc>
          <w:tcPr>
            <w:tcW w:w="1749" w:type="dxa"/>
          </w:tcPr>
          <w:p w:rsidR="00B971A0" w:rsidRPr="006958B4" w:rsidRDefault="00B971A0" w:rsidP="00C97B67">
            <w:pPr>
              <w:jc w:val="center"/>
              <w:rPr>
                <w:lang w:val="da-DK"/>
              </w:rPr>
            </w:pPr>
          </w:p>
          <w:p w:rsidR="00BD685E" w:rsidRPr="006958B4" w:rsidRDefault="003058F6" w:rsidP="00C97B67">
            <w:pPr>
              <w:jc w:val="center"/>
              <w:rPr>
                <w:lang w:val="da-DK"/>
              </w:rPr>
            </w:pPr>
            <w:r w:rsidRPr="006958B4">
              <w:rPr>
                <w:lang w:val="da-DK"/>
              </w:rPr>
              <w:t>12</w:t>
            </w:r>
            <w:r w:rsidR="0068187E" w:rsidRPr="006958B4">
              <w:rPr>
                <w:lang w:val="da-DK"/>
              </w:rPr>
              <w:t xml:space="preserve"> </w:t>
            </w:r>
          </w:p>
          <w:p w:rsidR="003058F6" w:rsidRPr="006958B4" w:rsidRDefault="0068187E" w:rsidP="00210119">
            <w:pPr>
              <w:jc w:val="center"/>
              <w:rPr>
                <w:lang w:val="da-DK"/>
              </w:rPr>
            </w:pPr>
            <w:r w:rsidRPr="006958B4">
              <w:rPr>
                <w:lang w:val="da-DK"/>
              </w:rPr>
              <w:t>(6 hematologic)</w:t>
            </w:r>
          </w:p>
        </w:tc>
        <w:tc>
          <w:tcPr>
            <w:tcW w:w="4551" w:type="dxa"/>
          </w:tcPr>
          <w:p w:rsidR="003058F6" w:rsidRPr="006958B4" w:rsidRDefault="00DF11FC" w:rsidP="00E75C9C">
            <w:pPr>
              <w:jc w:val="center"/>
            </w:pPr>
            <w:r w:rsidRPr="006958B4">
              <w:t>non-Hodgkin diffuse large B-cell lymphoma (3), acute myeloid leukemia (3), serous papillary adenocarcinoma, well-differentiated adenocarcinoma, squamous cell carcinoma, undifferentiated neoplasm, mesothelioma, and melanoma</w:t>
            </w:r>
            <w:r w:rsidR="00A46591" w:rsidRPr="006958B4">
              <w:t xml:space="preserve"> (1 each)</w:t>
            </w:r>
          </w:p>
        </w:tc>
      </w:tr>
      <w:tr w:rsidR="00FA3780" w:rsidRPr="00DF11FC" w:rsidTr="00233201">
        <w:tc>
          <w:tcPr>
            <w:tcW w:w="2048" w:type="dxa"/>
          </w:tcPr>
          <w:p w:rsidR="00FA3780" w:rsidRPr="006958B4" w:rsidRDefault="004D7E73" w:rsidP="00665420">
            <w:pPr>
              <w:jc w:val="center"/>
            </w:pPr>
            <w:proofErr w:type="spellStart"/>
            <w:r>
              <w:t>Loffeld</w:t>
            </w:r>
            <w:proofErr w:type="spellEnd"/>
            <w:r>
              <w:t xml:space="preserve"> et al. </w:t>
            </w:r>
          </w:p>
        </w:tc>
        <w:tc>
          <w:tcPr>
            <w:tcW w:w="2299" w:type="dxa"/>
          </w:tcPr>
          <w:p w:rsidR="00FA3780" w:rsidRPr="006958B4" w:rsidRDefault="00E52DDE" w:rsidP="00E52DDE">
            <w:pPr>
              <w:jc w:val="center"/>
            </w:pPr>
            <w:r w:rsidRPr="006958B4">
              <w:t xml:space="preserve">Br J </w:t>
            </w:r>
            <w:proofErr w:type="spellStart"/>
            <w:r w:rsidRPr="006958B4">
              <w:t>Dermatol</w:t>
            </w:r>
            <w:proofErr w:type="spellEnd"/>
            <w:r w:rsidRPr="006958B4">
              <w:t>. 2005; 152:1206-10.</w:t>
            </w:r>
          </w:p>
        </w:tc>
        <w:tc>
          <w:tcPr>
            <w:tcW w:w="1749" w:type="dxa"/>
          </w:tcPr>
          <w:p w:rsidR="00FA3780" w:rsidRPr="006958B4" w:rsidRDefault="00E52DDE" w:rsidP="00665420">
            <w:pPr>
              <w:jc w:val="center"/>
            </w:pPr>
            <w:r w:rsidRPr="006958B4">
              <w:t>8</w:t>
            </w:r>
          </w:p>
        </w:tc>
        <w:tc>
          <w:tcPr>
            <w:tcW w:w="4551" w:type="dxa"/>
          </w:tcPr>
          <w:p w:rsidR="00FA3780" w:rsidRPr="006958B4" w:rsidRDefault="00E52DDE" w:rsidP="005333E7">
            <w:pPr>
              <w:jc w:val="center"/>
            </w:pPr>
            <w:r w:rsidRPr="006958B4">
              <w:t>Melanoma (8)</w:t>
            </w:r>
          </w:p>
        </w:tc>
      </w:tr>
      <w:tr w:rsidR="006D11D2" w:rsidRPr="00DF11FC" w:rsidTr="00233201">
        <w:tc>
          <w:tcPr>
            <w:tcW w:w="2048" w:type="dxa"/>
          </w:tcPr>
          <w:p w:rsidR="006D11D2" w:rsidRPr="006434C8" w:rsidRDefault="004D7E73" w:rsidP="004D7E73">
            <w:pPr>
              <w:jc w:val="center"/>
            </w:pPr>
            <w:proofErr w:type="spellStart"/>
            <w:r>
              <w:t>Kurul</w:t>
            </w:r>
            <w:proofErr w:type="spellEnd"/>
            <w:r>
              <w:t xml:space="preserve"> et al. </w:t>
            </w:r>
          </w:p>
        </w:tc>
        <w:tc>
          <w:tcPr>
            <w:tcW w:w="2299" w:type="dxa"/>
          </w:tcPr>
          <w:p w:rsidR="006D11D2" w:rsidRPr="00E019A0" w:rsidRDefault="006D11D2" w:rsidP="006D11D2">
            <w:pPr>
              <w:jc w:val="center"/>
            </w:pPr>
            <w:proofErr w:type="spellStart"/>
            <w:r w:rsidRPr="006D11D2">
              <w:t>Jpn</w:t>
            </w:r>
            <w:proofErr w:type="spellEnd"/>
            <w:r w:rsidRPr="006D11D2">
              <w:t xml:space="preserve"> J </w:t>
            </w:r>
            <w:proofErr w:type="spellStart"/>
            <w:r w:rsidRPr="006D11D2">
              <w:t>Clin</w:t>
            </w:r>
            <w:proofErr w:type="spellEnd"/>
            <w:r w:rsidRPr="006D11D2">
              <w:t xml:space="preserve"> </w:t>
            </w:r>
            <w:proofErr w:type="spellStart"/>
            <w:r w:rsidRPr="006D11D2">
              <w:t>Oncol</w:t>
            </w:r>
            <w:proofErr w:type="spellEnd"/>
            <w:r w:rsidRPr="006D11D2">
              <w:t>. 2005;35:202-6</w:t>
            </w:r>
          </w:p>
        </w:tc>
        <w:tc>
          <w:tcPr>
            <w:tcW w:w="1749" w:type="dxa"/>
          </w:tcPr>
          <w:p w:rsidR="006D11D2" w:rsidRDefault="006D11D2" w:rsidP="004D7912">
            <w:pPr>
              <w:jc w:val="center"/>
            </w:pPr>
            <w:r>
              <w:t>12</w:t>
            </w:r>
          </w:p>
        </w:tc>
        <w:tc>
          <w:tcPr>
            <w:tcW w:w="4551" w:type="dxa"/>
          </w:tcPr>
          <w:p w:rsidR="006D11D2" w:rsidRDefault="006D11D2" w:rsidP="004D7912">
            <w:pPr>
              <w:jc w:val="center"/>
            </w:pPr>
            <w:r>
              <w:t>Melanoma (12)</w:t>
            </w:r>
          </w:p>
        </w:tc>
      </w:tr>
      <w:tr w:rsidR="004D7912" w:rsidRPr="00DF11FC" w:rsidTr="00233201">
        <w:tc>
          <w:tcPr>
            <w:tcW w:w="2048" w:type="dxa"/>
          </w:tcPr>
          <w:p w:rsidR="004D7912" w:rsidRPr="006958B4" w:rsidRDefault="004D7912" w:rsidP="004D7912">
            <w:pPr>
              <w:jc w:val="center"/>
            </w:pPr>
            <w:proofErr w:type="spellStart"/>
            <w:r w:rsidRPr="006434C8">
              <w:t>Smymiotis</w:t>
            </w:r>
            <w:proofErr w:type="spellEnd"/>
            <w:r w:rsidR="004D7E73">
              <w:t xml:space="preserve"> et al. </w:t>
            </w:r>
          </w:p>
        </w:tc>
        <w:tc>
          <w:tcPr>
            <w:tcW w:w="2299" w:type="dxa"/>
          </w:tcPr>
          <w:p w:rsidR="004D7912" w:rsidRPr="006958B4" w:rsidRDefault="004D7912" w:rsidP="004D7912">
            <w:pPr>
              <w:jc w:val="center"/>
            </w:pPr>
            <w:proofErr w:type="spellStart"/>
            <w:r w:rsidRPr="00E019A0">
              <w:t>Eur</w:t>
            </w:r>
            <w:proofErr w:type="spellEnd"/>
            <w:r w:rsidRPr="00E019A0">
              <w:t xml:space="preserve"> J </w:t>
            </w:r>
            <w:proofErr w:type="spellStart"/>
            <w:r w:rsidRPr="00E019A0">
              <w:t>Gynaecol</w:t>
            </w:r>
            <w:proofErr w:type="spellEnd"/>
            <w:r w:rsidRPr="00E019A0">
              <w:t xml:space="preserve"> </w:t>
            </w:r>
            <w:proofErr w:type="spellStart"/>
            <w:r w:rsidRPr="00E019A0">
              <w:t>Oncol</w:t>
            </w:r>
            <w:proofErr w:type="spellEnd"/>
            <w:r w:rsidRPr="00E019A0">
              <w:t>. 2005;26:547-50</w:t>
            </w:r>
          </w:p>
        </w:tc>
        <w:tc>
          <w:tcPr>
            <w:tcW w:w="1749" w:type="dxa"/>
          </w:tcPr>
          <w:p w:rsidR="004D7912" w:rsidRDefault="004D7912" w:rsidP="004D7912">
            <w:pPr>
              <w:jc w:val="center"/>
            </w:pPr>
            <w:r>
              <w:t xml:space="preserve">7 </w:t>
            </w:r>
          </w:p>
          <w:p w:rsidR="004D7912" w:rsidRPr="006958B4" w:rsidRDefault="004D7912" w:rsidP="004D7912">
            <w:pPr>
              <w:jc w:val="center"/>
            </w:pPr>
            <w:r>
              <w:t>(4 hematologic)</w:t>
            </w:r>
          </w:p>
        </w:tc>
        <w:tc>
          <w:tcPr>
            <w:tcW w:w="4551" w:type="dxa"/>
          </w:tcPr>
          <w:p w:rsidR="004D7912" w:rsidRPr="006958B4" w:rsidRDefault="004D7912" w:rsidP="004D7912">
            <w:pPr>
              <w:jc w:val="center"/>
            </w:pPr>
            <w:r>
              <w:t xml:space="preserve">renal carcinoma, melanoma, </w:t>
            </w:r>
            <w:proofErr w:type="spellStart"/>
            <w:r>
              <w:t>leiomyosarcoma</w:t>
            </w:r>
            <w:proofErr w:type="spellEnd"/>
            <w:r>
              <w:t xml:space="preserve"> (1), lymphoma/leukemia (4)</w:t>
            </w:r>
          </w:p>
        </w:tc>
      </w:tr>
      <w:tr w:rsidR="00665420" w:rsidRPr="00DF11FC" w:rsidTr="00233201">
        <w:tc>
          <w:tcPr>
            <w:tcW w:w="2048" w:type="dxa"/>
          </w:tcPr>
          <w:p w:rsidR="00665420" w:rsidRPr="006958B4" w:rsidRDefault="00665420" w:rsidP="00665420">
            <w:pPr>
              <w:jc w:val="center"/>
            </w:pPr>
          </w:p>
          <w:p w:rsidR="00F56750" w:rsidRPr="006958B4" w:rsidRDefault="00F56750" w:rsidP="00665420">
            <w:pPr>
              <w:jc w:val="center"/>
            </w:pPr>
          </w:p>
          <w:p w:rsidR="00665420" w:rsidRPr="006958B4" w:rsidRDefault="004D7E73" w:rsidP="00665420">
            <w:pPr>
              <w:jc w:val="center"/>
            </w:pPr>
            <w:proofErr w:type="spellStart"/>
            <w:r>
              <w:t>Yeh</w:t>
            </w:r>
            <w:proofErr w:type="spellEnd"/>
            <w:r>
              <w:t xml:space="preserve"> et al. </w:t>
            </w:r>
          </w:p>
        </w:tc>
        <w:tc>
          <w:tcPr>
            <w:tcW w:w="2299" w:type="dxa"/>
          </w:tcPr>
          <w:p w:rsidR="00665420" w:rsidRPr="006958B4" w:rsidRDefault="00665420" w:rsidP="00665420">
            <w:pPr>
              <w:jc w:val="center"/>
            </w:pPr>
          </w:p>
          <w:p w:rsidR="00F56750" w:rsidRPr="006958B4" w:rsidRDefault="00F56750" w:rsidP="00665420">
            <w:pPr>
              <w:jc w:val="center"/>
            </w:pPr>
          </w:p>
          <w:p w:rsidR="00665420" w:rsidRPr="006958B4" w:rsidRDefault="00665420" w:rsidP="00665420">
            <w:pPr>
              <w:jc w:val="center"/>
            </w:pPr>
            <w:r w:rsidRPr="006958B4">
              <w:t>Am Surg. 2004</w:t>
            </w:r>
            <w:proofErr w:type="gramStart"/>
            <w:r w:rsidRPr="006958B4">
              <w:t>;70:287</w:t>
            </w:r>
            <w:proofErr w:type="gramEnd"/>
            <w:r w:rsidRPr="006958B4">
              <w:t>-90.</w:t>
            </w:r>
          </w:p>
        </w:tc>
        <w:tc>
          <w:tcPr>
            <w:tcW w:w="1749" w:type="dxa"/>
          </w:tcPr>
          <w:p w:rsidR="00665420" w:rsidRPr="006958B4" w:rsidRDefault="00665420" w:rsidP="00665420">
            <w:pPr>
              <w:jc w:val="center"/>
            </w:pPr>
          </w:p>
          <w:p w:rsidR="00665420" w:rsidRPr="006958B4" w:rsidRDefault="00665420" w:rsidP="00665420">
            <w:pPr>
              <w:jc w:val="center"/>
            </w:pPr>
          </w:p>
          <w:p w:rsidR="00F56750" w:rsidRPr="006958B4" w:rsidRDefault="00F56750" w:rsidP="00665420">
            <w:pPr>
              <w:jc w:val="center"/>
            </w:pPr>
          </w:p>
          <w:p w:rsidR="00665420" w:rsidRPr="006958B4" w:rsidRDefault="00665420" w:rsidP="00665420">
            <w:pPr>
              <w:jc w:val="center"/>
            </w:pPr>
            <w:r w:rsidRPr="006958B4">
              <w:t>15</w:t>
            </w:r>
          </w:p>
        </w:tc>
        <w:tc>
          <w:tcPr>
            <w:tcW w:w="4551" w:type="dxa"/>
          </w:tcPr>
          <w:p w:rsidR="00665420" w:rsidRPr="006958B4" w:rsidRDefault="00665420" w:rsidP="005333E7">
            <w:pPr>
              <w:jc w:val="center"/>
            </w:pPr>
            <w:r w:rsidRPr="006958B4">
              <w:t>hepatocellular carcinomas</w:t>
            </w:r>
            <w:r w:rsidR="005333E7" w:rsidRPr="006958B4">
              <w:t xml:space="preserve"> (3)</w:t>
            </w:r>
            <w:r w:rsidRPr="006958B4">
              <w:t>, gastric carcinomas</w:t>
            </w:r>
            <w:r w:rsidR="005333E7" w:rsidRPr="006958B4">
              <w:t xml:space="preserve"> (2)</w:t>
            </w:r>
            <w:r w:rsidRPr="006958B4">
              <w:t>, melanomas</w:t>
            </w:r>
            <w:r w:rsidR="005333E7" w:rsidRPr="006958B4">
              <w:t xml:space="preserve"> (2)</w:t>
            </w:r>
            <w:r w:rsidRPr="006958B4">
              <w:t xml:space="preserve">, colon carcinoma, lung adenocarcinoma, ovarian carcinoma, uterine </w:t>
            </w:r>
            <w:proofErr w:type="spellStart"/>
            <w:r w:rsidRPr="006958B4">
              <w:t>leiomyosarcoma</w:t>
            </w:r>
            <w:proofErr w:type="spellEnd"/>
            <w:r w:rsidRPr="006958B4">
              <w:t>, nasopharyngeal carcinoma, esophageal squamous carcinoma, embryonal rhabdomyosarcoma, and cervical carcinoma</w:t>
            </w:r>
            <w:r w:rsidR="005333E7" w:rsidRPr="006958B4">
              <w:t xml:space="preserve"> (1)</w:t>
            </w:r>
          </w:p>
        </w:tc>
      </w:tr>
      <w:tr w:rsidR="003F6C05" w:rsidRPr="00DF11FC" w:rsidTr="00233201">
        <w:tc>
          <w:tcPr>
            <w:tcW w:w="2048" w:type="dxa"/>
          </w:tcPr>
          <w:p w:rsidR="003F6C05" w:rsidRPr="006958B4" w:rsidRDefault="003F6C05" w:rsidP="004D7E73">
            <w:pPr>
              <w:jc w:val="center"/>
            </w:pPr>
            <w:proofErr w:type="spellStart"/>
            <w:r w:rsidRPr="006958B4">
              <w:t>Georgiannos</w:t>
            </w:r>
            <w:proofErr w:type="spellEnd"/>
            <w:r w:rsidRPr="006958B4">
              <w:t xml:space="preserve"> </w:t>
            </w:r>
            <w:r w:rsidR="004D7E73">
              <w:t xml:space="preserve">et al. </w:t>
            </w:r>
          </w:p>
        </w:tc>
        <w:tc>
          <w:tcPr>
            <w:tcW w:w="2299" w:type="dxa"/>
          </w:tcPr>
          <w:p w:rsidR="003F6C05" w:rsidRPr="006958B4" w:rsidRDefault="003F6C05" w:rsidP="003F6C05">
            <w:pPr>
              <w:jc w:val="center"/>
            </w:pPr>
            <w:r w:rsidRPr="006958B4">
              <w:t>Cancer. 2001</w:t>
            </w:r>
            <w:proofErr w:type="gramStart"/>
            <w:r w:rsidRPr="006958B4">
              <w:t>;92:2259</w:t>
            </w:r>
            <w:proofErr w:type="gramEnd"/>
            <w:r w:rsidRPr="006958B4">
              <w:t>-66.</w:t>
            </w:r>
          </w:p>
        </w:tc>
        <w:tc>
          <w:tcPr>
            <w:tcW w:w="1749" w:type="dxa"/>
          </w:tcPr>
          <w:p w:rsidR="00F56750" w:rsidRPr="006958B4" w:rsidRDefault="00F56750" w:rsidP="003F6C05">
            <w:pPr>
              <w:jc w:val="center"/>
            </w:pPr>
          </w:p>
          <w:p w:rsidR="003F6C05" w:rsidRPr="006958B4" w:rsidRDefault="003F6C05" w:rsidP="003F6C05">
            <w:pPr>
              <w:jc w:val="center"/>
            </w:pPr>
            <w:r w:rsidRPr="006958B4">
              <w:t>60</w:t>
            </w:r>
          </w:p>
        </w:tc>
        <w:tc>
          <w:tcPr>
            <w:tcW w:w="4551" w:type="dxa"/>
          </w:tcPr>
          <w:p w:rsidR="003F6C05" w:rsidRPr="006958B4" w:rsidRDefault="003F6C05" w:rsidP="003F6C05">
            <w:pPr>
              <w:jc w:val="center"/>
            </w:pPr>
            <w:r w:rsidRPr="006958B4">
              <w:t>Esophagus, retina, pancreas, thyroid, skin (most common). Other primary tumor sites included the stomach, lungs, and kidney</w:t>
            </w:r>
          </w:p>
        </w:tc>
      </w:tr>
      <w:tr w:rsidR="005A09F1" w:rsidRPr="00DF11FC" w:rsidTr="00233201">
        <w:tc>
          <w:tcPr>
            <w:tcW w:w="2048" w:type="dxa"/>
          </w:tcPr>
          <w:p w:rsidR="005A09F1" w:rsidRDefault="00961E6E" w:rsidP="004831E4">
            <w:pPr>
              <w:jc w:val="center"/>
            </w:pPr>
            <w:proofErr w:type="spellStart"/>
            <w:r w:rsidRPr="00961E6E">
              <w:lastRenderedPageBreak/>
              <w:t>Cangiarella</w:t>
            </w:r>
            <w:proofErr w:type="spellEnd"/>
            <w:r w:rsidR="004D7E73">
              <w:t xml:space="preserve"> et al. </w:t>
            </w:r>
          </w:p>
        </w:tc>
        <w:tc>
          <w:tcPr>
            <w:tcW w:w="2299" w:type="dxa"/>
          </w:tcPr>
          <w:p w:rsidR="005A09F1" w:rsidRPr="0078564B" w:rsidRDefault="00E37B90" w:rsidP="00E37B90">
            <w:pPr>
              <w:jc w:val="center"/>
            </w:pPr>
            <w:r w:rsidRPr="00E37B90">
              <w:t>Cancer. 1998;84:160-2</w:t>
            </w:r>
          </w:p>
        </w:tc>
        <w:tc>
          <w:tcPr>
            <w:tcW w:w="1749" w:type="dxa"/>
          </w:tcPr>
          <w:p w:rsidR="005A09F1" w:rsidRDefault="005A09F1" w:rsidP="003F6C05">
            <w:pPr>
              <w:jc w:val="center"/>
            </w:pPr>
            <w:r>
              <w:t>7</w:t>
            </w:r>
          </w:p>
        </w:tc>
        <w:tc>
          <w:tcPr>
            <w:tcW w:w="4551" w:type="dxa"/>
          </w:tcPr>
          <w:p w:rsidR="005A09F1" w:rsidRDefault="005A09F1" w:rsidP="00914E63">
            <w:pPr>
              <w:jc w:val="center"/>
            </w:pPr>
            <w:r>
              <w:t>Melanoma (7)</w:t>
            </w:r>
          </w:p>
        </w:tc>
      </w:tr>
      <w:tr w:rsidR="000A2440" w:rsidRPr="00DF11FC" w:rsidTr="00233201">
        <w:tc>
          <w:tcPr>
            <w:tcW w:w="2048" w:type="dxa"/>
          </w:tcPr>
          <w:p w:rsidR="000A2440" w:rsidRPr="006958B4" w:rsidRDefault="004D7E73" w:rsidP="004D7E73">
            <w:pPr>
              <w:jc w:val="center"/>
            </w:pPr>
            <w:r>
              <w:t xml:space="preserve">Moore et al. </w:t>
            </w:r>
          </w:p>
        </w:tc>
        <w:tc>
          <w:tcPr>
            <w:tcW w:w="2299" w:type="dxa"/>
          </w:tcPr>
          <w:p w:rsidR="000A2440" w:rsidRPr="006958B4" w:rsidRDefault="0078564B" w:rsidP="0078564B">
            <w:pPr>
              <w:jc w:val="center"/>
            </w:pPr>
            <w:r w:rsidRPr="0078564B">
              <w:t xml:space="preserve">J Am </w:t>
            </w:r>
            <w:proofErr w:type="spellStart"/>
            <w:r w:rsidRPr="0078564B">
              <w:t>Coll</w:t>
            </w:r>
            <w:proofErr w:type="spellEnd"/>
            <w:r w:rsidRPr="0078564B">
              <w:t xml:space="preserve"> Surg. 1998</w:t>
            </w:r>
            <w:proofErr w:type="gramStart"/>
            <w:r w:rsidRPr="0078564B">
              <w:t>;187:178</w:t>
            </w:r>
            <w:proofErr w:type="gramEnd"/>
            <w:r w:rsidRPr="0078564B">
              <w:t>-81.</w:t>
            </w:r>
          </w:p>
        </w:tc>
        <w:tc>
          <w:tcPr>
            <w:tcW w:w="1749" w:type="dxa"/>
          </w:tcPr>
          <w:p w:rsidR="000A2440" w:rsidRPr="006958B4" w:rsidRDefault="000A2440" w:rsidP="003F6C05">
            <w:pPr>
              <w:jc w:val="center"/>
            </w:pPr>
            <w:r>
              <w:t>10</w:t>
            </w:r>
          </w:p>
        </w:tc>
        <w:tc>
          <w:tcPr>
            <w:tcW w:w="4551" w:type="dxa"/>
          </w:tcPr>
          <w:p w:rsidR="000A2440" w:rsidRPr="006958B4" w:rsidRDefault="000A2440" w:rsidP="00914E63">
            <w:pPr>
              <w:jc w:val="center"/>
            </w:pPr>
            <w:r>
              <w:t>Gynecologic cancers</w:t>
            </w:r>
            <w:r w:rsidR="00344434">
              <w:t>: ovarian (5), cervix (2), vagina, endometrium, peritoneum (1)</w:t>
            </w:r>
          </w:p>
        </w:tc>
      </w:tr>
      <w:tr w:rsidR="003F6C05" w:rsidRPr="00DF11FC" w:rsidTr="00233201">
        <w:tc>
          <w:tcPr>
            <w:tcW w:w="2048" w:type="dxa"/>
          </w:tcPr>
          <w:p w:rsidR="003F6C05" w:rsidRPr="006958B4" w:rsidRDefault="003F6C05" w:rsidP="004D7E73">
            <w:pPr>
              <w:jc w:val="center"/>
            </w:pPr>
            <w:proofErr w:type="spellStart"/>
            <w:r w:rsidRPr="006958B4">
              <w:t>Vergier</w:t>
            </w:r>
            <w:proofErr w:type="spellEnd"/>
            <w:r w:rsidRPr="006958B4">
              <w:t xml:space="preserve"> et al. </w:t>
            </w:r>
          </w:p>
        </w:tc>
        <w:tc>
          <w:tcPr>
            <w:tcW w:w="2299" w:type="dxa"/>
          </w:tcPr>
          <w:p w:rsidR="003F6C05" w:rsidRPr="006958B4" w:rsidRDefault="003F6C05" w:rsidP="003F6C05">
            <w:pPr>
              <w:jc w:val="center"/>
            </w:pPr>
            <w:r w:rsidRPr="006958B4">
              <w:t xml:space="preserve">J </w:t>
            </w:r>
            <w:proofErr w:type="spellStart"/>
            <w:r w:rsidRPr="006958B4">
              <w:t>Surg</w:t>
            </w:r>
            <w:proofErr w:type="spellEnd"/>
            <w:r w:rsidRPr="006958B4">
              <w:t xml:space="preserve"> </w:t>
            </w:r>
            <w:proofErr w:type="spellStart"/>
            <w:r w:rsidRPr="006958B4">
              <w:t>Oncol</w:t>
            </w:r>
            <w:proofErr w:type="spellEnd"/>
            <w:r w:rsidRPr="006958B4">
              <w:t>. 1991</w:t>
            </w:r>
            <w:proofErr w:type="gramStart"/>
            <w:r w:rsidRPr="006958B4">
              <w:t>;48:112</w:t>
            </w:r>
            <w:proofErr w:type="gramEnd"/>
            <w:r w:rsidRPr="006958B4">
              <w:t>-6.</w:t>
            </w:r>
          </w:p>
        </w:tc>
        <w:tc>
          <w:tcPr>
            <w:tcW w:w="1749" w:type="dxa"/>
          </w:tcPr>
          <w:p w:rsidR="003F6C05" w:rsidRPr="006958B4" w:rsidRDefault="003F6C05" w:rsidP="003F6C05">
            <w:pPr>
              <w:jc w:val="center"/>
            </w:pPr>
            <w:r w:rsidRPr="006958B4">
              <w:t>8</w:t>
            </w:r>
          </w:p>
        </w:tc>
        <w:tc>
          <w:tcPr>
            <w:tcW w:w="4551" w:type="dxa"/>
          </w:tcPr>
          <w:p w:rsidR="003F6C05" w:rsidRPr="006958B4" w:rsidRDefault="00914E63" w:rsidP="00914E63">
            <w:pPr>
              <w:jc w:val="center"/>
            </w:pPr>
            <w:r w:rsidRPr="006958B4">
              <w:t>M</w:t>
            </w:r>
            <w:r w:rsidR="003F6C05" w:rsidRPr="006958B4">
              <w:t>elanomas</w:t>
            </w:r>
            <w:r w:rsidRPr="006958B4">
              <w:t xml:space="preserve"> (3)</w:t>
            </w:r>
            <w:r w:rsidR="003F6C05" w:rsidRPr="006958B4">
              <w:t xml:space="preserve">, </w:t>
            </w:r>
            <w:r w:rsidRPr="006958B4">
              <w:t>r</w:t>
            </w:r>
            <w:r w:rsidR="003F6C05" w:rsidRPr="006958B4">
              <w:t>habdomyosarcomas</w:t>
            </w:r>
            <w:r w:rsidRPr="006958B4">
              <w:t xml:space="preserve"> (2)</w:t>
            </w:r>
            <w:r w:rsidR="003F6C05" w:rsidRPr="006958B4">
              <w:t>, mesothelioma, appendiceal carcinoid, and  epidermoid cervical carcinoma</w:t>
            </w:r>
            <w:r w:rsidRPr="006958B4">
              <w:t xml:space="preserve"> (1)</w:t>
            </w:r>
          </w:p>
        </w:tc>
      </w:tr>
      <w:tr w:rsidR="003F6C05" w:rsidRPr="00DF11FC" w:rsidTr="00233201">
        <w:tc>
          <w:tcPr>
            <w:tcW w:w="2048" w:type="dxa"/>
          </w:tcPr>
          <w:p w:rsidR="003F6C05" w:rsidRPr="006958B4" w:rsidRDefault="003F6C05" w:rsidP="003F6C05">
            <w:pPr>
              <w:jc w:val="center"/>
            </w:pPr>
            <w:proofErr w:type="spellStart"/>
            <w:r w:rsidRPr="006958B4">
              <w:t>Amichetti</w:t>
            </w:r>
            <w:proofErr w:type="spellEnd"/>
            <w:r w:rsidRPr="006958B4">
              <w:t xml:space="preserve"> et al.</w:t>
            </w:r>
            <w:r w:rsidR="004D7E73">
              <w:t xml:space="preserve"> </w:t>
            </w:r>
          </w:p>
        </w:tc>
        <w:tc>
          <w:tcPr>
            <w:tcW w:w="2299" w:type="dxa"/>
          </w:tcPr>
          <w:p w:rsidR="003F6C05" w:rsidRPr="006958B4" w:rsidRDefault="003F6C05" w:rsidP="003F6C05">
            <w:pPr>
              <w:jc w:val="center"/>
            </w:pPr>
            <w:r w:rsidRPr="006958B4">
              <w:t>Oncology. 1990</w:t>
            </w:r>
            <w:proofErr w:type="gramStart"/>
            <w:r w:rsidRPr="006958B4">
              <w:t>;47:257</w:t>
            </w:r>
            <w:proofErr w:type="gramEnd"/>
            <w:r w:rsidRPr="006958B4">
              <w:t>-60.</w:t>
            </w:r>
          </w:p>
        </w:tc>
        <w:tc>
          <w:tcPr>
            <w:tcW w:w="1749" w:type="dxa"/>
          </w:tcPr>
          <w:p w:rsidR="003F6C05" w:rsidRPr="006958B4" w:rsidRDefault="003F6C05" w:rsidP="003F6C05">
            <w:pPr>
              <w:jc w:val="center"/>
            </w:pPr>
            <w:r w:rsidRPr="006958B4">
              <w:t>12</w:t>
            </w:r>
          </w:p>
        </w:tc>
        <w:tc>
          <w:tcPr>
            <w:tcW w:w="4551" w:type="dxa"/>
          </w:tcPr>
          <w:p w:rsidR="003F6C05" w:rsidRPr="006958B4" w:rsidRDefault="00F56750" w:rsidP="00F56750">
            <w:pPr>
              <w:jc w:val="center"/>
            </w:pPr>
            <w:r w:rsidRPr="006958B4">
              <w:t xml:space="preserve">melanoma (5), </w:t>
            </w:r>
            <w:r w:rsidR="003F6C05" w:rsidRPr="006958B4">
              <w:t>ovarian cancer (3)</w:t>
            </w:r>
          </w:p>
          <w:p w:rsidR="003F6C05" w:rsidRPr="006958B4" w:rsidRDefault="003F6C05" w:rsidP="003F6C05">
            <w:pPr>
              <w:jc w:val="center"/>
            </w:pPr>
            <w:r w:rsidRPr="006958B4">
              <w:t>kidney cancer (1)</w:t>
            </w:r>
          </w:p>
        </w:tc>
      </w:tr>
      <w:tr w:rsidR="00345570" w:rsidRPr="00DF11FC" w:rsidTr="00233201">
        <w:tc>
          <w:tcPr>
            <w:tcW w:w="2048" w:type="dxa"/>
          </w:tcPr>
          <w:p w:rsidR="00345570" w:rsidRDefault="004D7E73" w:rsidP="004D7E73">
            <w:pPr>
              <w:jc w:val="center"/>
            </w:pPr>
            <w:proofErr w:type="spellStart"/>
            <w:r>
              <w:t>Sneige</w:t>
            </w:r>
            <w:proofErr w:type="spellEnd"/>
            <w:r>
              <w:t xml:space="preserve"> et al. </w:t>
            </w:r>
          </w:p>
        </w:tc>
        <w:tc>
          <w:tcPr>
            <w:tcW w:w="2299" w:type="dxa"/>
          </w:tcPr>
          <w:p w:rsidR="00345570" w:rsidRPr="0039744E" w:rsidRDefault="00345570" w:rsidP="00345570">
            <w:pPr>
              <w:jc w:val="center"/>
            </w:pPr>
            <w:r w:rsidRPr="00345570">
              <w:t xml:space="preserve">Am J </w:t>
            </w:r>
            <w:proofErr w:type="spellStart"/>
            <w:r w:rsidRPr="00345570">
              <w:t>Clin</w:t>
            </w:r>
            <w:proofErr w:type="spellEnd"/>
            <w:r w:rsidRPr="00345570">
              <w:t xml:space="preserve"> </w:t>
            </w:r>
            <w:proofErr w:type="spellStart"/>
            <w:r w:rsidRPr="00345570">
              <w:t>Pathol</w:t>
            </w:r>
            <w:proofErr w:type="spellEnd"/>
            <w:r w:rsidRPr="00345570">
              <w:t>. 1989</w:t>
            </w:r>
            <w:proofErr w:type="gramStart"/>
            <w:r w:rsidRPr="00345570">
              <w:t>;92:27</w:t>
            </w:r>
            <w:proofErr w:type="gramEnd"/>
            <w:r w:rsidRPr="00345570">
              <w:t>-35.</w:t>
            </w:r>
          </w:p>
        </w:tc>
        <w:tc>
          <w:tcPr>
            <w:tcW w:w="1749" w:type="dxa"/>
          </w:tcPr>
          <w:p w:rsidR="00C415C0" w:rsidRDefault="00345570" w:rsidP="003F6C05">
            <w:pPr>
              <w:jc w:val="center"/>
            </w:pPr>
            <w:r>
              <w:t>20</w:t>
            </w:r>
            <w:r w:rsidR="00C415C0">
              <w:t xml:space="preserve"> </w:t>
            </w:r>
          </w:p>
          <w:p w:rsidR="00345570" w:rsidRDefault="00C415C0" w:rsidP="003F6C05">
            <w:pPr>
              <w:jc w:val="center"/>
            </w:pPr>
            <w:r>
              <w:t>(3 hematologic)</w:t>
            </w:r>
          </w:p>
        </w:tc>
        <w:tc>
          <w:tcPr>
            <w:tcW w:w="4551" w:type="dxa"/>
          </w:tcPr>
          <w:p w:rsidR="00345570" w:rsidRDefault="00C415C0" w:rsidP="00154840">
            <w:pPr>
              <w:jc w:val="center"/>
            </w:pPr>
            <w:r>
              <w:t>Lung carcinoma (9), melanoma (3),</w:t>
            </w:r>
            <w:r w:rsidR="00154840">
              <w:t xml:space="preserve"> carcinoid (2),</w:t>
            </w:r>
            <w:r>
              <w:t xml:space="preserve"> ovarian, urothelial carcinoma (1), rhabdomyosarcoma (1), lymphoma/myeloma (3) </w:t>
            </w:r>
          </w:p>
        </w:tc>
      </w:tr>
      <w:tr w:rsidR="000F21C5" w:rsidRPr="00DF11FC" w:rsidTr="00233201">
        <w:tc>
          <w:tcPr>
            <w:tcW w:w="2048" w:type="dxa"/>
          </w:tcPr>
          <w:p w:rsidR="000F21C5" w:rsidRPr="006958B4" w:rsidRDefault="004D7E73" w:rsidP="004D7E73">
            <w:pPr>
              <w:jc w:val="center"/>
            </w:pPr>
            <w:r>
              <w:t>Nielsen et al.</w:t>
            </w:r>
          </w:p>
        </w:tc>
        <w:tc>
          <w:tcPr>
            <w:tcW w:w="2299" w:type="dxa"/>
          </w:tcPr>
          <w:p w:rsidR="000F21C5" w:rsidRPr="006958B4" w:rsidRDefault="0039744E" w:rsidP="0039744E">
            <w:pPr>
              <w:jc w:val="center"/>
            </w:pPr>
            <w:proofErr w:type="spellStart"/>
            <w:r w:rsidRPr="0039744E">
              <w:t>Acta</w:t>
            </w:r>
            <w:proofErr w:type="spellEnd"/>
            <w:r w:rsidRPr="0039744E">
              <w:t xml:space="preserve"> </w:t>
            </w:r>
            <w:proofErr w:type="spellStart"/>
            <w:r w:rsidRPr="0039744E">
              <w:t>Pathol</w:t>
            </w:r>
            <w:proofErr w:type="spellEnd"/>
            <w:r w:rsidRPr="0039744E">
              <w:t xml:space="preserve"> </w:t>
            </w:r>
            <w:proofErr w:type="spellStart"/>
            <w:r w:rsidRPr="0039744E">
              <w:t>Microbiol</w:t>
            </w:r>
            <w:proofErr w:type="spellEnd"/>
            <w:r w:rsidRPr="0039744E">
              <w:t xml:space="preserve"> </w:t>
            </w:r>
            <w:proofErr w:type="spellStart"/>
            <w:r w:rsidRPr="0039744E">
              <w:t>Scand</w:t>
            </w:r>
            <w:proofErr w:type="spellEnd"/>
            <w:r w:rsidRPr="0039744E">
              <w:t xml:space="preserve"> A. 1981;89:251-6</w:t>
            </w:r>
          </w:p>
        </w:tc>
        <w:tc>
          <w:tcPr>
            <w:tcW w:w="1749" w:type="dxa"/>
          </w:tcPr>
          <w:p w:rsidR="000F21C5" w:rsidRPr="006958B4" w:rsidRDefault="008C34E8" w:rsidP="003F6C05">
            <w:pPr>
              <w:jc w:val="center"/>
            </w:pPr>
            <w:r>
              <w:t>15</w:t>
            </w:r>
          </w:p>
        </w:tc>
        <w:tc>
          <w:tcPr>
            <w:tcW w:w="4551" w:type="dxa"/>
          </w:tcPr>
          <w:p w:rsidR="000F21C5" w:rsidRPr="006958B4" w:rsidRDefault="00205CA1" w:rsidP="003031C0">
            <w:pPr>
              <w:jc w:val="center"/>
            </w:pPr>
            <w:r>
              <w:t>Melanoma (4), lung carcinoma (3), thyroid (2), colon (2)</w:t>
            </w:r>
            <w:r w:rsidR="008D5422">
              <w:t xml:space="preserve">, stomach, esophagus, </w:t>
            </w:r>
            <w:r w:rsidR="003031C0">
              <w:t xml:space="preserve">kidney and </w:t>
            </w:r>
            <w:proofErr w:type="spellStart"/>
            <w:r w:rsidR="003031C0">
              <w:t>ilea</w:t>
            </w:r>
            <w:r w:rsidR="008D5422">
              <w:t>l</w:t>
            </w:r>
            <w:proofErr w:type="spellEnd"/>
            <w:r w:rsidR="008D5422">
              <w:t xml:space="preserve"> carcinoid (1)</w:t>
            </w:r>
          </w:p>
        </w:tc>
      </w:tr>
      <w:tr w:rsidR="009B7172" w:rsidRPr="00DF11FC" w:rsidTr="00233201">
        <w:tc>
          <w:tcPr>
            <w:tcW w:w="2048" w:type="dxa"/>
          </w:tcPr>
          <w:p w:rsidR="009B7172" w:rsidRDefault="004D7E73" w:rsidP="003F6C05">
            <w:pPr>
              <w:jc w:val="center"/>
            </w:pPr>
            <w:r>
              <w:t xml:space="preserve">Toombs et al. </w:t>
            </w:r>
          </w:p>
        </w:tc>
        <w:tc>
          <w:tcPr>
            <w:tcW w:w="2299" w:type="dxa"/>
          </w:tcPr>
          <w:p w:rsidR="009B7172" w:rsidRPr="0039744E" w:rsidRDefault="009B7172" w:rsidP="009B7172">
            <w:pPr>
              <w:jc w:val="center"/>
            </w:pPr>
            <w:r w:rsidRPr="009B7172">
              <w:t xml:space="preserve">AJR Am J </w:t>
            </w:r>
            <w:proofErr w:type="spellStart"/>
            <w:r w:rsidRPr="009B7172">
              <w:t>Roentgenol</w:t>
            </w:r>
            <w:proofErr w:type="spellEnd"/>
            <w:r w:rsidRPr="009B7172">
              <w:t>. 1977</w:t>
            </w:r>
            <w:proofErr w:type="gramStart"/>
            <w:r w:rsidRPr="009B7172">
              <w:t>;129:673</w:t>
            </w:r>
            <w:proofErr w:type="gramEnd"/>
            <w:r w:rsidRPr="009B7172">
              <w:t>-6.</w:t>
            </w:r>
          </w:p>
        </w:tc>
        <w:tc>
          <w:tcPr>
            <w:tcW w:w="1749" w:type="dxa"/>
          </w:tcPr>
          <w:p w:rsidR="00F8536C" w:rsidRDefault="009B7172" w:rsidP="003F6C05">
            <w:pPr>
              <w:jc w:val="center"/>
            </w:pPr>
            <w:r>
              <w:t>21</w:t>
            </w:r>
            <w:r w:rsidR="00F8536C">
              <w:t xml:space="preserve"> </w:t>
            </w:r>
          </w:p>
          <w:p w:rsidR="009B7172" w:rsidRDefault="00F8536C" w:rsidP="00F8536C">
            <w:pPr>
              <w:jc w:val="center"/>
            </w:pPr>
            <w:r>
              <w:t>(2 hematologic)</w:t>
            </w:r>
          </w:p>
        </w:tc>
        <w:tc>
          <w:tcPr>
            <w:tcW w:w="4551" w:type="dxa"/>
          </w:tcPr>
          <w:p w:rsidR="009B7172" w:rsidRDefault="00F8536C" w:rsidP="003031C0">
            <w:pPr>
              <w:jc w:val="center"/>
            </w:pPr>
            <w:r>
              <w:t xml:space="preserve">Melanoma (11), lung carcinoma (4), </w:t>
            </w:r>
            <w:r w:rsidR="00886B75">
              <w:t xml:space="preserve">head and neck (2), stomach (1), </w:t>
            </w:r>
            <w:proofErr w:type="spellStart"/>
            <w:r w:rsidR="00886B75">
              <w:t>fibrosarcoma</w:t>
            </w:r>
            <w:proofErr w:type="spellEnd"/>
            <w:r w:rsidR="00886B75">
              <w:t xml:space="preserve"> (1), lymphoma (2)</w:t>
            </w:r>
          </w:p>
        </w:tc>
      </w:tr>
    </w:tbl>
    <w:p w:rsidR="00C97B67" w:rsidRDefault="00C97B67"/>
    <w:p w:rsidR="00E64898" w:rsidRPr="000A1F9A" w:rsidRDefault="00E64898" w:rsidP="001E4F94">
      <w:pPr>
        <w:jc w:val="center"/>
        <w:rPr>
          <w:sz w:val="24"/>
          <w:szCs w:val="24"/>
        </w:rPr>
      </w:pPr>
      <w:r w:rsidRPr="000A1F9A">
        <w:rPr>
          <w:b/>
          <w:bCs/>
          <w:sz w:val="24"/>
          <w:szCs w:val="24"/>
        </w:rPr>
        <w:t>Supplemental Table 1.</w:t>
      </w:r>
      <w:r w:rsidRPr="000A1F9A">
        <w:rPr>
          <w:sz w:val="24"/>
          <w:szCs w:val="24"/>
        </w:rPr>
        <w:t xml:space="preserve"> A</w:t>
      </w:r>
      <w:r w:rsidR="001E4F94">
        <w:rPr>
          <w:sz w:val="24"/>
          <w:szCs w:val="24"/>
        </w:rPr>
        <w:t xml:space="preserve">n overview of </w:t>
      </w:r>
      <w:r w:rsidRPr="000A1F9A">
        <w:rPr>
          <w:sz w:val="24"/>
          <w:szCs w:val="24"/>
        </w:rPr>
        <w:t>the previously published studies reporting metastatic cancers to the breast.</w:t>
      </w:r>
    </w:p>
    <w:p w:rsidR="00E64898" w:rsidRPr="00DF11FC" w:rsidRDefault="00E64898"/>
    <w:p w:rsidR="00A13CEA" w:rsidRDefault="00EC272D" w:rsidP="00F560BC">
      <w:pPr>
        <w:spacing w:line="480" w:lineRule="auto"/>
        <w:rPr>
          <w:rFonts w:eastAsia="Times New Roman" w:cstheme="minorHAnsi"/>
          <w:bCs/>
          <w:sz w:val="24"/>
          <w:szCs w:val="24"/>
        </w:rPr>
      </w:pPr>
      <w:r w:rsidRPr="00B663BD">
        <w:rPr>
          <w:rFonts w:cstheme="minorHAnsi"/>
          <w:b/>
          <w:sz w:val="24"/>
          <w:szCs w:val="24"/>
        </w:rPr>
        <w:t>Note</w:t>
      </w:r>
      <w:r>
        <w:rPr>
          <w:rFonts w:cstheme="minorHAnsi"/>
          <w:bCs/>
          <w:sz w:val="24"/>
          <w:szCs w:val="24"/>
        </w:rPr>
        <w:t xml:space="preserve">: </w:t>
      </w:r>
      <w:r w:rsidR="003B4272" w:rsidRPr="00F560BC">
        <w:rPr>
          <w:rFonts w:cstheme="minorHAnsi"/>
          <w:bCs/>
          <w:sz w:val="24"/>
          <w:szCs w:val="24"/>
        </w:rPr>
        <w:t xml:space="preserve">A </w:t>
      </w:r>
      <w:r w:rsidR="00917E64" w:rsidRPr="00F560BC">
        <w:rPr>
          <w:rFonts w:cstheme="minorHAnsi"/>
          <w:bCs/>
          <w:sz w:val="24"/>
          <w:szCs w:val="24"/>
        </w:rPr>
        <w:t xml:space="preserve">review </w:t>
      </w:r>
      <w:r w:rsidR="003B4272" w:rsidRPr="00F560BC">
        <w:rPr>
          <w:rFonts w:cstheme="minorHAnsi"/>
          <w:bCs/>
          <w:sz w:val="24"/>
          <w:szCs w:val="24"/>
        </w:rPr>
        <w:t>of Koch et al. (</w:t>
      </w:r>
      <w:proofErr w:type="spellStart"/>
      <w:r w:rsidR="00D71750">
        <w:rPr>
          <w:rFonts w:eastAsia="Times New Roman" w:cstheme="minorHAnsi"/>
          <w:bCs/>
          <w:sz w:val="24"/>
          <w:szCs w:val="24"/>
        </w:rPr>
        <w:fldChar w:fldCharType="begin"/>
      </w:r>
      <w:r w:rsidR="00D71750">
        <w:rPr>
          <w:rFonts w:eastAsia="Times New Roman" w:cstheme="minorHAnsi"/>
          <w:bCs/>
          <w:sz w:val="24"/>
          <w:szCs w:val="24"/>
        </w:rPr>
        <w:instrText xml:space="preserve"> HYPERLINK "https://www.ncbi.nlm.nih.gov/pubmed/24183577" \o "Gynecologie, obstetrique &amp; fertilite." </w:instrText>
      </w:r>
      <w:r w:rsidR="00D71750">
        <w:rPr>
          <w:rFonts w:eastAsia="Times New Roman" w:cstheme="minorHAnsi"/>
          <w:bCs/>
          <w:sz w:val="24"/>
          <w:szCs w:val="24"/>
        </w:rPr>
        <w:fldChar w:fldCharType="separate"/>
      </w:r>
      <w:r w:rsidR="003B4272" w:rsidRPr="00F560BC">
        <w:rPr>
          <w:rFonts w:eastAsia="Times New Roman" w:cstheme="minorHAnsi"/>
          <w:bCs/>
          <w:sz w:val="24"/>
          <w:szCs w:val="24"/>
        </w:rPr>
        <w:t>Gynecol</w:t>
      </w:r>
      <w:proofErr w:type="spellEnd"/>
      <w:r w:rsidR="003B4272" w:rsidRPr="00F560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3B4272" w:rsidRPr="00F560BC">
        <w:rPr>
          <w:rFonts w:eastAsia="Times New Roman" w:cstheme="minorHAnsi"/>
          <w:bCs/>
          <w:sz w:val="24"/>
          <w:szCs w:val="24"/>
        </w:rPr>
        <w:t>Obstet</w:t>
      </w:r>
      <w:proofErr w:type="spellEnd"/>
      <w:r w:rsidR="003B4272" w:rsidRPr="00F560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3B4272" w:rsidRPr="00F560BC">
        <w:rPr>
          <w:rFonts w:eastAsia="Times New Roman" w:cstheme="minorHAnsi"/>
          <w:bCs/>
          <w:sz w:val="24"/>
          <w:szCs w:val="24"/>
        </w:rPr>
        <w:t>Fertil</w:t>
      </w:r>
      <w:proofErr w:type="spellEnd"/>
      <w:r w:rsidR="003B4272" w:rsidRPr="00F560BC">
        <w:rPr>
          <w:rFonts w:eastAsia="Times New Roman" w:cstheme="minorHAnsi"/>
          <w:bCs/>
          <w:sz w:val="24"/>
          <w:szCs w:val="24"/>
        </w:rPr>
        <w:t>.</w:t>
      </w:r>
      <w:r w:rsidR="00D71750">
        <w:rPr>
          <w:rFonts w:eastAsia="Times New Roman" w:cstheme="minorHAnsi"/>
          <w:bCs/>
          <w:sz w:val="24"/>
          <w:szCs w:val="24"/>
        </w:rPr>
        <w:fldChar w:fldCharType="end"/>
      </w:r>
      <w:r w:rsidR="003B4272" w:rsidRPr="00F560BC">
        <w:rPr>
          <w:rFonts w:eastAsia="Times New Roman" w:cstheme="minorHAnsi"/>
          <w:bCs/>
          <w:sz w:val="24"/>
          <w:szCs w:val="24"/>
        </w:rPr>
        <w:t> 2013</w:t>
      </w:r>
      <w:proofErr w:type="gramStart"/>
      <w:r w:rsidR="003B4272" w:rsidRPr="00F560BC">
        <w:rPr>
          <w:rFonts w:eastAsia="Times New Roman" w:cstheme="minorHAnsi"/>
          <w:bCs/>
          <w:sz w:val="24"/>
          <w:szCs w:val="24"/>
        </w:rPr>
        <w:t>;41:653</w:t>
      </w:r>
      <w:proofErr w:type="gramEnd"/>
      <w:r w:rsidR="003B4272" w:rsidRPr="00F560BC">
        <w:rPr>
          <w:rFonts w:eastAsia="Times New Roman" w:cstheme="minorHAnsi"/>
          <w:bCs/>
          <w:sz w:val="24"/>
          <w:szCs w:val="24"/>
        </w:rPr>
        <w:t>-9</w:t>
      </w:r>
      <w:r w:rsidR="00F560BC">
        <w:rPr>
          <w:rFonts w:eastAsia="Times New Roman" w:cstheme="minorHAnsi"/>
          <w:bCs/>
          <w:sz w:val="24"/>
          <w:szCs w:val="24"/>
        </w:rPr>
        <w:t>)</w:t>
      </w:r>
      <w:r w:rsidR="00B447B0" w:rsidRPr="00F560BC">
        <w:rPr>
          <w:rFonts w:eastAsia="Times New Roman" w:cstheme="minorHAnsi"/>
          <w:bCs/>
          <w:sz w:val="24"/>
          <w:szCs w:val="24"/>
        </w:rPr>
        <w:t xml:space="preserve"> </w:t>
      </w:r>
      <w:r w:rsidR="00AD4342" w:rsidRPr="00F560BC">
        <w:rPr>
          <w:rFonts w:eastAsia="Times New Roman" w:cstheme="minorHAnsi"/>
          <w:bCs/>
          <w:sz w:val="24"/>
          <w:szCs w:val="24"/>
        </w:rPr>
        <w:t>summarized the finding</w:t>
      </w:r>
      <w:r w:rsidR="003007DD" w:rsidRPr="00F560BC">
        <w:rPr>
          <w:rFonts w:eastAsia="Times New Roman" w:cstheme="minorHAnsi"/>
          <w:bCs/>
          <w:sz w:val="24"/>
          <w:szCs w:val="24"/>
        </w:rPr>
        <w:t>s</w:t>
      </w:r>
      <w:r w:rsidR="00AD4342" w:rsidRPr="00F560BC">
        <w:rPr>
          <w:rFonts w:eastAsia="Times New Roman" w:cstheme="minorHAnsi"/>
          <w:bCs/>
          <w:sz w:val="24"/>
          <w:szCs w:val="24"/>
        </w:rPr>
        <w:t xml:space="preserve"> from 54 studies (2003-2012) reporting 463 cases of metastases to the breast</w:t>
      </w:r>
      <w:r w:rsidR="00B51F86" w:rsidRPr="00F560BC">
        <w:rPr>
          <w:rFonts w:eastAsia="Times New Roman" w:cstheme="minorHAnsi"/>
          <w:bCs/>
          <w:sz w:val="24"/>
          <w:szCs w:val="24"/>
        </w:rPr>
        <w:t>. 29.8% of all metastases were from melanomas following by lung, gyneco-, GI- and hematologic malignancies.</w:t>
      </w:r>
      <w:r w:rsidR="00454B9D">
        <w:rPr>
          <w:rFonts w:eastAsia="Times New Roman" w:cstheme="minorHAnsi"/>
          <w:bCs/>
          <w:sz w:val="24"/>
          <w:szCs w:val="24"/>
        </w:rPr>
        <w:t xml:space="preserve"> </w:t>
      </w:r>
    </w:p>
    <w:p w:rsidR="003B4272" w:rsidRPr="00F560BC" w:rsidRDefault="00454B9D" w:rsidP="00F560BC">
      <w:pPr>
        <w:spacing w:line="480" w:lineRule="auto"/>
        <w:rPr>
          <w:rFonts w:eastAsia="Times New Roman" w:cstheme="minorHAnsi"/>
          <w:bCs/>
          <w:sz w:val="24"/>
          <w:szCs w:val="24"/>
        </w:rPr>
      </w:pPr>
      <w:r w:rsidRPr="001B0FF5">
        <w:rPr>
          <w:rFonts w:eastAsia="Times New Roman" w:cstheme="minorHAnsi"/>
          <w:bCs/>
          <w:sz w:val="24"/>
          <w:szCs w:val="24"/>
        </w:rPr>
        <w:t>None of these studies explored the molecular features of the secondary cancers to the breast in regards to immuno-oncology</w:t>
      </w:r>
      <w:r w:rsidR="00C75C13" w:rsidRPr="001B0FF5">
        <w:rPr>
          <w:rFonts w:eastAsia="Times New Roman" w:cstheme="minorHAnsi"/>
          <w:bCs/>
          <w:sz w:val="24"/>
          <w:szCs w:val="24"/>
        </w:rPr>
        <w:t xml:space="preserve"> (I-O)</w:t>
      </w:r>
      <w:r w:rsidRPr="001B0FF5">
        <w:rPr>
          <w:rFonts w:eastAsia="Times New Roman" w:cstheme="minorHAnsi"/>
          <w:bCs/>
          <w:sz w:val="24"/>
          <w:szCs w:val="24"/>
        </w:rPr>
        <w:t xml:space="preserve"> and targeted therapies.</w:t>
      </w:r>
    </w:p>
    <w:p w:rsidR="00AD4342" w:rsidRPr="00AD4342" w:rsidRDefault="00AD4342">
      <w:pPr>
        <w:rPr>
          <w:rFonts w:ascii="Arial" w:eastAsia="Times New Roman" w:hAnsi="Arial" w:cs="Arial"/>
          <w:bCs/>
          <w:color w:val="000000"/>
        </w:rPr>
      </w:pPr>
    </w:p>
    <w:p w:rsidR="003B4272" w:rsidRDefault="003B4272"/>
    <w:sectPr w:rsidR="003B427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42" w:rsidRDefault="00960D42" w:rsidP="000C5892">
      <w:pPr>
        <w:spacing w:after="0" w:line="240" w:lineRule="auto"/>
      </w:pPr>
      <w:r>
        <w:separator/>
      </w:r>
    </w:p>
  </w:endnote>
  <w:endnote w:type="continuationSeparator" w:id="0">
    <w:p w:rsidR="00960D42" w:rsidRDefault="00960D42" w:rsidP="000C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250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19A1" w:rsidRDefault="005F19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7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5892" w:rsidRDefault="000C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42" w:rsidRDefault="00960D42" w:rsidP="000C5892">
      <w:pPr>
        <w:spacing w:after="0" w:line="240" w:lineRule="auto"/>
      </w:pPr>
      <w:r>
        <w:separator/>
      </w:r>
    </w:p>
  </w:footnote>
  <w:footnote w:type="continuationSeparator" w:id="0">
    <w:p w:rsidR="00960D42" w:rsidRDefault="00960D42" w:rsidP="000C5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26"/>
    <w:rsid w:val="00012993"/>
    <w:rsid w:val="000314E0"/>
    <w:rsid w:val="00033DB5"/>
    <w:rsid w:val="000357E1"/>
    <w:rsid w:val="000678F8"/>
    <w:rsid w:val="0008047A"/>
    <w:rsid w:val="00090E0E"/>
    <w:rsid w:val="000A1F9A"/>
    <w:rsid w:val="000A2440"/>
    <w:rsid w:val="000C5892"/>
    <w:rsid w:val="000C688D"/>
    <w:rsid w:val="000C7B78"/>
    <w:rsid w:val="000D1B66"/>
    <w:rsid w:val="000D3E38"/>
    <w:rsid w:val="000F21C5"/>
    <w:rsid w:val="001007DF"/>
    <w:rsid w:val="00103759"/>
    <w:rsid w:val="001142C6"/>
    <w:rsid w:val="001309E6"/>
    <w:rsid w:val="00133D30"/>
    <w:rsid w:val="001500B1"/>
    <w:rsid w:val="001514C3"/>
    <w:rsid w:val="001538FE"/>
    <w:rsid w:val="00154840"/>
    <w:rsid w:val="00161C1E"/>
    <w:rsid w:val="00193154"/>
    <w:rsid w:val="001B0CE6"/>
    <w:rsid w:val="001B0FF5"/>
    <w:rsid w:val="001B52FA"/>
    <w:rsid w:val="001C1539"/>
    <w:rsid w:val="001C7746"/>
    <w:rsid w:val="001E4F94"/>
    <w:rsid w:val="001E7026"/>
    <w:rsid w:val="001F6B23"/>
    <w:rsid w:val="001F7065"/>
    <w:rsid w:val="00204A02"/>
    <w:rsid w:val="00205CA1"/>
    <w:rsid w:val="00210119"/>
    <w:rsid w:val="00213FBC"/>
    <w:rsid w:val="00226AF8"/>
    <w:rsid w:val="00233201"/>
    <w:rsid w:val="0028203E"/>
    <w:rsid w:val="002A1766"/>
    <w:rsid w:val="002A5AC9"/>
    <w:rsid w:val="002B3C99"/>
    <w:rsid w:val="002D08B6"/>
    <w:rsid w:val="002D406C"/>
    <w:rsid w:val="002D62D6"/>
    <w:rsid w:val="002E5ED7"/>
    <w:rsid w:val="002F69DD"/>
    <w:rsid w:val="003007DD"/>
    <w:rsid w:val="003031C0"/>
    <w:rsid w:val="003058F6"/>
    <w:rsid w:val="00322839"/>
    <w:rsid w:val="00343937"/>
    <w:rsid w:val="00344434"/>
    <w:rsid w:val="00344881"/>
    <w:rsid w:val="00345570"/>
    <w:rsid w:val="003577F5"/>
    <w:rsid w:val="0036449E"/>
    <w:rsid w:val="00380F62"/>
    <w:rsid w:val="0039744E"/>
    <w:rsid w:val="003B4272"/>
    <w:rsid w:val="003D3993"/>
    <w:rsid w:val="003E3748"/>
    <w:rsid w:val="003F0067"/>
    <w:rsid w:val="003F6C05"/>
    <w:rsid w:val="00404C1A"/>
    <w:rsid w:val="00424BC1"/>
    <w:rsid w:val="00441A27"/>
    <w:rsid w:val="00444C3C"/>
    <w:rsid w:val="004537E1"/>
    <w:rsid w:val="00454B9D"/>
    <w:rsid w:val="0047725D"/>
    <w:rsid w:val="0048188C"/>
    <w:rsid w:val="004831E4"/>
    <w:rsid w:val="00495710"/>
    <w:rsid w:val="004A6E6F"/>
    <w:rsid w:val="004B26AF"/>
    <w:rsid w:val="004C788C"/>
    <w:rsid w:val="004D0E93"/>
    <w:rsid w:val="004D7912"/>
    <w:rsid w:val="004D7E73"/>
    <w:rsid w:val="004F4A71"/>
    <w:rsid w:val="00521974"/>
    <w:rsid w:val="005227C2"/>
    <w:rsid w:val="00531638"/>
    <w:rsid w:val="005333E7"/>
    <w:rsid w:val="005342AC"/>
    <w:rsid w:val="00541ECE"/>
    <w:rsid w:val="00547BD4"/>
    <w:rsid w:val="005524A1"/>
    <w:rsid w:val="00553A50"/>
    <w:rsid w:val="005553C8"/>
    <w:rsid w:val="005A09F1"/>
    <w:rsid w:val="005A6579"/>
    <w:rsid w:val="005B019E"/>
    <w:rsid w:val="005C175A"/>
    <w:rsid w:val="005F19A1"/>
    <w:rsid w:val="005F68FE"/>
    <w:rsid w:val="006057E6"/>
    <w:rsid w:val="0060664F"/>
    <w:rsid w:val="00625D9C"/>
    <w:rsid w:val="006358BB"/>
    <w:rsid w:val="006434C8"/>
    <w:rsid w:val="006474E8"/>
    <w:rsid w:val="00665420"/>
    <w:rsid w:val="0066661F"/>
    <w:rsid w:val="00672FE7"/>
    <w:rsid w:val="0068187E"/>
    <w:rsid w:val="0068642E"/>
    <w:rsid w:val="006958B4"/>
    <w:rsid w:val="006B22C2"/>
    <w:rsid w:val="006D11D2"/>
    <w:rsid w:val="00726802"/>
    <w:rsid w:val="0074691E"/>
    <w:rsid w:val="00747B3F"/>
    <w:rsid w:val="00776F36"/>
    <w:rsid w:val="00777905"/>
    <w:rsid w:val="0078564B"/>
    <w:rsid w:val="00786FBF"/>
    <w:rsid w:val="00793696"/>
    <w:rsid w:val="007969F4"/>
    <w:rsid w:val="007B0AD8"/>
    <w:rsid w:val="007E472C"/>
    <w:rsid w:val="007F1FD5"/>
    <w:rsid w:val="0080472C"/>
    <w:rsid w:val="00884722"/>
    <w:rsid w:val="008855E9"/>
    <w:rsid w:val="00886B75"/>
    <w:rsid w:val="00892738"/>
    <w:rsid w:val="008A73D3"/>
    <w:rsid w:val="008B6A85"/>
    <w:rsid w:val="008C34E8"/>
    <w:rsid w:val="008D539A"/>
    <w:rsid w:val="008D5422"/>
    <w:rsid w:val="008D5BDF"/>
    <w:rsid w:val="008D6872"/>
    <w:rsid w:val="00900CC1"/>
    <w:rsid w:val="00914D92"/>
    <w:rsid w:val="00914E63"/>
    <w:rsid w:val="00917E64"/>
    <w:rsid w:val="009208E3"/>
    <w:rsid w:val="00936D78"/>
    <w:rsid w:val="00960D42"/>
    <w:rsid w:val="00961E6E"/>
    <w:rsid w:val="009A4829"/>
    <w:rsid w:val="009B10DD"/>
    <w:rsid w:val="009B24AF"/>
    <w:rsid w:val="009B363B"/>
    <w:rsid w:val="009B7172"/>
    <w:rsid w:val="009C6FC6"/>
    <w:rsid w:val="009D72E7"/>
    <w:rsid w:val="00A037C4"/>
    <w:rsid w:val="00A139C3"/>
    <w:rsid w:val="00A13CEA"/>
    <w:rsid w:val="00A2512C"/>
    <w:rsid w:val="00A46591"/>
    <w:rsid w:val="00A55758"/>
    <w:rsid w:val="00A55F10"/>
    <w:rsid w:val="00A60148"/>
    <w:rsid w:val="00A90535"/>
    <w:rsid w:val="00A94280"/>
    <w:rsid w:val="00AB4543"/>
    <w:rsid w:val="00AB62FC"/>
    <w:rsid w:val="00AC74DA"/>
    <w:rsid w:val="00AD1D0B"/>
    <w:rsid w:val="00AD4342"/>
    <w:rsid w:val="00AD57FE"/>
    <w:rsid w:val="00AD7B96"/>
    <w:rsid w:val="00AE54A1"/>
    <w:rsid w:val="00B204ED"/>
    <w:rsid w:val="00B21C30"/>
    <w:rsid w:val="00B3600D"/>
    <w:rsid w:val="00B429D6"/>
    <w:rsid w:val="00B447B0"/>
    <w:rsid w:val="00B51F86"/>
    <w:rsid w:val="00B6000C"/>
    <w:rsid w:val="00B663BD"/>
    <w:rsid w:val="00B81091"/>
    <w:rsid w:val="00B87406"/>
    <w:rsid w:val="00B918DA"/>
    <w:rsid w:val="00B9315C"/>
    <w:rsid w:val="00B971A0"/>
    <w:rsid w:val="00BA11C0"/>
    <w:rsid w:val="00BB4BA1"/>
    <w:rsid w:val="00BD1ABF"/>
    <w:rsid w:val="00BD685E"/>
    <w:rsid w:val="00BF3D72"/>
    <w:rsid w:val="00C20476"/>
    <w:rsid w:val="00C349E8"/>
    <w:rsid w:val="00C415C0"/>
    <w:rsid w:val="00C65364"/>
    <w:rsid w:val="00C679E4"/>
    <w:rsid w:val="00C74346"/>
    <w:rsid w:val="00C75C13"/>
    <w:rsid w:val="00C82919"/>
    <w:rsid w:val="00C82980"/>
    <w:rsid w:val="00C86413"/>
    <w:rsid w:val="00C95C55"/>
    <w:rsid w:val="00C97B67"/>
    <w:rsid w:val="00CB2946"/>
    <w:rsid w:val="00CB5385"/>
    <w:rsid w:val="00CD378B"/>
    <w:rsid w:val="00CE1AD5"/>
    <w:rsid w:val="00CE49C6"/>
    <w:rsid w:val="00CF5451"/>
    <w:rsid w:val="00D256F6"/>
    <w:rsid w:val="00D3780A"/>
    <w:rsid w:val="00D451BC"/>
    <w:rsid w:val="00D553C5"/>
    <w:rsid w:val="00D63BB0"/>
    <w:rsid w:val="00D63F64"/>
    <w:rsid w:val="00D64BFC"/>
    <w:rsid w:val="00D71750"/>
    <w:rsid w:val="00D77D83"/>
    <w:rsid w:val="00DB52C9"/>
    <w:rsid w:val="00DB5EDA"/>
    <w:rsid w:val="00DF11FC"/>
    <w:rsid w:val="00E019A0"/>
    <w:rsid w:val="00E37B90"/>
    <w:rsid w:val="00E52DDE"/>
    <w:rsid w:val="00E64898"/>
    <w:rsid w:val="00E75C9C"/>
    <w:rsid w:val="00EC272D"/>
    <w:rsid w:val="00EC73F1"/>
    <w:rsid w:val="00EE6A32"/>
    <w:rsid w:val="00EF4A47"/>
    <w:rsid w:val="00EF6E95"/>
    <w:rsid w:val="00F041E6"/>
    <w:rsid w:val="00F20870"/>
    <w:rsid w:val="00F26A01"/>
    <w:rsid w:val="00F42B10"/>
    <w:rsid w:val="00F438DE"/>
    <w:rsid w:val="00F560BC"/>
    <w:rsid w:val="00F56750"/>
    <w:rsid w:val="00F568E5"/>
    <w:rsid w:val="00F8536C"/>
    <w:rsid w:val="00FA3780"/>
    <w:rsid w:val="00FB429C"/>
    <w:rsid w:val="00FB7E13"/>
    <w:rsid w:val="00FC6ADE"/>
    <w:rsid w:val="00FF104F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80D8"/>
  <w15:chartTrackingRefBased/>
  <w15:docId w15:val="{5384D1C8-E68E-4AF1-B6CC-617C2D79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7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F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E7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E70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0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E70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E70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7026"/>
    <w:rPr>
      <w:color w:val="0000FF"/>
      <w:u w:val="single"/>
    </w:rPr>
  </w:style>
  <w:style w:type="character" w:customStyle="1" w:styleId="ui-ncbitoggler-master-text">
    <w:name w:val="ui-ncbitoggler-master-text"/>
    <w:basedOn w:val="DefaultParagraphFont"/>
    <w:rsid w:val="001E7026"/>
  </w:style>
  <w:style w:type="paragraph" w:styleId="NormalWeb">
    <w:name w:val="Normal (Web)"/>
    <w:basedOn w:val="Normal"/>
    <w:uiPriority w:val="99"/>
    <w:semiHidden/>
    <w:unhideWhenUsed/>
    <w:rsid w:val="001E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0D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9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92"/>
  </w:style>
  <w:style w:type="paragraph" w:styleId="Footer">
    <w:name w:val="footer"/>
    <w:basedOn w:val="Normal"/>
    <w:link w:val="FooterChar"/>
    <w:uiPriority w:val="99"/>
    <w:unhideWhenUsed/>
    <w:rsid w:val="000C5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92"/>
  </w:style>
  <w:style w:type="character" w:customStyle="1" w:styleId="Heading2Char">
    <w:name w:val="Heading 2 Char"/>
    <w:basedOn w:val="DefaultParagraphFont"/>
    <w:link w:val="Heading2"/>
    <w:uiPriority w:val="9"/>
    <w:semiHidden/>
    <w:rsid w:val="00672F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it">
    <w:name w:val="cit"/>
    <w:basedOn w:val="DefaultParagraphFont"/>
    <w:rsid w:val="00672FE7"/>
  </w:style>
  <w:style w:type="character" w:customStyle="1" w:styleId="doi">
    <w:name w:val="doi"/>
    <w:basedOn w:val="DefaultParagraphFont"/>
    <w:rsid w:val="00672FE7"/>
  </w:style>
  <w:style w:type="character" w:customStyle="1" w:styleId="fm-citation-ids-label">
    <w:name w:val="fm-citation-ids-label"/>
    <w:basedOn w:val="DefaultParagraphFont"/>
    <w:rsid w:val="00672FE7"/>
  </w:style>
  <w:style w:type="paragraph" w:customStyle="1" w:styleId="p">
    <w:name w:val="p"/>
    <w:basedOn w:val="Normal"/>
    <w:rsid w:val="0067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3075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36823">
          <w:marLeft w:val="0"/>
          <w:marRight w:val="0"/>
          <w:marTop w:val="432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56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10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6342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78781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626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951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4246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292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190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7219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3224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2002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3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878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6185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265153">
              <w:marLeft w:val="0"/>
              <w:marRight w:val="0"/>
              <w:marTop w:val="432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271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381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696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7119">
          <w:marLeft w:val="0"/>
          <w:marRight w:val="0"/>
          <w:marTop w:val="432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8874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958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7022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15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5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5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9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 Vranić</dc:creator>
  <cp:keywords/>
  <dc:description/>
  <cp:lastModifiedBy>Semir Vranic</cp:lastModifiedBy>
  <cp:revision>167</cp:revision>
  <dcterms:created xsi:type="dcterms:W3CDTF">2018-04-15T09:48:00Z</dcterms:created>
  <dcterms:modified xsi:type="dcterms:W3CDTF">2019-07-08T07:19:00Z</dcterms:modified>
</cp:coreProperties>
</file>