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3" w:rsidRPr="00F6436E" w:rsidRDefault="00E1193F" w:rsidP="00B378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193F">
        <w:rPr>
          <w:rFonts w:ascii="Times New Roman" w:eastAsiaTheme="minorHAnsi" w:hAnsi="Times New Roman"/>
          <w:b/>
          <w:bCs/>
          <w:sz w:val="24"/>
          <w:szCs w:val="24"/>
        </w:rPr>
        <w:t xml:space="preserve">Supplemental Digital Content </w:t>
      </w: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19007F" w:rsidRPr="00F6436E">
        <w:rPr>
          <w:rFonts w:ascii="Times New Roman" w:eastAsiaTheme="minorHAnsi" w:hAnsi="Times New Roman"/>
          <w:b/>
          <w:bCs/>
          <w:sz w:val="24"/>
          <w:szCs w:val="24"/>
        </w:rPr>
        <w:t>.</w:t>
      </w:r>
      <w:proofErr w:type="gramEnd"/>
      <w:r w:rsidR="0019007F" w:rsidRPr="00F6436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37853" w:rsidRPr="00F6436E">
        <w:rPr>
          <w:rFonts w:ascii="Times New Roman" w:hAnsi="Times New Roman"/>
          <w:sz w:val="24"/>
          <w:szCs w:val="24"/>
        </w:rPr>
        <w:t>Modified RTOG Delayed Radiation Toxicity Grading</w:t>
      </w:r>
    </w:p>
    <w:p w:rsidR="00B37853" w:rsidRDefault="00B37853" w:rsidP="00B37853">
      <w:pPr>
        <w:spacing w:after="0" w:line="240" w:lineRule="auto"/>
      </w:pP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2455"/>
        <w:gridCol w:w="2786"/>
        <w:gridCol w:w="2699"/>
        <w:gridCol w:w="2518"/>
        <w:gridCol w:w="2340"/>
      </w:tblGrid>
      <w:tr w:rsidR="00B37853" w:rsidTr="00A94EEC">
        <w:trPr>
          <w:trHeight w:val="350"/>
        </w:trPr>
        <w:tc>
          <w:tcPr>
            <w:tcW w:w="2455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B37853" w:rsidRPr="00F6436E" w:rsidRDefault="00B37853" w:rsidP="00A94EEC">
            <w:pPr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2699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2518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2340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</w:tr>
      <w:tr w:rsidR="00B37853" w:rsidTr="00A94EEC">
        <w:trPr>
          <w:trHeight w:val="3577"/>
        </w:trPr>
        <w:tc>
          <w:tcPr>
            <w:tcW w:w="2455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Lower Gastrointestinal</w:t>
            </w:r>
          </w:p>
        </w:tc>
        <w:tc>
          <w:tcPr>
            <w:tcW w:w="2786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Excess bowel movements</w:t>
            </w:r>
          </w:p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36E">
              <w:rPr>
                <w:rFonts w:ascii="Times New Roman" w:hAnsi="Times New Roman"/>
                <w:sz w:val="24"/>
                <w:szCs w:val="24"/>
              </w:rPr>
              <w:t>twice</w:t>
            </w:r>
            <w:proofErr w:type="gramEnd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 baseline. Slight rectal discharge or blood.</w:t>
            </w:r>
          </w:p>
        </w:tc>
        <w:tc>
          <w:tcPr>
            <w:tcW w:w="2699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 xml:space="preserve">Less than or equal to 2 </w:t>
            </w: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antidiarrheals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>/week.  Two or fewer coagulations for bleeding.  Occasional steroids for ulceration. Occasional dilatation. Intermittent use of incontinence pads. Regular non-narcotic or occasional narcotic for pain.</w:t>
            </w:r>
          </w:p>
        </w:tc>
        <w:tc>
          <w:tcPr>
            <w:tcW w:w="2518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More than two </w:t>
            </w: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antidiarrheals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>/day.</w:t>
            </w:r>
            <w:proofErr w:type="gramEnd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 At least one blood transfusion or more than two coagulations for bleeding.  Steroids per enema. Hyperbaric oxygen for ulceration. Regular dilatation. Persistent use of incontinence pads. Regular narcotic for pain.</w:t>
            </w:r>
          </w:p>
        </w:tc>
        <w:tc>
          <w:tcPr>
            <w:tcW w:w="2340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Dysfunction requiring surgery. Perforation. Life-threatening bleeding.</w:t>
            </w:r>
          </w:p>
        </w:tc>
      </w:tr>
      <w:tr w:rsidR="00B37853" w:rsidTr="00A94EEC">
        <w:trPr>
          <w:trHeight w:val="283"/>
        </w:trPr>
        <w:tc>
          <w:tcPr>
            <w:tcW w:w="2455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Urinary</w:t>
            </w:r>
          </w:p>
        </w:tc>
        <w:tc>
          <w:tcPr>
            <w:tcW w:w="2786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Nocturia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 twice baseline. Microscopic hematuria. Light </w:t>
            </w: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muscosal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 atrophy and minor </w:t>
            </w: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telanglectasia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 xml:space="preserve">Moderate frequency/ </w:t>
            </w: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Nocturia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 more than twice baseline. Generalized </w:t>
            </w: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telanglectasia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>. Intermittent macroscopic hematuria. Occasional blood transfusions. Two or fewer coagulations. Regular non-narcotics for pain.</w:t>
            </w:r>
          </w:p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 xml:space="preserve">Severe frequency and dysuria. </w:t>
            </w:r>
            <w:proofErr w:type="spellStart"/>
            <w:r w:rsidRPr="00F6436E">
              <w:rPr>
                <w:rFonts w:ascii="Times New Roman" w:hAnsi="Times New Roman"/>
                <w:sz w:val="24"/>
                <w:szCs w:val="24"/>
              </w:rPr>
              <w:t>Nocturia</w:t>
            </w:r>
            <w:proofErr w:type="spellEnd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 more frequent than once every hour. Reduction in bladder capacity (150cc). Frequent hematuria. Frequent transfusions. </w:t>
            </w:r>
            <w:proofErr w:type="gramStart"/>
            <w:r w:rsidRPr="00F6436E">
              <w:rPr>
                <w:rFonts w:ascii="Times New Roman" w:hAnsi="Times New Roman"/>
                <w:sz w:val="24"/>
                <w:szCs w:val="24"/>
              </w:rPr>
              <w:t>More than one coagulation</w:t>
            </w:r>
            <w:proofErr w:type="gramEnd"/>
            <w:r w:rsidRPr="00F6436E">
              <w:rPr>
                <w:rFonts w:ascii="Times New Roman" w:hAnsi="Times New Roman"/>
                <w:sz w:val="24"/>
                <w:szCs w:val="24"/>
              </w:rPr>
              <w:t xml:space="preserve"> for hematuria. Regular narcotic for pain.</w:t>
            </w:r>
          </w:p>
        </w:tc>
        <w:tc>
          <w:tcPr>
            <w:tcW w:w="2340" w:type="dxa"/>
          </w:tcPr>
          <w:p w:rsidR="00B37853" w:rsidRPr="00F6436E" w:rsidRDefault="00B37853" w:rsidP="00A94EEC">
            <w:pPr>
              <w:rPr>
                <w:rFonts w:ascii="Times New Roman" w:hAnsi="Times New Roman"/>
                <w:sz w:val="24"/>
                <w:szCs w:val="24"/>
              </w:rPr>
            </w:pPr>
            <w:r w:rsidRPr="00F6436E">
              <w:rPr>
                <w:rFonts w:ascii="Times New Roman" w:hAnsi="Times New Roman"/>
                <w:sz w:val="24"/>
                <w:szCs w:val="24"/>
              </w:rPr>
              <w:t>Severe hemorrhagic cystitis. Ulceration. Requirement for urinary diversion and/or cystectomy.</w:t>
            </w:r>
          </w:p>
        </w:tc>
      </w:tr>
    </w:tbl>
    <w:p w:rsidR="00A94EEC" w:rsidRDefault="00A94EEC" w:rsidP="00B37853">
      <w:pPr>
        <w:spacing w:after="0" w:line="240" w:lineRule="auto"/>
      </w:pPr>
      <w:bookmarkStart w:id="0" w:name="_GoBack"/>
      <w:bookmarkEnd w:id="0"/>
    </w:p>
    <w:sectPr w:rsidR="00A94EEC" w:rsidSect="009B70C8">
      <w:type w:val="nextColumn"/>
      <w:pgSz w:w="15840" w:h="12240" w:orient="landscape"/>
      <w:pgMar w:top="1008" w:right="720" w:bottom="864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F4" w:rsidRDefault="007225F4" w:rsidP="00A22C69">
      <w:pPr>
        <w:spacing w:after="0" w:line="240" w:lineRule="auto"/>
      </w:pPr>
      <w:r>
        <w:separator/>
      </w:r>
    </w:p>
  </w:endnote>
  <w:endnote w:type="continuationSeparator" w:id="0">
    <w:p w:rsidR="007225F4" w:rsidRDefault="007225F4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F4" w:rsidRDefault="007225F4" w:rsidP="00A22C69">
      <w:pPr>
        <w:spacing w:after="0" w:line="240" w:lineRule="auto"/>
      </w:pPr>
      <w:r>
        <w:separator/>
      </w:r>
    </w:p>
  </w:footnote>
  <w:footnote w:type="continuationSeparator" w:id="0">
    <w:p w:rsidR="007225F4" w:rsidRDefault="007225F4" w:rsidP="00A2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9"/>
    <w:rsid w:val="00025741"/>
    <w:rsid w:val="00077676"/>
    <w:rsid w:val="000B27FE"/>
    <w:rsid w:val="00140A3F"/>
    <w:rsid w:val="001840C3"/>
    <w:rsid w:val="0019007F"/>
    <w:rsid w:val="001F5512"/>
    <w:rsid w:val="0024624E"/>
    <w:rsid w:val="002A06DE"/>
    <w:rsid w:val="002C2389"/>
    <w:rsid w:val="00333C75"/>
    <w:rsid w:val="00426733"/>
    <w:rsid w:val="004E5117"/>
    <w:rsid w:val="005864A9"/>
    <w:rsid w:val="006623EC"/>
    <w:rsid w:val="006960B8"/>
    <w:rsid w:val="007225F4"/>
    <w:rsid w:val="007F2FC5"/>
    <w:rsid w:val="00906C36"/>
    <w:rsid w:val="00912A25"/>
    <w:rsid w:val="009B70C8"/>
    <w:rsid w:val="009E7F28"/>
    <w:rsid w:val="00A033BD"/>
    <w:rsid w:val="00A22C69"/>
    <w:rsid w:val="00A87CA5"/>
    <w:rsid w:val="00A9187A"/>
    <w:rsid w:val="00A94EEC"/>
    <w:rsid w:val="00B37853"/>
    <w:rsid w:val="00BB0105"/>
    <w:rsid w:val="00CB37CE"/>
    <w:rsid w:val="00D74925"/>
    <w:rsid w:val="00E1193F"/>
    <w:rsid w:val="00EB4289"/>
    <w:rsid w:val="00F6436E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3E08-332B-495B-99ED-15C0B4D5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KHoffman1</dc:creator>
  <cp:lastModifiedBy>KHOFF Desktop</cp:lastModifiedBy>
  <cp:revision>4</cp:revision>
  <dcterms:created xsi:type="dcterms:W3CDTF">2015-09-07T03:22:00Z</dcterms:created>
  <dcterms:modified xsi:type="dcterms:W3CDTF">2015-09-07T03:31:00Z</dcterms:modified>
</cp:coreProperties>
</file>