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95B0" w14:textId="77777777" w:rsidR="00D9210E" w:rsidRPr="00501BF5" w:rsidRDefault="00D9210E" w:rsidP="00D9210E">
      <w:pPr>
        <w:rPr>
          <w:rFonts w:ascii="Arial" w:hAnsi="Arial" w:cs="Arial"/>
        </w:rPr>
      </w:pPr>
      <w:r w:rsidRPr="00501BF5">
        <w:rPr>
          <w:rFonts w:ascii="Arial" w:hAnsi="Arial" w:cs="Arial"/>
        </w:rPr>
        <w:t>Supplemental Table 1. Peptides selected for the quantification of the candidate biomarkers.</w:t>
      </w:r>
    </w:p>
    <w:p w14:paraId="2D45674A" w14:textId="77777777" w:rsidR="00D9210E" w:rsidRPr="00501BF5" w:rsidRDefault="00D9210E" w:rsidP="00D9210E">
      <w:pPr>
        <w:rPr>
          <w:rFonts w:ascii="Arial" w:hAnsi="Arial" w:cs="Arial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1417"/>
        <w:gridCol w:w="3703"/>
        <w:gridCol w:w="1350"/>
        <w:gridCol w:w="3240"/>
      </w:tblGrid>
      <w:tr w:rsidR="00D9210E" w:rsidRPr="00501BF5" w14:paraId="2A32C89D" w14:textId="77777777" w:rsidTr="001452EE">
        <w:trPr>
          <w:trHeight w:val="66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605E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Accession No.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D1DD" w14:textId="77777777" w:rsidR="00D9210E" w:rsidRPr="00501BF5" w:rsidRDefault="00D9210E" w:rsidP="001452E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Protein Name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CB5A" w14:textId="77777777" w:rsidR="00D9210E" w:rsidRPr="00501BF5" w:rsidRDefault="00D9210E" w:rsidP="001452E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Protein ID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C9" w14:textId="77777777" w:rsidR="00D9210E" w:rsidRPr="00501BF5" w:rsidRDefault="00D9210E" w:rsidP="001452E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Peptides</w:t>
            </w:r>
          </w:p>
        </w:tc>
      </w:tr>
      <w:tr w:rsidR="00D9210E" w:rsidRPr="00501BF5" w14:paraId="6B2DE586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EF7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Q16610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D6E4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Extracellular matrix protein 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ABE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ECM1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131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LLPAQLPAEK</w:t>
            </w:r>
          </w:p>
        </w:tc>
      </w:tr>
      <w:tr w:rsidR="00D9210E" w:rsidRPr="00501BF5" w14:paraId="6317B81A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230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1D0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3ADE6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4E82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NLPATDPLQR</w:t>
            </w:r>
          </w:p>
        </w:tc>
      </w:tr>
      <w:tr w:rsidR="00D9210E" w:rsidRPr="00501BF5" w14:paraId="4E9620D5" w14:textId="77777777" w:rsidTr="001452EE">
        <w:trPr>
          <w:trHeight w:val="46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A66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P49747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312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Cartilage oligomeric matrix protein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C81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COMP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80F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GDACDDDIDGDR</w:t>
            </w:r>
          </w:p>
        </w:tc>
      </w:tr>
      <w:tr w:rsidR="00D9210E" w:rsidRPr="00501BF5" w14:paraId="68DA4D3E" w14:textId="77777777" w:rsidTr="001452EE">
        <w:trPr>
          <w:trHeight w:val="34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6AA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Q15113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BD94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Procollagen C-endopeptidase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8FF0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PCOC1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B45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TGGLDLPSPPTGASLK</w:t>
            </w:r>
          </w:p>
        </w:tc>
      </w:tr>
      <w:tr w:rsidR="00D9210E" w:rsidRPr="00501BF5" w14:paraId="242BFCA6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2E3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Q04756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0D5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Hepatocyte growth factor activator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554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HGFA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F40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VQLSPDLLATLPEPASPGR</w:t>
            </w:r>
          </w:p>
        </w:tc>
      </w:tr>
      <w:tr w:rsidR="00D9210E" w:rsidRPr="00501BF5" w14:paraId="0D1679ED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83E0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15914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344B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AC7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LCNIEPDER</w:t>
            </w:r>
          </w:p>
        </w:tc>
      </w:tr>
      <w:tr w:rsidR="00D9210E" w:rsidRPr="00501BF5" w14:paraId="3F00098D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04141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43161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3D1E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6A70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YEYLEGGDR</w:t>
            </w:r>
          </w:p>
        </w:tc>
      </w:tr>
      <w:tr w:rsidR="00D9210E" w:rsidRPr="00501BF5" w14:paraId="048B3D90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4F4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P07996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FD3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Thrombospondin-1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A150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TSP1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74F2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FVFGTTPEDILR</w:t>
            </w:r>
          </w:p>
        </w:tc>
      </w:tr>
      <w:tr w:rsidR="00D9210E" w:rsidRPr="00501BF5" w14:paraId="20AA37AF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6206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808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C117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678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SITLFVQEDR</w:t>
            </w:r>
          </w:p>
        </w:tc>
      </w:tr>
      <w:tr w:rsidR="00D9210E" w:rsidRPr="00501BF5" w14:paraId="1DAC6ABC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6F58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751E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7CC66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505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DCVGDVTENQICNK</w:t>
            </w:r>
          </w:p>
        </w:tc>
      </w:tr>
      <w:tr w:rsidR="00D9210E" w:rsidRPr="00501BF5" w14:paraId="30068A7D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032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P14780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5D51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Matrix metalloproteinase-9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CFB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MMP9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201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LGLGADVAQVTGALR</w:t>
            </w:r>
          </w:p>
        </w:tc>
      </w:tr>
      <w:tr w:rsidR="00D9210E" w:rsidRPr="00501BF5" w14:paraId="5C50894B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BB47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788B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4602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385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QLAEEYLYR</w:t>
            </w:r>
          </w:p>
        </w:tc>
      </w:tr>
      <w:tr w:rsidR="00D9210E" w:rsidRPr="00501BF5" w14:paraId="6FD04155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FEFB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C27C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F781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CD2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AVIDDAFAR</w:t>
            </w:r>
          </w:p>
        </w:tc>
      </w:tr>
      <w:tr w:rsidR="00D9210E" w:rsidRPr="00501BF5" w14:paraId="450F1FFA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56D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P08253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0ED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 xml:space="preserve">72 </w:t>
            </w:r>
            <w:proofErr w:type="spellStart"/>
            <w:r w:rsidRPr="00501BF5">
              <w:rPr>
                <w:rFonts w:ascii="Arial" w:eastAsia="Times New Roman" w:hAnsi="Arial" w:cs="Arial"/>
                <w:color w:val="000000"/>
              </w:rPr>
              <w:t>kDa</w:t>
            </w:r>
            <w:proofErr w:type="spellEnd"/>
            <w:r w:rsidRPr="00501BF5">
              <w:rPr>
                <w:rFonts w:ascii="Arial" w:eastAsia="Times New Roman" w:hAnsi="Arial" w:cs="Arial"/>
                <w:color w:val="000000"/>
              </w:rPr>
              <w:t xml:space="preserve"> type IV collagenase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FF11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MMP2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ED4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IDAVYEAPQEEK</w:t>
            </w:r>
          </w:p>
        </w:tc>
      </w:tr>
      <w:tr w:rsidR="00D9210E" w:rsidRPr="00501BF5" w14:paraId="475D2437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A8977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89DA7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5009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4A2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TYIFAGDK</w:t>
            </w:r>
          </w:p>
        </w:tc>
      </w:tr>
      <w:tr w:rsidR="00D9210E" w:rsidRPr="00501BF5" w14:paraId="4F0D8272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235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P02751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179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Fibronectin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411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FINC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BFC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TYLGNALVCTCYGGSR</w:t>
            </w:r>
          </w:p>
        </w:tc>
      </w:tr>
      <w:tr w:rsidR="00D9210E" w:rsidRPr="00501BF5" w14:paraId="4D730870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235F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E1E4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3F52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146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LLCQCLGFGSGHFR</w:t>
            </w:r>
          </w:p>
        </w:tc>
      </w:tr>
      <w:tr w:rsidR="00D9210E" w:rsidRPr="00501BF5" w14:paraId="65B6DD4B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79A0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D33F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9B3E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423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SSPVVIDASTAIDAPSNLR</w:t>
            </w:r>
          </w:p>
        </w:tc>
      </w:tr>
      <w:tr w:rsidR="00D9210E" w:rsidRPr="00501BF5" w14:paraId="34E625BE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1C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Q08380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5F25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Galectin-3-binding protein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DA5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LG3BP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3BE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YSSDYFQAPSDYR</w:t>
            </w:r>
          </w:p>
        </w:tc>
      </w:tr>
      <w:tr w:rsidR="00D9210E" w:rsidRPr="00501BF5" w14:paraId="6BB73981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BF4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16ED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6432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7A6A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SQLVYQSR</w:t>
            </w:r>
          </w:p>
        </w:tc>
      </w:tr>
      <w:tr w:rsidR="00D9210E" w:rsidRPr="00501BF5" w14:paraId="3C25B4F9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F396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EA6B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EC9F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02D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IDITLSSVK</w:t>
            </w:r>
          </w:p>
        </w:tc>
      </w:tr>
      <w:tr w:rsidR="00D9210E" w:rsidRPr="00501BF5" w14:paraId="2BFF4B13" w14:textId="77777777" w:rsidTr="001452EE">
        <w:trPr>
          <w:trHeight w:val="34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826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P23142</w:t>
            </w: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BFD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Fibulin-1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9DEE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FBLN1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92D8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DCSLPYATESK</w:t>
            </w:r>
          </w:p>
        </w:tc>
      </w:tr>
      <w:tr w:rsidR="00D9210E" w:rsidRPr="00501BF5" w14:paraId="2159C421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F33D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551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4E703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681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IIEVEEEQEDPYLNDR</w:t>
            </w:r>
          </w:p>
        </w:tc>
      </w:tr>
      <w:tr w:rsidR="00D9210E" w:rsidRPr="00501BF5" w14:paraId="1D92079E" w14:textId="77777777" w:rsidTr="001452EE">
        <w:trPr>
          <w:trHeight w:val="34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5E42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F896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74CAC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3FE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SQETGDLDVGGLQETDK</w:t>
            </w:r>
          </w:p>
        </w:tc>
      </w:tr>
    </w:tbl>
    <w:p w14:paraId="063B0BCC" w14:textId="77777777" w:rsidR="00D9210E" w:rsidRDefault="00D9210E" w:rsidP="00D921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404AF5" w14:textId="77777777" w:rsidR="00D9210E" w:rsidRDefault="00D9210E" w:rsidP="00D9210E">
      <w:pPr>
        <w:rPr>
          <w:rFonts w:ascii="Times New Roman" w:hAnsi="Times New Roman" w:cs="Times New Roman"/>
          <w:b/>
        </w:rPr>
      </w:pPr>
    </w:p>
    <w:p w14:paraId="1788552D" w14:textId="77777777" w:rsidR="00D9210E" w:rsidRPr="00501BF5" w:rsidRDefault="00D9210E" w:rsidP="00D9210E">
      <w:pPr>
        <w:rPr>
          <w:rFonts w:ascii="Arial" w:hAnsi="Arial" w:cs="Arial"/>
        </w:rPr>
      </w:pPr>
      <w:r>
        <w:rPr>
          <w:rFonts w:ascii="Arial" w:hAnsi="Arial" w:cs="Arial"/>
        </w:rPr>
        <w:t>Supplemental</w:t>
      </w:r>
      <w:bookmarkStart w:id="0" w:name="_GoBack"/>
      <w:bookmarkEnd w:id="0"/>
      <w:r>
        <w:rPr>
          <w:rFonts w:ascii="Arial" w:hAnsi="Arial" w:cs="Arial"/>
        </w:rPr>
        <w:t xml:space="preserve"> Table 2</w:t>
      </w:r>
      <w:r w:rsidRPr="00501BF5">
        <w:rPr>
          <w:rFonts w:ascii="Arial" w:hAnsi="Arial" w:cs="Arial"/>
        </w:rPr>
        <w:t xml:space="preserve">.  Multivariate model of conversion to B2 phenotype using individual proteins by ELISA. </w:t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1060"/>
        <w:gridCol w:w="2661"/>
        <w:gridCol w:w="2473"/>
        <w:gridCol w:w="2473"/>
        <w:gridCol w:w="2473"/>
      </w:tblGrid>
      <w:tr w:rsidR="00D9210E" w:rsidRPr="00501BF5" w14:paraId="138C2987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4D5A" w14:textId="77777777" w:rsidR="00D9210E" w:rsidRPr="00501BF5" w:rsidRDefault="00D9210E" w:rsidP="00145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63C3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Quartile</w:t>
            </w:r>
          </w:p>
        </w:tc>
      </w:tr>
      <w:tr w:rsidR="00D9210E" w:rsidRPr="00501BF5" w14:paraId="1FA75851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2EC" w14:textId="77777777" w:rsidR="00D9210E" w:rsidRPr="00501BF5" w:rsidRDefault="00D9210E" w:rsidP="001452E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Protein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806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1st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22D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2nd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A94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3rd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EA0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1BF5">
              <w:rPr>
                <w:rFonts w:ascii="Arial" w:eastAsia="Times New Roman" w:hAnsi="Arial" w:cs="Arial"/>
                <w:b/>
                <w:bCs/>
                <w:color w:val="000000"/>
              </w:rPr>
              <w:t>4th</w:t>
            </w:r>
          </w:p>
        </w:tc>
      </w:tr>
      <w:tr w:rsidR="00D9210E" w:rsidRPr="00501BF5" w14:paraId="3D1A4E2C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D3F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ECM1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7137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01BF5">
              <w:rPr>
                <w:rFonts w:ascii="Arial" w:eastAsia="Times New Roman" w:hAnsi="Arial" w:cs="Arial"/>
                <w:i/>
                <w:iCs/>
                <w:color w:val="000000"/>
              </w:rPr>
              <w:t>ref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10A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1.61 (0.67, 3.84)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01B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1.99 (0.81, 4.84)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4CA0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4.10 (1.82, 9.23)</w:t>
            </w:r>
          </w:p>
        </w:tc>
      </w:tr>
      <w:tr w:rsidR="00D9210E" w:rsidRPr="00501BF5" w14:paraId="482521B5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C2BB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FINC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441E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01BF5">
              <w:rPr>
                <w:rFonts w:ascii="Arial" w:eastAsia="Times New Roman" w:hAnsi="Arial" w:cs="Arial"/>
                <w:i/>
                <w:iCs/>
                <w:color w:val="000000"/>
              </w:rPr>
              <w:t>ref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7FA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0.81 (0.33, 1.97)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CF0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1.81 (0.80, 4.09)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1DF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2.06 (0.94, 4.54)</w:t>
            </w:r>
          </w:p>
        </w:tc>
      </w:tr>
      <w:tr w:rsidR="00D9210E" w:rsidRPr="00501BF5" w14:paraId="29739447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159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MMP9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FF2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1.91 (0.87, 4.18)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DDF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1.37 (0.62, 3.05)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E61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0.71 (0.29, 1.73)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E4F6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01BF5">
              <w:rPr>
                <w:rFonts w:ascii="Arial" w:eastAsia="Times New Roman" w:hAnsi="Arial" w:cs="Arial"/>
                <w:i/>
                <w:iCs/>
                <w:color w:val="000000"/>
              </w:rPr>
              <w:t>ref</w:t>
            </w:r>
          </w:p>
        </w:tc>
      </w:tr>
      <w:tr w:rsidR="00D9210E" w:rsidRPr="00501BF5" w14:paraId="19AC7FCC" w14:textId="77777777" w:rsidTr="001452E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DBE" w14:textId="77777777" w:rsidR="00D9210E" w:rsidRPr="00501BF5" w:rsidRDefault="00D9210E" w:rsidP="001452EE">
            <w:pPr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COMP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379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3.87 (1.28, 11.72)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D72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2.52 (0.53, 12.0)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2A5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01BF5">
              <w:rPr>
                <w:rFonts w:ascii="Arial" w:eastAsia="Times New Roman" w:hAnsi="Arial" w:cs="Arial"/>
                <w:color w:val="000000"/>
              </w:rPr>
              <w:t>2.23 (0.68, 7.71)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835" w14:textId="77777777" w:rsidR="00D9210E" w:rsidRPr="00501BF5" w:rsidRDefault="00D9210E" w:rsidP="001452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01BF5">
              <w:rPr>
                <w:rFonts w:ascii="Arial" w:eastAsia="Times New Roman" w:hAnsi="Arial" w:cs="Arial"/>
                <w:i/>
                <w:iCs/>
                <w:color w:val="000000"/>
              </w:rPr>
              <w:t>ref</w:t>
            </w:r>
          </w:p>
        </w:tc>
      </w:tr>
    </w:tbl>
    <w:p w14:paraId="09AF8716" w14:textId="77777777" w:rsidR="00D9210E" w:rsidRPr="00501BF5" w:rsidRDefault="00D9210E" w:rsidP="00D9210E">
      <w:pPr>
        <w:rPr>
          <w:rFonts w:ascii="Arial" w:hAnsi="Arial" w:cs="Arial"/>
        </w:rPr>
      </w:pPr>
    </w:p>
    <w:p w14:paraId="2DDDFF88" w14:textId="77777777" w:rsidR="00D9210E" w:rsidRPr="00637032" w:rsidRDefault="00D9210E" w:rsidP="00D9210E">
      <w:pPr>
        <w:rPr>
          <w:rFonts w:ascii="Arial" w:hAnsi="Arial" w:cs="Arial"/>
        </w:rPr>
      </w:pPr>
      <w:r w:rsidRPr="00501BF5">
        <w:rPr>
          <w:rFonts w:ascii="Arial" w:hAnsi="Arial" w:cs="Arial"/>
        </w:rPr>
        <w:t xml:space="preserve">Values are listed as hazard ratio with 95% confidence limits for conversion from B1 (inflammatory) to B2 (stricturing) phenotype.  The best fit Cox regression model to the time of conversion to stricturing disease for each individual biomarker </w:t>
      </w:r>
      <w:r>
        <w:rPr>
          <w:rFonts w:ascii="Arial" w:hAnsi="Arial" w:cs="Arial"/>
        </w:rPr>
        <w:t>(by</w:t>
      </w:r>
      <w:r w:rsidRPr="00501BF5">
        <w:rPr>
          <w:rFonts w:ascii="Arial" w:hAnsi="Arial" w:cs="Arial"/>
        </w:rPr>
        <w:t xml:space="preserve"> ELISA</w:t>
      </w:r>
      <w:r>
        <w:rPr>
          <w:rFonts w:ascii="Arial" w:hAnsi="Arial" w:cs="Arial"/>
        </w:rPr>
        <w:t>)</w:t>
      </w:r>
      <w:r w:rsidRPr="00501BF5">
        <w:rPr>
          <w:rFonts w:ascii="Arial" w:hAnsi="Arial" w:cs="Arial"/>
        </w:rPr>
        <w:t xml:space="preserve"> included age, gender, disease location, change in height percentile over first 6 months and serum albumin at diagnosis</w:t>
      </w:r>
      <w:r>
        <w:rPr>
          <w:rFonts w:ascii="Arial" w:hAnsi="Arial" w:cs="Arial"/>
        </w:rPr>
        <w:t>.</w:t>
      </w:r>
    </w:p>
    <w:p w14:paraId="38A0C226" w14:textId="77777777" w:rsidR="008D1D9F" w:rsidRDefault="008D1D9F"/>
    <w:sectPr w:rsidR="008D1D9F" w:rsidSect="0025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E"/>
    <w:rsid w:val="00253F5E"/>
    <w:rsid w:val="008D1D9F"/>
    <w:rsid w:val="00D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4A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10E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Macintosh Word</Application>
  <DocSecurity>0</DocSecurity>
  <Lines>11</Lines>
  <Paragraphs>3</Paragraphs>
  <ScaleCrop>false</ScaleCrop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Stidham</dc:creator>
  <cp:keywords/>
  <dc:description/>
  <cp:lastModifiedBy>Ryan Stidham</cp:lastModifiedBy>
  <cp:revision>1</cp:revision>
  <dcterms:created xsi:type="dcterms:W3CDTF">2018-04-11T14:11:00Z</dcterms:created>
  <dcterms:modified xsi:type="dcterms:W3CDTF">2018-04-11T14:11:00Z</dcterms:modified>
</cp:coreProperties>
</file>