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E8E" w:rsidRDefault="00F56E8E" w:rsidP="00F56E8E">
      <w:pPr>
        <w:spacing w:line="480" w:lineRule="auto"/>
        <w:rPr>
          <w:rFonts w:ascii="Arial" w:hAnsi="Arial" w:cs="Arial"/>
          <w:b/>
          <w:color w:val="000000" w:themeColor="text1"/>
        </w:rPr>
      </w:pPr>
      <w:r>
        <w:rPr>
          <w:rFonts w:ascii="Arial" w:hAnsi="Arial" w:cs="Arial"/>
          <w:b/>
          <w:color w:val="000000" w:themeColor="text1"/>
        </w:rPr>
        <w:t>Supplemental Document</w:t>
      </w:r>
    </w:p>
    <w:p w:rsidR="00F56E8E" w:rsidRPr="00F96EC2" w:rsidRDefault="00F56E8E" w:rsidP="00F56E8E">
      <w:pPr>
        <w:spacing w:line="480" w:lineRule="auto"/>
        <w:rPr>
          <w:rFonts w:ascii="Arial" w:hAnsi="Arial" w:cs="Arial"/>
          <w:b/>
          <w:color w:val="000000" w:themeColor="text1"/>
        </w:rPr>
      </w:pPr>
      <w:bookmarkStart w:id="0" w:name="_GoBack"/>
      <w:bookmarkEnd w:id="0"/>
      <w:r>
        <w:rPr>
          <w:rFonts w:ascii="Arial" w:hAnsi="Arial" w:cs="Arial"/>
          <w:b/>
          <w:color w:val="000000" w:themeColor="text1"/>
        </w:rPr>
        <w:t>Bibliography</w:t>
      </w:r>
    </w:p>
    <w:p w:rsidR="00F56E8E" w:rsidRPr="00F96EC2" w:rsidRDefault="00F56E8E" w:rsidP="00F56E8E">
      <w:pPr>
        <w:pStyle w:val="EndNoteBibliography"/>
        <w:spacing w:after="0" w:line="480" w:lineRule="auto"/>
        <w:rPr>
          <w:rFonts w:ascii="Arial" w:hAnsi="Arial" w:cs="Arial"/>
        </w:rPr>
      </w:pPr>
      <w:r w:rsidRPr="00F96EC2">
        <w:rPr>
          <w:rFonts w:ascii="Arial" w:hAnsi="Arial" w:cs="Arial"/>
          <w:color w:val="000000" w:themeColor="text1"/>
        </w:rPr>
        <w:fldChar w:fldCharType="begin"/>
      </w:r>
      <w:r w:rsidRPr="00F96EC2">
        <w:rPr>
          <w:rFonts w:ascii="Arial" w:hAnsi="Arial" w:cs="Arial"/>
          <w:color w:val="000000" w:themeColor="text1"/>
        </w:rPr>
        <w:instrText xml:space="preserve"> ADDIN EN.REFLIST </w:instrText>
      </w:r>
      <w:r w:rsidRPr="00F96EC2">
        <w:rPr>
          <w:rFonts w:ascii="Arial" w:hAnsi="Arial" w:cs="Arial"/>
          <w:color w:val="000000" w:themeColor="text1"/>
        </w:rPr>
        <w:fldChar w:fldCharType="separate"/>
      </w:r>
      <w:r w:rsidRPr="00F96EC2">
        <w:rPr>
          <w:rFonts w:ascii="Arial" w:hAnsi="Arial" w:cs="Arial"/>
        </w:rPr>
        <w:t>1.</w:t>
      </w:r>
      <w:r w:rsidRPr="00F96EC2">
        <w:rPr>
          <w:rFonts w:ascii="Arial" w:hAnsi="Arial" w:cs="Arial"/>
        </w:rPr>
        <w:tab/>
        <w:t>Bonavina L, Saino G, Bona D, Sironi A, Lazzari V. One hundred consecutive patients treated with magnetic sphincter augmentation for gastroesophageal reflux disease: 6 years of clinical experience from a single center. J Am Coll Surg 2013;217:577-85.</w:t>
      </w:r>
    </w:p>
    <w:p w:rsidR="00F56E8E" w:rsidRPr="00F96EC2" w:rsidRDefault="00F56E8E" w:rsidP="00F56E8E">
      <w:pPr>
        <w:pStyle w:val="EndNoteBibliography"/>
        <w:spacing w:after="0" w:line="480" w:lineRule="auto"/>
        <w:rPr>
          <w:rFonts w:ascii="Arial" w:hAnsi="Arial" w:cs="Arial"/>
        </w:rPr>
      </w:pPr>
      <w:r w:rsidRPr="00F96EC2">
        <w:rPr>
          <w:rFonts w:ascii="Arial" w:hAnsi="Arial" w:cs="Arial"/>
        </w:rPr>
        <w:t>2.</w:t>
      </w:r>
      <w:r w:rsidRPr="00F96EC2">
        <w:rPr>
          <w:rFonts w:ascii="Arial" w:hAnsi="Arial" w:cs="Arial"/>
        </w:rPr>
        <w:tab/>
        <w:t>Schwameis K, Schwameis M, Zorner B, et al. Modern GERD treatment: feasibility of minimally invasive esophageal sphincter augmentation. Anticancer Res 2014;34:2341-8.</w:t>
      </w:r>
    </w:p>
    <w:p w:rsidR="00F56E8E" w:rsidRPr="00F96EC2" w:rsidRDefault="00F56E8E" w:rsidP="00F56E8E">
      <w:pPr>
        <w:pStyle w:val="EndNoteBibliography"/>
        <w:spacing w:after="0" w:line="480" w:lineRule="auto"/>
        <w:rPr>
          <w:rFonts w:ascii="Arial" w:hAnsi="Arial" w:cs="Arial"/>
        </w:rPr>
      </w:pPr>
      <w:r w:rsidRPr="00F96EC2">
        <w:rPr>
          <w:rFonts w:ascii="Arial" w:hAnsi="Arial" w:cs="Arial"/>
        </w:rPr>
        <w:t>3.</w:t>
      </w:r>
      <w:r w:rsidRPr="00F96EC2">
        <w:rPr>
          <w:rFonts w:ascii="Arial" w:hAnsi="Arial" w:cs="Arial"/>
        </w:rPr>
        <w:tab/>
        <w:t>Smith CD, DeVault KR, Buchanan M. Introduction of mechanical sphincter augmentation for gastroesophageal reflux disease into practice: early clinical outcomes and keys to successful adoption. J Am Coll Surg 2014;218:776-81.</w:t>
      </w:r>
    </w:p>
    <w:p w:rsidR="00F56E8E" w:rsidRPr="00F96EC2" w:rsidRDefault="00F56E8E" w:rsidP="00F56E8E">
      <w:pPr>
        <w:pStyle w:val="EndNoteBibliography"/>
        <w:spacing w:after="0" w:line="480" w:lineRule="auto"/>
        <w:rPr>
          <w:rFonts w:ascii="Arial" w:hAnsi="Arial" w:cs="Arial"/>
        </w:rPr>
      </w:pPr>
      <w:r w:rsidRPr="00F96EC2">
        <w:rPr>
          <w:rFonts w:ascii="Arial" w:hAnsi="Arial" w:cs="Arial"/>
        </w:rPr>
        <w:t>4.</w:t>
      </w:r>
      <w:r w:rsidRPr="00F96EC2">
        <w:rPr>
          <w:rFonts w:ascii="Arial" w:hAnsi="Arial" w:cs="Arial"/>
        </w:rPr>
        <w:tab/>
        <w:t>Ganz RA, Edmundowicz SA, Taiganides PA, et al. Long-Term Outcomes of Patients Receiving a Magnetic Sphincter Augmentation Device for Gastroesophageal Reflux. Clin Gastroenterol Hepatol 2015.</w:t>
      </w:r>
    </w:p>
    <w:p w:rsidR="00F56E8E" w:rsidRPr="00F96EC2" w:rsidRDefault="00F56E8E" w:rsidP="00F56E8E">
      <w:pPr>
        <w:pStyle w:val="EndNoteBibliography"/>
        <w:spacing w:after="0" w:line="480" w:lineRule="auto"/>
        <w:rPr>
          <w:rFonts w:ascii="Arial" w:hAnsi="Arial" w:cs="Arial"/>
        </w:rPr>
      </w:pPr>
      <w:r w:rsidRPr="00F96EC2">
        <w:rPr>
          <w:rFonts w:ascii="Arial" w:hAnsi="Arial" w:cs="Arial"/>
        </w:rPr>
        <w:t>5.</w:t>
      </w:r>
      <w:r w:rsidRPr="00F96EC2">
        <w:rPr>
          <w:rFonts w:ascii="Arial" w:hAnsi="Arial" w:cs="Arial"/>
        </w:rPr>
        <w:tab/>
        <w:t>Saino G, Bonavina L, Lipham JC, Dunn D, Ganz RA. Magnetic Sphincter Augmentation for Gastroesophageal Reflux at 5 Years: Final Results of a Pilot Study Show Long-Term Acid Reduction and Symptom Improvement. J Laparoendosc Adv Surg Tech A 2015;25:787-92.</w:t>
      </w:r>
    </w:p>
    <w:p w:rsidR="00F56E8E" w:rsidRPr="00F96EC2" w:rsidRDefault="00F56E8E" w:rsidP="00F56E8E">
      <w:pPr>
        <w:pStyle w:val="EndNoteBibliography"/>
        <w:spacing w:after="0" w:line="480" w:lineRule="auto"/>
        <w:rPr>
          <w:rFonts w:ascii="Arial" w:hAnsi="Arial" w:cs="Arial"/>
        </w:rPr>
      </w:pPr>
      <w:r w:rsidRPr="00F96EC2">
        <w:rPr>
          <w:rFonts w:ascii="Arial" w:hAnsi="Arial" w:cs="Arial"/>
        </w:rPr>
        <w:t>6.</w:t>
      </w:r>
      <w:r w:rsidRPr="00F96EC2">
        <w:rPr>
          <w:rFonts w:ascii="Arial" w:hAnsi="Arial" w:cs="Arial"/>
        </w:rPr>
        <w:tab/>
        <w:t>Czosnyka NM, Buckley FP, Doggett SL, et al. Outcomes of magnetic sphincter augmentation - A community hospital perspective. Am J Surg 2016.</w:t>
      </w:r>
    </w:p>
    <w:p w:rsidR="00F56E8E" w:rsidRPr="00F96EC2" w:rsidRDefault="00F56E8E" w:rsidP="00F56E8E">
      <w:pPr>
        <w:pStyle w:val="EndNoteBibliography"/>
        <w:spacing w:after="0" w:line="480" w:lineRule="auto"/>
        <w:rPr>
          <w:rFonts w:ascii="Arial" w:hAnsi="Arial" w:cs="Arial"/>
        </w:rPr>
      </w:pPr>
      <w:r w:rsidRPr="00F96EC2">
        <w:rPr>
          <w:rFonts w:ascii="Arial" w:hAnsi="Arial" w:cs="Arial"/>
        </w:rPr>
        <w:t>7.</w:t>
      </w:r>
      <w:r w:rsidRPr="00F96EC2">
        <w:rPr>
          <w:rFonts w:ascii="Arial" w:hAnsi="Arial" w:cs="Arial"/>
        </w:rPr>
        <w:tab/>
        <w:t>Rona KA, Reynolds J, Schwameis K, et al. Efficacy of magnetic sphincter augmentation in patients with large hiatal hernias. Surg Endosc 2016.</w:t>
      </w:r>
    </w:p>
    <w:p w:rsidR="00F56E8E" w:rsidRPr="00F96EC2" w:rsidRDefault="00F56E8E" w:rsidP="00F56E8E">
      <w:pPr>
        <w:pStyle w:val="EndNoteBibliography"/>
        <w:spacing w:after="0" w:line="480" w:lineRule="auto"/>
        <w:rPr>
          <w:rFonts w:ascii="Arial" w:hAnsi="Arial" w:cs="Arial"/>
        </w:rPr>
      </w:pPr>
      <w:r w:rsidRPr="00F96EC2">
        <w:rPr>
          <w:rFonts w:ascii="Arial" w:hAnsi="Arial" w:cs="Arial"/>
        </w:rPr>
        <w:t>8.</w:t>
      </w:r>
      <w:r w:rsidRPr="00F96EC2">
        <w:rPr>
          <w:rFonts w:ascii="Arial" w:hAnsi="Arial" w:cs="Arial"/>
        </w:rPr>
        <w:tab/>
        <w:t>Skubleny D, Switzer NJ, Dang J, et al. LINX(R) magnetic esophageal sphincter augmentation versus Nissen fundoplication for gastroesophageal reflux disease: a systematic review and meta-analysis. Surg Endosc 2016.</w:t>
      </w:r>
    </w:p>
    <w:p w:rsidR="00F56E8E" w:rsidRPr="00F96EC2" w:rsidRDefault="00F56E8E" w:rsidP="00F56E8E">
      <w:pPr>
        <w:pStyle w:val="EndNoteBibliography"/>
        <w:spacing w:after="0" w:line="480" w:lineRule="auto"/>
        <w:rPr>
          <w:rFonts w:ascii="Arial" w:hAnsi="Arial" w:cs="Arial"/>
        </w:rPr>
      </w:pPr>
      <w:r w:rsidRPr="00F96EC2">
        <w:rPr>
          <w:rFonts w:ascii="Arial" w:hAnsi="Arial" w:cs="Arial"/>
        </w:rPr>
        <w:lastRenderedPageBreak/>
        <w:t>9.</w:t>
      </w:r>
      <w:r w:rsidRPr="00F96EC2">
        <w:rPr>
          <w:rFonts w:ascii="Arial" w:hAnsi="Arial" w:cs="Arial"/>
        </w:rPr>
        <w:tab/>
        <w:t>Riegler M, Schoppman SF, Bonavina L, Ashton D, Horbach T, Kemen M. Magnetic sphincter augmentation and fundoplication for GERD in clinical practice: one-year results of a multicenter, prospective observational study. Surg Endosc 2015;29:1123-9.</w:t>
      </w:r>
    </w:p>
    <w:p w:rsidR="00F56E8E" w:rsidRPr="00F96EC2" w:rsidRDefault="00F56E8E" w:rsidP="00F56E8E">
      <w:pPr>
        <w:pStyle w:val="EndNoteBibliography"/>
        <w:spacing w:after="0" w:line="480" w:lineRule="auto"/>
        <w:rPr>
          <w:rFonts w:ascii="Arial" w:hAnsi="Arial" w:cs="Arial"/>
        </w:rPr>
      </w:pPr>
      <w:r w:rsidRPr="00F96EC2">
        <w:rPr>
          <w:rFonts w:ascii="Arial" w:hAnsi="Arial" w:cs="Arial"/>
        </w:rPr>
        <w:t>10.</w:t>
      </w:r>
      <w:r w:rsidRPr="00F96EC2">
        <w:rPr>
          <w:rFonts w:ascii="Arial" w:hAnsi="Arial" w:cs="Arial"/>
        </w:rPr>
        <w:tab/>
        <w:t>Warren HF, Reynolds JL, Lipham JC, et al. Multi-institutional outcomes using magnetic sphincter augmentation versus Nissen fundoplication for chronic gastroesophageal reflux disease. Surg Endosc 2016;30:3289-96.</w:t>
      </w:r>
    </w:p>
    <w:p w:rsidR="00F56E8E" w:rsidRPr="00F96EC2" w:rsidRDefault="00F56E8E" w:rsidP="00F56E8E">
      <w:pPr>
        <w:pStyle w:val="EndNoteBibliography"/>
        <w:spacing w:after="0" w:line="480" w:lineRule="auto"/>
        <w:rPr>
          <w:rFonts w:ascii="Arial" w:hAnsi="Arial" w:cs="Arial"/>
        </w:rPr>
      </w:pPr>
      <w:r w:rsidRPr="00F96EC2">
        <w:rPr>
          <w:rFonts w:ascii="Arial" w:hAnsi="Arial" w:cs="Arial"/>
        </w:rPr>
        <w:t>11.</w:t>
      </w:r>
      <w:r w:rsidRPr="00F96EC2">
        <w:rPr>
          <w:rFonts w:ascii="Arial" w:hAnsi="Arial" w:cs="Arial"/>
        </w:rPr>
        <w:tab/>
        <w:t>Huang X, Chen S, Zhao H, et al. Efficacy of transoral incisionless fundoplication (TIF) for the treatment of GERD: a systematic review with meta-analysis. Surg Endosc 2017;31:1032-44.</w:t>
      </w:r>
    </w:p>
    <w:p w:rsidR="00F56E8E" w:rsidRPr="00F96EC2" w:rsidRDefault="00F56E8E" w:rsidP="00F56E8E">
      <w:pPr>
        <w:pStyle w:val="EndNoteBibliography"/>
        <w:spacing w:after="0" w:line="480" w:lineRule="auto"/>
        <w:rPr>
          <w:rFonts w:ascii="Arial" w:hAnsi="Arial" w:cs="Arial"/>
        </w:rPr>
      </w:pPr>
      <w:r w:rsidRPr="00F96EC2">
        <w:rPr>
          <w:rFonts w:ascii="Arial" w:hAnsi="Arial" w:cs="Arial"/>
        </w:rPr>
        <w:t>12.</w:t>
      </w:r>
      <w:r w:rsidRPr="00F96EC2">
        <w:rPr>
          <w:rFonts w:ascii="Arial" w:hAnsi="Arial" w:cs="Arial"/>
        </w:rPr>
        <w:tab/>
        <w:t>Testoni PA, Testoni S, Mazzoleni G, Vailati C, Passaretti S. Long-term efficacy of transoral incisionless fundoplication with Esophyx (Tif 2.0) and factors affecting outcomes in GERD patients followed for up to 6 years: a prospective single-center study. Surg Endosc 2015;29:2770-80.</w:t>
      </w:r>
    </w:p>
    <w:p w:rsidR="00F56E8E" w:rsidRPr="00F96EC2" w:rsidRDefault="00F56E8E" w:rsidP="00F56E8E">
      <w:pPr>
        <w:pStyle w:val="EndNoteBibliography"/>
        <w:spacing w:after="0" w:line="480" w:lineRule="auto"/>
        <w:rPr>
          <w:rFonts w:ascii="Arial" w:hAnsi="Arial" w:cs="Arial"/>
        </w:rPr>
      </w:pPr>
      <w:r w:rsidRPr="00F96EC2">
        <w:rPr>
          <w:rFonts w:ascii="Arial" w:hAnsi="Arial" w:cs="Arial"/>
        </w:rPr>
        <w:t>13.</w:t>
      </w:r>
      <w:r w:rsidRPr="00F96EC2">
        <w:rPr>
          <w:rFonts w:ascii="Arial" w:hAnsi="Arial" w:cs="Arial"/>
        </w:rPr>
        <w:tab/>
        <w:t>Witteman BP, Conchillo JM, Rinsma NF, et al. Randomized controlled trial of transoral incisionless fundoplication vs. proton pump inhibitors for treatment of gastroesophageal reflux disease. Am J Gastroenterol 2015;110:531-42.</w:t>
      </w:r>
    </w:p>
    <w:p w:rsidR="00F56E8E" w:rsidRPr="00F96EC2" w:rsidRDefault="00F56E8E" w:rsidP="00F56E8E">
      <w:pPr>
        <w:pStyle w:val="EndNoteBibliography"/>
        <w:spacing w:after="0" w:line="480" w:lineRule="auto"/>
        <w:rPr>
          <w:rFonts w:ascii="Arial" w:hAnsi="Arial" w:cs="Arial"/>
        </w:rPr>
      </w:pPr>
      <w:r w:rsidRPr="00F96EC2">
        <w:rPr>
          <w:rFonts w:ascii="Arial" w:hAnsi="Arial" w:cs="Arial"/>
        </w:rPr>
        <w:t>14.</w:t>
      </w:r>
      <w:r w:rsidRPr="00F96EC2">
        <w:rPr>
          <w:rFonts w:ascii="Arial" w:hAnsi="Arial" w:cs="Arial"/>
        </w:rPr>
        <w:tab/>
        <w:t>Hakansson B, Montgomery M, Cadiere GB, et al. Randomised clinical trial: transoral incisionless fundoplication vs. sham intervention to control chronic GERD. Aliment Pharmacol Ther 2015;42:1261-70.</w:t>
      </w:r>
    </w:p>
    <w:p w:rsidR="00F56E8E" w:rsidRPr="00F96EC2" w:rsidRDefault="00F56E8E" w:rsidP="00F56E8E">
      <w:pPr>
        <w:pStyle w:val="EndNoteBibliography"/>
        <w:spacing w:after="0" w:line="480" w:lineRule="auto"/>
        <w:rPr>
          <w:rFonts w:ascii="Arial" w:hAnsi="Arial" w:cs="Arial"/>
        </w:rPr>
      </w:pPr>
      <w:r w:rsidRPr="00F96EC2">
        <w:rPr>
          <w:rFonts w:ascii="Arial" w:hAnsi="Arial" w:cs="Arial"/>
        </w:rPr>
        <w:t>15.</w:t>
      </w:r>
      <w:r w:rsidRPr="00F96EC2">
        <w:rPr>
          <w:rFonts w:ascii="Arial" w:hAnsi="Arial" w:cs="Arial"/>
        </w:rPr>
        <w:tab/>
        <w:t>Trad KS, Barnes WE, Simoni G, et al. Transoral incisionless fundoplication effective in eliminating GERD symptoms in partial responders to proton pump inhibitor therapy at 6 months: the TEMPO Randomized Clinical Trial. Surg Innov 2015;22:26-40.</w:t>
      </w:r>
    </w:p>
    <w:p w:rsidR="00F56E8E" w:rsidRPr="00F96EC2" w:rsidRDefault="00F56E8E" w:rsidP="00F56E8E">
      <w:pPr>
        <w:pStyle w:val="EndNoteBibliography"/>
        <w:spacing w:after="0" w:line="480" w:lineRule="auto"/>
        <w:rPr>
          <w:rFonts w:ascii="Arial" w:hAnsi="Arial" w:cs="Arial"/>
        </w:rPr>
      </w:pPr>
      <w:r w:rsidRPr="00F96EC2">
        <w:rPr>
          <w:rFonts w:ascii="Arial" w:hAnsi="Arial" w:cs="Arial"/>
        </w:rPr>
        <w:t>16.</w:t>
      </w:r>
      <w:r w:rsidRPr="00F96EC2">
        <w:rPr>
          <w:rFonts w:ascii="Arial" w:hAnsi="Arial" w:cs="Arial"/>
        </w:rPr>
        <w:tab/>
        <w:t>Hunter JG, Kahrilas PJ, Bell RC, et al. Efficacy of transoral fundoplication vs omeprazole for treatment of regurgitation in a randomized controlled trial. Gastroenterology 2015;148:324-33.e5.</w:t>
      </w:r>
    </w:p>
    <w:p w:rsidR="00F56E8E" w:rsidRPr="00F96EC2" w:rsidRDefault="00F56E8E" w:rsidP="00F56E8E">
      <w:pPr>
        <w:pStyle w:val="EndNoteBibliography"/>
        <w:spacing w:after="0" w:line="480" w:lineRule="auto"/>
        <w:rPr>
          <w:rFonts w:ascii="Arial" w:hAnsi="Arial" w:cs="Arial"/>
        </w:rPr>
      </w:pPr>
      <w:r w:rsidRPr="00F96EC2">
        <w:rPr>
          <w:rFonts w:ascii="Arial" w:hAnsi="Arial" w:cs="Arial"/>
        </w:rPr>
        <w:lastRenderedPageBreak/>
        <w:t>17.</w:t>
      </w:r>
      <w:r w:rsidRPr="00F96EC2">
        <w:rPr>
          <w:rFonts w:ascii="Arial" w:hAnsi="Arial" w:cs="Arial"/>
        </w:rPr>
        <w:tab/>
        <w:t>Barnes WE, Hoddinott KM, Mundy S, Williams M. Transoral incisionless fundoplication offers high patient satisfaction and relief of therapy-resistant typical and atypical symptoms of GERD in community practice. Surg Innov 2011;18:119-29.</w:t>
      </w:r>
    </w:p>
    <w:p w:rsidR="00F56E8E" w:rsidRPr="00F96EC2" w:rsidRDefault="00F56E8E" w:rsidP="00F56E8E">
      <w:pPr>
        <w:pStyle w:val="EndNoteBibliography"/>
        <w:spacing w:after="0" w:line="480" w:lineRule="auto"/>
        <w:rPr>
          <w:rFonts w:ascii="Arial" w:hAnsi="Arial" w:cs="Arial"/>
        </w:rPr>
      </w:pPr>
      <w:r w:rsidRPr="00F96EC2">
        <w:rPr>
          <w:rFonts w:ascii="Arial" w:hAnsi="Arial" w:cs="Arial"/>
        </w:rPr>
        <w:t>18.</w:t>
      </w:r>
      <w:r w:rsidRPr="00F96EC2">
        <w:rPr>
          <w:rFonts w:ascii="Arial" w:hAnsi="Arial" w:cs="Arial"/>
        </w:rPr>
        <w:tab/>
        <w:t>Ihde GM, Besancon K, Deljkich E. Short-term safety and symptomatic outcomes of transoral incisionless fundoplication with or without hiatal hernia repair in patients with chronic gastroesophageal reflux disease. Am J Surg 2011;202:740-6; discussion 6.</w:t>
      </w:r>
    </w:p>
    <w:p w:rsidR="00F56E8E" w:rsidRPr="00F96EC2" w:rsidRDefault="00F56E8E" w:rsidP="00F56E8E">
      <w:pPr>
        <w:pStyle w:val="EndNoteBibliography"/>
        <w:spacing w:after="0" w:line="480" w:lineRule="auto"/>
        <w:rPr>
          <w:rFonts w:ascii="Arial" w:hAnsi="Arial" w:cs="Arial"/>
        </w:rPr>
      </w:pPr>
      <w:r w:rsidRPr="00F96EC2">
        <w:rPr>
          <w:rFonts w:ascii="Arial" w:hAnsi="Arial" w:cs="Arial"/>
        </w:rPr>
        <w:t>19.</w:t>
      </w:r>
      <w:r w:rsidRPr="00F96EC2">
        <w:rPr>
          <w:rFonts w:ascii="Arial" w:hAnsi="Arial" w:cs="Arial"/>
        </w:rPr>
        <w:tab/>
        <w:t>Petersen RP, Filippa L, Wassenaar EB, Martin AV, Tatum R, Oelschlager BK. Comprehensive evaluation of endoscopic fundoplication using the EsophyX device. Surg Endosc 2012;26:1021-7.</w:t>
      </w:r>
    </w:p>
    <w:p w:rsidR="00F56E8E" w:rsidRPr="00F96EC2" w:rsidRDefault="00F56E8E" w:rsidP="00F56E8E">
      <w:pPr>
        <w:pStyle w:val="EndNoteBibliography"/>
        <w:spacing w:after="0" w:line="480" w:lineRule="auto"/>
        <w:rPr>
          <w:rFonts w:ascii="Arial" w:hAnsi="Arial" w:cs="Arial"/>
        </w:rPr>
      </w:pPr>
      <w:r w:rsidRPr="00F96EC2">
        <w:rPr>
          <w:rFonts w:ascii="Arial" w:hAnsi="Arial" w:cs="Arial"/>
        </w:rPr>
        <w:t>20.</w:t>
      </w:r>
      <w:r w:rsidRPr="00F96EC2">
        <w:rPr>
          <w:rFonts w:ascii="Arial" w:hAnsi="Arial" w:cs="Arial"/>
        </w:rPr>
        <w:tab/>
        <w:t>Trad KS, Turgeon DG, Deljkich E. Long-term outcomes after transoral incisionless fundoplication in patients with GERD and LPR symptoms. Surg Endosc 2012;26:650-60.</w:t>
      </w:r>
    </w:p>
    <w:p w:rsidR="00F56E8E" w:rsidRPr="00F96EC2" w:rsidRDefault="00F56E8E" w:rsidP="00F56E8E">
      <w:pPr>
        <w:pStyle w:val="EndNoteBibliography"/>
        <w:spacing w:after="0" w:line="480" w:lineRule="auto"/>
        <w:rPr>
          <w:rFonts w:ascii="Arial" w:hAnsi="Arial" w:cs="Arial"/>
        </w:rPr>
      </w:pPr>
      <w:r w:rsidRPr="00F96EC2">
        <w:rPr>
          <w:rFonts w:ascii="Arial" w:hAnsi="Arial" w:cs="Arial"/>
        </w:rPr>
        <w:t>21.</w:t>
      </w:r>
      <w:r w:rsidRPr="00F96EC2">
        <w:rPr>
          <w:rFonts w:ascii="Arial" w:hAnsi="Arial" w:cs="Arial"/>
        </w:rPr>
        <w:tab/>
        <w:t>Bell RC, Fox MA, Barnes WE, et al. Univariate and multivariate analyses of preoperative factors influencing symptomatic outcomes of transoral fundoplication. Surg Endosc 2014;28:2949-58.</w:t>
      </w:r>
    </w:p>
    <w:p w:rsidR="00F56E8E" w:rsidRPr="00F96EC2" w:rsidRDefault="00F56E8E" w:rsidP="00F56E8E">
      <w:pPr>
        <w:pStyle w:val="EndNoteBibliography"/>
        <w:spacing w:after="0" w:line="480" w:lineRule="auto"/>
        <w:rPr>
          <w:rFonts w:ascii="Arial" w:hAnsi="Arial" w:cs="Arial"/>
        </w:rPr>
      </w:pPr>
      <w:r w:rsidRPr="00F96EC2">
        <w:rPr>
          <w:rFonts w:ascii="Arial" w:hAnsi="Arial" w:cs="Arial"/>
        </w:rPr>
        <w:t>22.</w:t>
      </w:r>
      <w:r w:rsidRPr="00F96EC2">
        <w:rPr>
          <w:rFonts w:ascii="Arial" w:hAnsi="Arial" w:cs="Arial"/>
        </w:rPr>
        <w:tab/>
        <w:t>Frazzoni M, Conigliaro R, Manta R, Melotti G. Reflux parameters as modified by EsophyX or laparoscopic fundoplication in refractory GERD. Aliment Pharmacol Ther 2011;34:67-75.</w:t>
      </w:r>
    </w:p>
    <w:p w:rsidR="00F56E8E" w:rsidRPr="00F96EC2" w:rsidRDefault="00F56E8E" w:rsidP="00F56E8E">
      <w:pPr>
        <w:pStyle w:val="EndNoteBibliography"/>
        <w:spacing w:after="0" w:line="480" w:lineRule="auto"/>
        <w:rPr>
          <w:rFonts w:ascii="Arial" w:hAnsi="Arial" w:cs="Arial"/>
        </w:rPr>
      </w:pPr>
      <w:r w:rsidRPr="00F96EC2">
        <w:rPr>
          <w:rFonts w:ascii="Arial" w:hAnsi="Arial" w:cs="Arial"/>
        </w:rPr>
        <w:t>23.</w:t>
      </w:r>
      <w:r w:rsidRPr="00F96EC2">
        <w:rPr>
          <w:rFonts w:ascii="Arial" w:hAnsi="Arial" w:cs="Arial"/>
        </w:rPr>
        <w:tab/>
        <w:t>Fass R, Cahn F, Scotti DJ, Gregory DA. Systematic review and meta-analysis of controlled and prospective cohort efficacy studies of endoscopic radiofrequency for treatment of gastroesophageal reflux disease. Surg Endosc 2017.</w:t>
      </w:r>
    </w:p>
    <w:p w:rsidR="00F56E8E" w:rsidRPr="00F96EC2" w:rsidRDefault="00F56E8E" w:rsidP="00F56E8E">
      <w:pPr>
        <w:pStyle w:val="EndNoteBibliography"/>
        <w:spacing w:after="0" w:line="480" w:lineRule="auto"/>
        <w:rPr>
          <w:rFonts w:ascii="Arial" w:hAnsi="Arial" w:cs="Arial"/>
        </w:rPr>
      </w:pPr>
      <w:r w:rsidRPr="00F96EC2">
        <w:rPr>
          <w:rFonts w:ascii="Arial" w:hAnsi="Arial" w:cs="Arial"/>
        </w:rPr>
        <w:t>24.</w:t>
      </w:r>
      <w:r w:rsidRPr="00F96EC2">
        <w:rPr>
          <w:rFonts w:ascii="Arial" w:hAnsi="Arial" w:cs="Arial"/>
        </w:rPr>
        <w:tab/>
        <w:t>Arts J, Sifrim D, Rutgeerts P, Lerut A, Janssens J, Tack J. Influence of radiofrequency energy delivery at the gastroesophageal junction (the Stretta procedure) on symptoms, acid exposure, and esophageal sensitivity to acid perfusion in gastroesophagal reflux disease. Dig Dis Sci 2007;52:2170-7.</w:t>
      </w:r>
    </w:p>
    <w:p w:rsidR="00F56E8E" w:rsidRPr="00F96EC2" w:rsidRDefault="00F56E8E" w:rsidP="00F56E8E">
      <w:pPr>
        <w:pStyle w:val="EndNoteBibliography"/>
        <w:spacing w:after="0" w:line="480" w:lineRule="auto"/>
        <w:rPr>
          <w:rFonts w:ascii="Arial" w:hAnsi="Arial" w:cs="Arial"/>
        </w:rPr>
      </w:pPr>
      <w:r w:rsidRPr="00F96EC2">
        <w:rPr>
          <w:rFonts w:ascii="Arial" w:hAnsi="Arial" w:cs="Arial"/>
        </w:rPr>
        <w:lastRenderedPageBreak/>
        <w:t>25.</w:t>
      </w:r>
      <w:r w:rsidRPr="00F96EC2">
        <w:rPr>
          <w:rFonts w:ascii="Arial" w:hAnsi="Arial" w:cs="Arial"/>
        </w:rPr>
        <w:tab/>
        <w:t>Liang WT, Wang ZG, Wang F, et al. Long-term outcomes of patients with refractory gastroesophageal reflux disease following a minimally invasive endoscopic procedure: A prospective observational study. BMC Gastroenterol 2015:1-7.</w:t>
      </w:r>
    </w:p>
    <w:p w:rsidR="00F56E8E" w:rsidRPr="00F96EC2" w:rsidRDefault="00F56E8E" w:rsidP="00F56E8E">
      <w:pPr>
        <w:pStyle w:val="EndNoteBibliography"/>
        <w:spacing w:after="0" w:line="480" w:lineRule="auto"/>
        <w:rPr>
          <w:rFonts w:ascii="Arial" w:hAnsi="Arial" w:cs="Arial"/>
        </w:rPr>
      </w:pPr>
      <w:r w:rsidRPr="00F96EC2">
        <w:rPr>
          <w:rFonts w:ascii="Arial" w:hAnsi="Arial" w:cs="Arial"/>
        </w:rPr>
        <w:t>26.</w:t>
      </w:r>
      <w:r w:rsidRPr="00F96EC2">
        <w:rPr>
          <w:rFonts w:ascii="Arial" w:hAnsi="Arial" w:cs="Arial"/>
        </w:rPr>
        <w:tab/>
        <w:t>Liu HF, Zhang JG, Li J, Chen XG, Wang WA. Improvement of clinical parameters in patients with gastroesophageal reflux disease after radiofrequency energy delivery. World J Gastroenterol 2011;17:4429-33.</w:t>
      </w:r>
    </w:p>
    <w:p w:rsidR="00F56E8E" w:rsidRPr="00F96EC2" w:rsidRDefault="00F56E8E" w:rsidP="00F56E8E">
      <w:pPr>
        <w:pStyle w:val="EndNoteBibliography"/>
        <w:spacing w:after="0" w:line="480" w:lineRule="auto"/>
        <w:rPr>
          <w:rFonts w:ascii="Arial" w:hAnsi="Arial" w:cs="Arial"/>
        </w:rPr>
      </w:pPr>
      <w:r w:rsidRPr="00F96EC2">
        <w:rPr>
          <w:rFonts w:ascii="Arial" w:hAnsi="Arial" w:cs="Arial"/>
        </w:rPr>
        <w:t>27.</w:t>
      </w:r>
      <w:r w:rsidRPr="00F96EC2">
        <w:rPr>
          <w:rFonts w:ascii="Arial" w:hAnsi="Arial" w:cs="Arial"/>
        </w:rPr>
        <w:tab/>
        <w:t>Mavrelis P, Abdel Aziz AM, Rearick C, Richards L, McNulty G, Lehman GA. Longer term clinical outcomes after radiofrequency therapy for refractory gastroesophageal reflux disease (GERD). Practical Gastroenterol 2007;31:73-80.</w:t>
      </w:r>
    </w:p>
    <w:p w:rsidR="00F56E8E" w:rsidRPr="00F96EC2" w:rsidRDefault="00F56E8E" w:rsidP="00F56E8E">
      <w:pPr>
        <w:pStyle w:val="EndNoteBibliography"/>
        <w:spacing w:after="0" w:line="480" w:lineRule="auto"/>
        <w:rPr>
          <w:rFonts w:ascii="Arial" w:hAnsi="Arial" w:cs="Arial"/>
        </w:rPr>
      </w:pPr>
      <w:r w:rsidRPr="00F96EC2">
        <w:rPr>
          <w:rFonts w:ascii="Arial" w:hAnsi="Arial" w:cs="Arial"/>
        </w:rPr>
        <w:t>28.</w:t>
      </w:r>
      <w:r w:rsidRPr="00F96EC2">
        <w:rPr>
          <w:rFonts w:ascii="Arial" w:hAnsi="Arial" w:cs="Arial"/>
        </w:rPr>
        <w:tab/>
        <w:t>Noar M, Squires P, Noar E, Lee M. Long-term maintenance effect of radiofrequency energy delivery for refractory GERD: a decade later. Surg Endosc 2014;28:2323-33.</w:t>
      </w:r>
    </w:p>
    <w:p w:rsidR="00F56E8E" w:rsidRPr="00F96EC2" w:rsidRDefault="00F56E8E" w:rsidP="00F56E8E">
      <w:pPr>
        <w:pStyle w:val="EndNoteBibliography"/>
        <w:spacing w:line="480" w:lineRule="auto"/>
        <w:rPr>
          <w:rFonts w:ascii="Arial" w:hAnsi="Arial" w:cs="Arial"/>
        </w:rPr>
      </w:pPr>
      <w:r w:rsidRPr="00F96EC2">
        <w:rPr>
          <w:rFonts w:ascii="Arial" w:hAnsi="Arial" w:cs="Arial"/>
        </w:rPr>
        <w:t>29.</w:t>
      </w:r>
      <w:r w:rsidRPr="00F96EC2">
        <w:rPr>
          <w:rFonts w:ascii="Arial" w:hAnsi="Arial" w:cs="Arial"/>
        </w:rPr>
        <w:tab/>
        <w:t>Reymunde A, Santiago N. Long-term results of radiofrequency energy delivery for the treatment of GERD: sustained improvements in symptoms, quality of life, and drug use at 4-year follow-up. Gastrointest Endosc 2007;65:361-6.</w:t>
      </w:r>
    </w:p>
    <w:p w:rsidR="005C2539" w:rsidRPr="00F56E8E" w:rsidRDefault="00F56E8E" w:rsidP="00F56E8E">
      <w:pPr>
        <w:spacing w:line="480" w:lineRule="auto"/>
      </w:pPr>
      <w:r w:rsidRPr="00F96EC2">
        <w:rPr>
          <w:rFonts w:ascii="Arial" w:hAnsi="Arial" w:cs="Arial"/>
          <w:color w:val="000000" w:themeColor="text1"/>
        </w:rPr>
        <w:fldChar w:fldCharType="end"/>
      </w:r>
    </w:p>
    <w:sectPr w:rsidR="005C2539" w:rsidRPr="00F56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82A"/>
    <w:rsid w:val="000C14A5"/>
    <w:rsid w:val="007D5118"/>
    <w:rsid w:val="00CD182A"/>
    <w:rsid w:val="00D049A7"/>
    <w:rsid w:val="00F5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B4D06-0F22-43E2-A724-1B4C277A1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F56E8E"/>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F56E8E"/>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 Hiren Yadlapati</dc:creator>
  <cp:keywords/>
  <dc:description/>
  <cp:lastModifiedBy>Rena Hiren Yadlapati</cp:lastModifiedBy>
  <cp:revision>2</cp:revision>
  <dcterms:created xsi:type="dcterms:W3CDTF">2017-10-19T22:07:00Z</dcterms:created>
  <dcterms:modified xsi:type="dcterms:W3CDTF">2017-11-15T21:33:00Z</dcterms:modified>
</cp:coreProperties>
</file>