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B2" w:rsidRDefault="00316DEA" w:rsidP="00316DEA">
      <w:pPr>
        <w:spacing w:after="0"/>
        <w:rPr>
          <w:rFonts w:ascii="Arial" w:hAnsi="Arial" w:cs="Arial"/>
          <w:sz w:val="18"/>
        </w:rPr>
      </w:pPr>
      <w:proofErr w:type="gramStart"/>
      <w:r w:rsidRPr="00112EB2">
        <w:rPr>
          <w:rFonts w:ascii="Arial" w:hAnsi="Arial" w:cs="Arial"/>
          <w:b/>
          <w:sz w:val="18"/>
        </w:rPr>
        <w:t>Supplementa</w:t>
      </w:r>
      <w:r w:rsidRPr="00112EB2">
        <w:rPr>
          <w:rFonts w:ascii="Arial" w:hAnsi="Arial" w:cs="Arial"/>
          <w:b/>
          <w:sz w:val="18"/>
        </w:rPr>
        <w:t>ry</w:t>
      </w:r>
      <w:r w:rsidRPr="00112EB2">
        <w:rPr>
          <w:rFonts w:ascii="Arial" w:hAnsi="Arial" w:cs="Arial"/>
          <w:b/>
          <w:sz w:val="18"/>
        </w:rPr>
        <w:t xml:space="preserve"> Table 1.</w:t>
      </w:r>
      <w:proofErr w:type="gramEnd"/>
      <w:r w:rsidRPr="00112EB2">
        <w:rPr>
          <w:rFonts w:ascii="Arial" w:hAnsi="Arial" w:cs="Arial"/>
          <w:b/>
          <w:sz w:val="18"/>
        </w:rPr>
        <w:t xml:space="preserve"> </w:t>
      </w:r>
      <w:r w:rsidRPr="00112EB2">
        <w:rPr>
          <w:rFonts w:ascii="Arial" w:hAnsi="Arial" w:cs="Arial"/>
          <w:sz w:val="18"/>
        </w:rPr>
        <w:t>Recruitment and inclusion criteria for Barrett’s esophagus case, GERD and population</w:t>
      </w:r>
      <w:r w:rsidR="00D07D55">
        <w:rPr>
          <w:rFonts w:ascii="Arial" w:hAnsi="Arial" w:cs="Arial"/>
          <w:sz w:val="18"/>
        </w:rPr>
        <w:t>-based</w:t>
      </w:r>
      <w:r w:rsidRPr="00112EB2">
        <w:rPr>
          <w:rFonts w:ascii="Arial" w:hAnsi="Arial" w:cs="Arial"/>
          <w:sz w:val="18"/>
        </w:rPr>
        <w:t xml:space="preserve"> controls in each study of BEACON</w:t>
      </w:r>
    </w:p>
    <w:p w:rsidR="00956B0C" w:rsidRPr="00112EB2" w:rsidRDefault="00956B0C" w:rsidP="00316DEA">
      <w:pPr>
        <w:spacing w:after="0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937"/>
        <w:gridCol w:w="2393"/>
        <w:gridCol w:w="1009"/>
        <w:gridCol w:w="2321"/>
        <w:gridCol w:w="1463"/>
        <w:gridCol w:w="2700"/>
      </w:tblGrid>
      <w:tr w:rsidR="00316DEA" w:rsidRPr="000714A4" w:rsidTr="00956B0C">
        <w:tc>
          <w:tcPr>
            <w:tcW w:w="2065" w:type="dxa"/>
            <w:vAlign w:val="bottom"/>
          </w:tcPr>
          <w:p w:rsidR="00316DEA" w:rsidRPr="00C009E0" w:rsidRDefault="00316DEA" w:rsidP="00112EB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009E0">
              <w:rPr>
                <w:rFonts w:ascii="Arial" w:hAnsi="Arial" w:cs="Arial"/>
                <w:b/>
                <w:sz w:val="14"/>
                <w:szCs w:val="14"/>
              </w:rPr>
              <w:t>Study, Location</w:t>
            </w:r>
          </w:p>
        </w:tc>
        <w:tc>
          <w:tcPr>
            <w:tcW w:w="937" w:type="dxa"/>
            <w:vAlign w:val="bottom"/>
          </w:tcPr>
          <w:p w:rsidR="00316DEA" w:rsidRPr="00C009E0" w:rsidRDefault="00316DEA" w:rsidP="00112EB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009E0">
              <w:rPr>
                <w:rFonts w:ascii="Arial" w:hAnsi="Arial" w:cs="Arial"/>
                <w:b/>
                <w:sz w:val="14"/>
                <w:szCs w:val="14"/>
              </w:rPr>
              <w:t>BE cases, n</w:t>
            </w:r>
          </w:p>
        </w:tc>
        <w:tc>
          <w:tcPr>
            <w:tcW w:w="2393" w:type="dxa"/>
            <w:vAlign w:val="bottom"/>
          </w:tcPr>
          <w:p w:rsidR="00316DEA" w:rsidRPr="00C009E0" w:rsidRDefault="00316DEA" w:rsidP="00112EB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009E0">
              <w:rPr>
                <w:rFonts w:ascii="Arial" w:hAnsi="Arial" w:cs="Arial"/>
                <w:b/>
                <w:sz w:val="14"/>
                <w:szCs w:val="14"/>
              </w:rPr>
              <w:t>BE case definition</w:t>
            </w:r>
          </w:p>
        </w:tc>
        <w:tc>
          <w:tcPr>
            <w:tcW w:w="1009" w:type="dxa"/>
            <w:vAlign w:val="bottom"/>
          </w:tcPr>
          <w:p w:rsidR="00316DEA" w:rsidRPr="00C009E0" w:rsidRDefault="00316DEA" w:rsidP="00112EB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009E0">
              <w:rPr>
                <w:rFonts w:ascii="Arial" w:hAnsi="Arial" w:cs="Arial"/>
                <w:b/>
                <w:sz w:val="14"/>
                <w:szCs w:val="14"/>
              </w:rPr>
              <w:t>GERD controls, n</w:t>
            </w:r>
          </w:p>
        </w:tc>
        <w:tc>
          <w:tcPr>
            <w:tcW w:w="2321" w:type="dxa"/>
            <w:vAlign w:val="bottom"/>
          </w:tcPr>
          <w:p w:rsidR="00316DEA" w:rsidRPr="00C009E0" w:rsidRDefault="00316DEA" w:rsidP="00112EB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009E0">
              <w:rPr>
                <w:rFonts w:ascii="Arial" w:hAnsi="Arial" w:cs="Arial"/>
                <w:b/>
                <w:sz w:val="14"/>
                <w:szCs w:val="14"/>
              </w:rPr>
              <w:t>GERD control definition</w:t>
            </w:r>
          </w:p>
        </w:tc>
        <w:tc>
          <w:tcPr>
            <w:tcW w:w="1463" w:type="dxa"/>
            <w:vAlign w:val="bottom"/>
          </w:tcPr>
          <w:p w:rsidR="00316DEA" w:rsidRPr="00C009E0" w:rsidRDefault="00316DEA" w:rsidP="00112EB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009E0">
              <w:rPr>
                <w:rFonts w:ascii="Arial" w:hAnsi="Arial" w:cs="Arial"/>
                <w:b/>
                <w:sz w:val="14"/>
                <w:szCs w:val="14"/>
              </w:rPr>
              <w:t>Population-based controls, n</w:t>
            </w:r>
          </w:p>
        </w:tc>
        <w:tc>
          <w:tcPr>
            <w:tcW w:w="2700" w:type="dxa"/>
            <w:vAlign w:val="bottom"/>
          </w:tcPr>
          <w:p w:rsidR="00316DEA" w:rsidRPr="00C009E0" w:rsidRDefault="00316DEA" w:rsidP="00112EB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009E0">
              <w:rPr>
                <w:rFonts w:ascii="Arial" w:hAnsi="Arial" w:cs="Arial"/>
                <w:b/>
                <w:sz w:val="14"/>
                <w:szCs w:val="14"/>
              </w:rPr>
              <w:t>Population-based control definition</w:t>
            </w:r>
          </w:p>
        </w:tc>
      </w:tr>
      <w:tr w:rsidR="00316DEA" w:rsidRPr="000714A4" w:rsidTr="00956B0C">
        <w:tc>
          <w:tcPr>
            <w:tcW w:w="2065" w:type="dxa"/>
          </w:tcPr>
          <w:p w:rsidR="00316DEA" w:rsidRPr="000714A4" w:rsidRDefault="00D07D55" w:rsidP="00281E75">
            <w:pPr>
              <w:rPr>
                <w:rFonts w:ascii="Arial" w:hAnsi="Arial" w:cs="Arial"/>
                <w:sz w:val="14"/>
                <w:szCs w:val="14"/>
              </w:rPr>
            </w:pPr>
            <w:r w:rsidRPr="00D07D55">
              <w:rPr>
                <w:rFonts w:ascii="Arial" w:hAnsi="Arial" w:cs="Arial"/>
                <w:sz w:val="14"/>
                <w:szCs w:val="14"/>
              </w:rPr>
              <w:t xml:space="preserve">Kaiser Permanente Northern California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316DEA" w:rsidRPr="000714A4">
              <w:rPr>
                <w:rFonts w:ascii="Arial" w:hAnsi="Arial" w:cs="Arial"/>
                <w:sz w:val="14"/>
                <w:szCs w:val="14"/>
              </w:rPr>
              <w:t>KPNC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 w:rsidR="00316DEA" w:rsidRPr="000714A4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316DEA" w:rsidRPr="000714A4" w:rsidRDefault="00316DEA" w:rsidP="00281E75">
            <w:pPr>
              <w:rPr>
                <w:rFonts w:ascii="Arial" w:hAnsi="Arial" w:cs="Arial"/>
                <w:sz w:val="14"/>
                <w:szCs w:val="14"/>
              </w:rPr>
            </w:pPr>
            <w:r w:rsidRPr="000714A4">
              <w:rPr>
                <w:rFonts w:ascii="Arial" w:hAnsi="Arial" w:cs="Arial"/>
                <w:sz w:val="14"/>
                <w:szCs w:val="14"/>
              </w:rPr>
              <w:t>Northern California, USA</w:t>
            </w:r>
          </w:p>
        </w:tc>
        <w:tc>
          <w:tcPr>
            <w:tcW w:w="937" w:type="dxa"/>
          </w:tcPr>
          <w:p w:rsidR="00316DEA" w:rsidRPr="000714A4" w:rsidRDefault="00316DEA" w:rsidP="00112E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14A4">
              <w:rPr>
                <w:rFonts w:ascii="Arial" w:hAnsi="Arial" w:cs="Arial"/>
                <w:sz w:val="14"/>
                <w:szCs w:val="14"/>
              </w:rPr>
              <w:t>254</w:t>
            </w:r>
          </w:p>
        </w:tc>
        <w:tc>
          <w:tcPr>
            <w:tcW w:w="2393" w:type="dxa"/>
          </w:tcPr>
          <w:p w:rsidR="00316DEA" w:rsidRPr="000714A4" w:rsidRDefault="00316DEA" w:rsidP="00281E75">
            <w:pPr>
              <w:rPr>
                <w:rFonts w:ascii="Arial" w:hAnsi="Arial" w:cs="Arial"/>
                <w:sz w:val="14"/>
                <w:szCs w:val="14"/>
              </w:rPr>
            </w:pPr>
            <w:r w:rsidRPr="000714A4">
              <w:rPr>
                <w:rFonts w:ascii="Arial" w:hAnsi="Arial" w:cs="Arial"/>
                <w:sz w:val="14"/>
                <w:szCs w:val="14"/>
              </w:rPr>
              <w:t>I</w:t>
            </w:r>
            <w:r w:rsidR="00112EB2">
              <w:rPr>
                <w:rFonts w:ascii="Arial" w:hAnsi="Arial" w:cs="Arial"/>
                <w:sz w:val="14"/>
                <w:szCs w:val="14"/>
              </w:rPr>
              <w:t xml:space="preserve">ncident cases recruited between October 2002 and September 2005. SIM and any length of macroscopic </w:t>
            </w:r>
            <w:proofErr w:type="gramStart"/>
            <w:r w:rsidR="00112EB2">
              <w:rPr>
                <w:rFonts w:ascii="Arial" w:hAnsi="Arial" w:cs="Arial"/>
                <w:sz w:val="14"/>
                <w:szCs w:val="14"/>
              </w:rPr>
              <w:t>BE</w:t>
            </w:r>
            <w:proofErr w:type="gramEnd"/>
            <w:r w:rsidR="00112EB2">
              <w:rPr>
                <w:rFonts w:ascii="Arial" w:hAnsi="Arial" w:cs="Arial"/>
                <w:sz w:val="14"/>
                <w:szCs w:val="14"/>
              </w:rPr>
              <w:t>. Exclusio</w:t>
            </w:r>
            <w:bookmarkStart w:id="0" w:name="_GoBack"/>
            <w:bookmarkEnd w:id="0"/>
            <w:r w:rsidR="00112EB2">
              <w:rPr>
                <w:rFonts w:ascii="Arial" w:hAnsi="Arial" w:cs="Arial"/>
                <w:sz w:val="14"/>
                <w:szCs w:val="14"/>
              </w:rPr>
              <w:t xml:space="preserve">ns: gastric-type metaplasia only, indicative biopsy </w:t>
            </w:r>
            <w:r w:rsidR="00FE3429">
              <w:rPr>
                <w:rFonts w:ascii="Arial" w:hAnsi="Arial" w:cs="Arial"/>
                <w:sz w:val="14"/>
                <w:szCs w:val="14"/>
              </w:rPr>
              <w:t>f</w:t>
            </w:r>
            <w:r w:rsidR="00112EB2">
              <w:rPr>
                <w:rFonts w:ascii="Arial" w:hAnsi="Arial" w:cs="Arial"/>
                <w:sz w:val="14"/>
                <w:szCs w:val="14"/>
              </w:rPr>
              <w:t xml:space="preserve">rom </w:t>
            </w:r>
            <w:proofErr w:type="spellStart"/>
            <w:r w:rsidRPr="000714A4">
              <w:rPr>
                <w:rFonts w:ascii="Arial" w:hAnsi="Arial" w:cs="Arial"/>
                <w:sz w:val="14"/>
                <w:szCs w:val="14"/>
              </w:rPr>
              <w:t>squamocolumnar</w:t>
            </w:r>
            <w:proofErr w:type="spellEnd"/>
            <w:r w:rsidRPr="000714A4">
              <w:rPr>
                <w:rFonts w:ascii="Arial" w:hAnsi="Arial" w:cs="Arial"/>
                <w:sz w:val="14"/>
                <w:szCs w:val="14"/>
              </w:rPr>
              <w:t xml:space="preserve"> junction</w:t>
            </w:r>
            <w:r w:rsidR="00FE3429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009" w:type="dxa"/>
          </w:tcPr>
          <w:p w:rsidR="00316DEA" w:rsidRPr="000714A4" w:rsidRDefault="00316DEA" w:rsidP="00112E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14A4">
              <w:rPr>
                <w:rFonts w:ascii="Arial" w:hAnsi="Arial" w:cs="Arial"/>
                <w:sz w:val="14"/>
                <w:szCs w:val="14"/>
              </w:rPr>
              <w:t>241</w:t>
            </w:r>
          </w:p>
        </w:tc>
        <w:tc>
          <w:tcPr>
            <w:tcW w:w="2321" w:type="dxa"/>
          </w:tcPr>
          <w:p w:rsidR="00316DEA" w:rsidRPr="000714A4" w:rsidRDefault="00112EB2" w:rsidP="00281E7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GERD-related diagnosis code </w:t>
            </w:r>
            <w:r w:rsidR="00316DEA" w:rsidRPr="000714A4">
              <w:rPr>
                <w:rFonts w:ascii="Arial" w:hAnsi="Arial" w:cs="Arial"/>
                <w:sz w:val="14"/>
                <w:szCs w:val="14"/>
              </w:rPr>
              <w:t>(IC</w:t>
            </w:r>
            <w:r>
              <w:rPr>
                <w:rFonts w:ascii="Arial" w:hAnsi="Arial" w:cs="Arial"/>
                <w:sz w:val="14"/>
                <w:szCs w:val="14"/>
              </w:rPr>
              <w:t xml:space="preserve">D-9: 530.11 reflux esophagitis; </w:t>
            </w:r>
            <w:r w:rsidR="00316DEA" w:rsidRPr="000714A4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 xml:space="preserve">30.81 gastroesophageal reflux); </w:t>
            </w:r>
            <w:r w:rsidR="00316DEA" w:rsidRPr="000714A4">
              <w:rPr>
                <w:rFonts w:ascii="Arial" w:hAnsi="Arial" w:cs="Arial"/>
                <w:sz w:val="14"/>
                <w:szCs w:val="14"/>
              </w:rPr>
              <w:t xml:space="preserve">a prescription </w:t>
            </w:r>
            <w:r w:rsidR="00316DEA" w:rsidRPr="000714A4">
              <w:rPr>
                <w:rFonts w:ascii="Times New Roman" w:hAnsi="Times New Roman" w:cs="Times New Roman"/>
                <w:sz w:val="14"/>
                <w:szCs w:val="14"/>
              </w:rPr>
              <w:t>≥</w:t>
            </w:r>
            <w:r>
              <w:rPr>
                <w:rFonts w:ascii="Arial" w:hAnsi="Arial" w:cs="Arial"/>
                <w:sz w:val="14"/>
                <w:szCs w:val="14"/>
              </w:rPr>
              <w:t xml:space="preserve">90-day supply of an H2RA or PPI in the previous </w:t>
            </w:r>
            <w:r w:rsidR="00316DEA" w:rsidRPr="000714A4">
              <w:rPr>
                <w:rFonts w:ascii="Arial" w:hAnsi="Arial" w:cs="Arial"/>
                <w:sz w:val="14"/>
                <w:szCs w:val="14"/>
              </w:rPr>
              <w:t xml:space="preserve">year; recent </w:t>
            </w:r>
            <w:r>
              <w:rPr>
                <w:rFonts w:ascii="Arial" w:hAnsi="Arial" w:cs="Arial"/>
                <w:sz w:val="14"/>
                <w:szCs w:val="14"/>
              </w:rPr>
              <w:t xml:space="preserve">EGD that was </w:t>
            </w:r>
            <w:r w:rsidR="00316DEA"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 xml:space="preserve">egative for esophageal </w:t>
            </w:r>
            <w:r w:rsidR="00316DEA" w:rsidRPr="000714A4">
              <w:rPr>
                <w:rFonts w:ascii="Arial" w:hAnsi="Arial" w:cs="Arial"/>
                <w:sz w:val="14"/>
                <w:szCs w:val="14"/>
              </w:rPr>
              <w:t>columnar metaplasia of any type.</w:t>
            </w:r>
            <w:r>
              <w:rPr>
                <w:rFonts w:ascii="Arial" w:hAnsi="Arial" w:cs="Arial"/>
                <w:sz w:val="14"/>
                <w:szCs w:val="14"/>
              </w:rPr>
              <w:t xml:space="preserve"> Exclusions: previous BE </w:t>
            </w:r>
            <w:r w:rsidR="00316DEA" w:rsidRPr="000714A4">
              <w:rPr>
                <w:rFonts w:ascii="Arial" w:hAnsi="Arial" w:cs="Arial"/>
                <w:sz w:val="14"/>
                <w:szCs w:val="14"/>
              </w:rPr>
              <w:t>diagnosis</w:t>
            </w:r>
          </w:p>
        </w:tc>
        <w:tc>
          <w:tcPr>
            <w:tcW w:w="1463" w:type="dxa"/>
          </w:tcPr>
          <w:p w:rsidR="00316DEA" w:rsidRPr="000714A4" w:rsidRDefault="00316DEA" w:rsidP="00112E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14A4">
              <w:rPr>
                <w:rFonts w:ascii="Arial" w:hAnsi="Arial" w:cs="Arial"/>
                <w:sz w:val="14"/>
                <w:szCs w:val="14"/>
              </w:rPr>
              <w:t>248</w:t>
            </w:r>
          </w:p>
        </w:tc>
        <w:tc>
          <w:tcPr>
            <w:tcW w:w="2700" w:type="dxa"/>
          </w:tcPr>
          <w:p w:rsidR="00316DEA" w:rsidRPr="000714A4" w:rsidRDefault="00112EB2" w:rsidP="00281E7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KPNC members without an </w:t>
            </w:r>
            <w:r w:rsidR="00316DEA" w:rsidRPr="000714A4">
              <w:rPr>
                <w:rFonts w:ascii="Arial" w:hAnsi="Arial" w:cs="Arial"/>
                <w:sz w:val="14"/>
                <w:szCs w:val="14"/>
              </w:rPr>
              <w:t>electro</w:t>
            </w:r>
            <w:r>
              <w:rPr>
                <w:rFonts w:ascii="Arial" w:hAnsi="Arial" w:cs="Arial"/>
                <w:sz w:val="14"/>
                <w:szCs w:val="14"/>
              </w:rPr>
              <w:t xml:space="preserve">nic diagnosis of BE at the time </w:t>
            </w:r>
            <w:r w:rsidR="00FE3429">
              <w:rPr>
                <w:rFonts w:ascii="Arial" w:hAnsi="Arial" w:cs="Arial"/>
                <w:sz w:val="14"/>
                <w:szCs w:val="14"/>
              </w:rPr>
              <w:t>the BE cases were identified,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16DEA" w:rsidRPr="000714A4">
              <w:rPr>
                <w:rFonts w:ascii="Arial" w:hAnsi="Arial" w:cs="Arial"/>
                <w:sz w:val="14"/>
                <w:szCs w:val="14"/>
              </w:rPr>
              <w:t>frequency</w:t>
            </w:r>
            <w:r w:rsidR="00316DE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matched on age at index </w:t>
            </w:r>
            <w:r w:rsidR="00316DEA" w:rsidRPr="000714A4">
              <w:rPr>
                <w:rFonts w:ascii="Arial" w:hAnsi="Arial" w:cs="Arial"/>
                <w:sz w:val="14"/>
                <w:szCs w:val="14"/>
              </w:rPr>
              <w:t>date,</w:t>
            </w:r>
            <w:r w:rsidR="00316DE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sex, and geographic region to </w:t>
            </w:r>
            <w:r w:rsidR="00316DEA" w:rsidRPr="000714A4">
              <w:rPr>
                <w:rFonts w:ascii="Arial" w:hAnsi="Arial" w:cs="Arial"/>
                <w:sz w:val="14"/>
                <w:szCs w:val="14"/>
              </w:rPr>
              <w:t>the</w:t>
            </w:r>
            <w:r w:rsidR="00316DE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16DEA" w:rsidRPr="000714A4">
              <w:rPr>
                <w:rFonts w:ascii="Arial" w:hAnsi="Arial" w:cs="Arial"/>
                <w:sz w:val="14"/>
                <w:szCs w:val="14"/>
              </w:rPr>
              <w:t>distribution of BE cases.</w:t>
            </w:r>
          </w:p>
        </w:tc>
      </w:tr>
      <w:tr w:rsidR="00316DEA" w:rsidRPr="000714A4" w:rsidTr="00956B0C">
        <w:tc>
          <w:tcPr>
            <w:tcW w:w="2065" w:type="dxa"/>
          </w:tcPr>
          <w:p w:rsidR="00316DEA" w:rsidRPr="000714A4" w:rsidRDefault="00316DEA" w:rsidP="00281E75">
            <w:pPr>
              <w:rPr>
                <w:rFonts w:ascii="Arial" w:hAnsi="Arial" w:cs="Arial"/>
                <w:sz w:val="14"/>
                <w:szCs w:val="14"/>
              </w:rPr>
            </w:pPr>
            <w:r w:rsidRPr="000714A4">
              <w:rPr>
                <w:rFonts w:ascii="Arial" w:hAnsi="Arial" w:cs="Arial"/>
                <w:sz w:val="14"/>
                <w:szCs w:val="14"/>
              </w:rPr>
              <w:t>Stud of Digestive Health (SDH),</w:t>
            </w:r>
          </w:p>
          <w:p w:rsidR="00316DEA" w:rsidRPr="000714A4" w:rsidRDefault="00316DEA" w:rsidP="00281E75">
            <w:pPr>
              <w:rPr>
                <w:rFonts w:ascii="Arial" w:hAnsi="Arial" w:cs="Arial"/>
                <w:sz w:val="14"/>
                <w:szCs w:val="14"/>
              </w:rPr>
            </w:pPr>
            <w:r w:rsidRPr="000714A4">
              <w:rPr>
                <w:rFonts w:ascii="Arial" w:hAnsi="Arial" w:cs="Arial"/>
                <w:sz w:val="14"/>
                <w:szCs w:val="14"/>
              </w:rPr>
              <w:t>Brisbane, Queensland, Australia</w:t>
            </w:r>
          </w:p>
        </w:tc>
        <w:tc>
          <w:tcPr>
            <w:tcW w:w="937" w:type="dxa"/>
          </w:tcPr>
          <w:p w:rsidR="00316DEA" w:rsidRPr="000714A4" w:rsidRDefault="00316DEA" w:rsidP="00112E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14A4">
              <w:rPr>
                <w:rFonts w:ascii="Arial" w:hAnsi="Arial" w:cs="Arial"/>
                <w:sz w:val="14"/>
                <w:szCs w:val="14"/>
              </w:rPr>
              <w:t>283</w:t>
            </w:r>
          </w:p>
        </w:tc>
        <w:tc>
          <w:tcPr>
            <w:tcW w:w="2393" w:type="dxa"/>
          </w:tcPr>
          <w:p w:rsidR="00316DEA" w:rsidRPr="000714A4" w:rsidRDefault="00316DEA" w:rsidP="00281E7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714A4">
              <w:rPr>
                <w:rFonts w:ascii="Arial" w:hAnsi="Arial" w:cs="Arial"/>
                <w:sz w:val="14"/>
                <w:szCs w:val="14"/>
              </w:rPr>
              <w:t>Incident cases of BE, or of</w:t>
            </w:r>
            <w:r w:rsidR="00FE34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714A4">
              <w:rPr>
                <w:rFonts w:ascii="Arial" w:hAnsi="Arial" w:cs="Arial"/>
                <w:sz w:val="14"/>
                <w:szCs w:val="14"/>
              </w:rPr>
              <w:t>dy</w:t>
            </w:r>
            <w:r w:rsidR="00FE3429">
              <w:rPr>
                <w:rFonts w:ascii="Arial" w:hAnsi="Arial" w:cs="Arial"/>
                <w:sz w:val="14"/>
                <w:szCs w:val="14"/>
              </w:rPr>
              <w:t xml:space="preserve">splasia in previously diagnosed </w:t>
            </w:r>
            <w:r w:rsidRPr="000714A4">
              <w:rPr>
                <w:rFonts w:ascii="Arial" w:hAnsi="Arial" w:cs="Arial"/>
                <w:sz w:val="14"/>
                <w:szCs w:val="14"/>
              </w:rPr>
              <w:t>BE,</w:t>
            </w:r>
            <w:r w:rsidR="00FE3429">
              <w:rPr>
                <w:rFonts w:ascii="Arial" w:hAnsi="Arial" w:cs="Arial"/>
                <w:sz w:val="14"/>
                <w:szCs w:val="14"/>
              </w:rPr>
              <w:t xml:space="preserve"> recruited from 2 major private pathology laboratories and the </w:t>
            </w:r>
            <w:r w:rsidRPr="000714A4">
              <w:rPr>
                <w:rFonts w:ascii="Arial" w:hAnsi="Arial" w:cs="Arial"/>
                <w:sz w:val="14"/>
                <w:szCs w:val="14"/>
              </w:rPr>
              <w:t>single public pathology laboratory</w:t>
            </w:r>
            <w:r w:rsidR="00FE34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714A4">
              <w:rPr>
                <w:rFonts w:ascii="Arial" w:hAnsi="Arial" w:cs="Arial"/>
                <w:sz w:val="14"/>
                <w:szCs w:val="14"/>
              </w:rPr>
              <w:t>serving metropolitan Brisbane,</w:t>
            </w:r>
            <w:r w:rsidR="00FE34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714A4">
              <w:rPr>
                <w:rFonts w:ascii="Arial" w:hAnsi="Arial" w:cs="Arial"/>
                <w:sz w:val="14"/>
                <w:szCs w:val="14"/>
              </w:rPr>
              <w:t>Australia, F</w:t>
            </w:r>
            <w:r w:rsidR="00FE3429">
              <w:rPr>
                <w:rFonts w:ascii="Arial" w:hAnsi="Arial" w:cs="Arial"/>
                <w:sz w:val="14"/>
                <w:szCs w:val="14"/>
              </w:rPr>
              <w:t xml:space="preserve">ebruary 2003–June 2006. SIM and any length of </w:t>
            </w:r>
            <w:r w:rsidRPr="000714A4">
              <w:rPr>
                <w:rFonts w:ascii="Arial" w:hAnsi="Arial" w:cs="Arial"/>
                <w:sz w:val="14"/>
                <w:szCs w:val="14"/>
              </w:rPr>
              <w:t xml:space="preserve">macroscopic </w:t>
            </w:r>
            <w:proofErr w:type="gramStart"/>
            <w:r w:rsidRPr="000714A4">
              <w:rPr>
                <w:rFonts w:ascii="Arial" w:hAnsi="Arial" w:cs="Arial"/>
                <w:sz w:val="14"/>
                <w:szCs w:val="14"/>
              </w:rPr>
              <w:t>BE</w:t>
            </w:r>
            <w:proofErr w:type="gramEnd"/>
            <w:r w:rsidRPr="000714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009" w:type="dxa"/>
          </w:tcPr>
          <w:p w:rsidR="00316DEA" w:rsidRPr="000714A4" w:rsidRDefault="00316DEA" w:rsidP="00112E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14A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21" w:type="dxa"/>
          </w:tcPr>
          <w:p w:rsidR="00316DEA" w:rsidRPr="000714A4" w:rsidRDefault="00316DEA" w:rsidP="00281E75">
            <w:pPr>
              <w:rPr>
                <w:rFonts w:ascii="Arial" w:hAnsi="Arial" w:cs="Arial"/>
                <w:sz w:val="14"/>
                <w:szCs w:val="14"/>
              </w:rPr>
            </w:pPr>
            <w:r w:rsidRPr="000714A4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1463" w:type="dxa"/>
          </w:tcPr>
          <w:p w:rsidR="00316DEA" w:rsidRPr="000714A4" w:rsidRDefault="00316DEA" w:rsidP="00112E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14A4">
              <w:rPr>
                <w:rFonts w:ascii="Arial" w:hAnsi="Arial" w:cs="Arial"/>
                <w:sz w:val="14"/>
                <w:szCs w:val="14"/>
              </w:rPr>
              <w:t>360</w:t>
            </w:r>
          </w:p>
        </w:tc>
        <w:tc>
          <w:tcPr>
            <w:tcW w:w="2700" w:type="dxa"/>
          </w:tcPr>
          <w:p w:rsidR="00316DEA" w:rsidRPr="000714A4" w:rsidRDefault="00316DEA" w:rsidP="00112EB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714A4">
              <w:rPr>
                <w:rFonts w:ascii="Arial" w:hAnsi="Arial" w:cs="Arial"/>
                <w:sz w:val="14"/>
                <w:szCs w:val="14"/>
              </w:rPr>
              <w:t>Randomly selected from the</w:t>
            </w:r>
            <w:r w:rsidR="00FE34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714A4">
              <w:rPr>
                <w:rFonts w:ascii="Arial" w:hAnsi="Arial" w:cs="Arial"/>
                <w:sz w:val="14"/>
                <w:szCs w:val="14"/>
              </w:rPr>
              <w:t>Australian Electoral roll. Frequency</w:t>
            </w:r>
            <w:r w:rsidR="00FE34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714A4">
              <w:rPr>
                <w:rFonts w:ascii="Arial" w:hAnsi="Arial" w:cs="Arial"/>
                <w:sz w:val="14"/>
                <w:szCs w:val="14"/>
              </w:rPr>
              <w:t>matched on age and sex to a case</w:t>
            </w:r>
            <w:r w:rsidR="00FE34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714A4">
              <w:rPr>
                <w:rFonts w:ascii="Arial" w:hAnsi="Arial" w:cs="Arial"/>
                <w:sz w:val="14"/>
                <w:szCs w:val="14"/>
              </w:rPr>
              <w:t>series. Control participants had to</w:t>
            </w:r>
            <w:r w:rsidR="00FE34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714A4">
              <w:rPr>
                <w:rFonts w:ascii="Arial" w:hAnsi="Arial" w:cs="Arial"/>
                <w:sz w:val="14"/>
                <w:szCs w:val="14"/>
              </w:rPr>
              <w:t>reside within the same</w:t>
            </w:r>
            <w:r w:rsidR="00112EB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E3429">
              <w:rPr>
                <w:rFonts w:ascii="Arial" w:hAnsi="Arial" w:cs="Arial"/>
                <w:sz w:val="14"/>
                <w:szCs w:val="14"/>
              </w:rPr>
              <w:t xml:space="preserve">geographical </w:t>
            </w:r>
            <w:r w:rsidRPr="000714A4">
              <w:rPr>
                <w:rFonts w:ascii="Arial" w:hAnsi="Arial" w:cs="Arial"/>
                <w:sz w:val="14"/>
                <w:szCs w:val="14"/>
              </w:rPr>
              <w:t>region as the BE</w:t>
            </w:r>
            <w:r w:rsidR="00112EB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E3429">
              <w:rPr>
                <w:rFonts w:ascii="Arial" w:hAnsi="Arial" w:cs="Arial"/>
                <w:sz w:val="14"/>
                <w:szCs w:val="14"/>
              </w:rPr>
              <w:t xml:space="preserve">cases and GERD </w:t>
            </w:r>
            <w:r w:rsidRPr="000714A4">
              <w:rPr>
                <w:rFonts w:ascii="Arial" w:hAnsi="Arial" w:cs="Arial"/>
                <w:sz w:val="14"/>
                <w:szCs w:val="14"/>
              </w:rPr>
              <w:t>controls.</w:t>
            </w:r>
          </w:p>
        </w:tc>
      </w:tr>
      <w:tr w:rsidR="00316DEA" w:rsidRPr="000714A4" w:rsidTr="00956B0C">
        <w:tc>
          <w:tcPr>
            <w:tcW w:w="2065" w:type="dxa"/>
          </w:tcPr>
          <w:p w:rsidR="00316DEA" w:rsidRPr="00F21E8C" w:rsidRDefault="00316DEA" w:rsidP="00281E75">
            <w:pPr>
              <w:rPr>
                <w:rFonts w:ascii="Arial" w:hAnsi="Arial" w:cs="Arial"/>
                <w:sz w:val="14"/>
                <w:szCs w:val="14"/>
              </w:rPr>
            </w:pPr>
            <w:r w:rsidRPr="00F21E8C">
              <w:rPr>
                <w:rFonts w:ascii="Arial" w:hAnsi="Arial" w:cs="Arial"/>
                <w:sz w:val="14"/>
                <w:szCs w:val="14"/>
              </w:rPr>
              <w:t>Newly diagnosed BE study (NDB),</w:t>
            </w:r>
          </w:p>
          <w:p w:rsidR="00316DEA" w:rsidRPr="000714A4" w:rsidRDefault="00316DEA" w:rsidP="00281E75">
            <w:pPr>
              <w:rPr>
                <w:rFonts w:ascii="Arial" w:hAnsi="Arial" w:cs="Arial"/>
                <w:sz w:val="14"/>
                <w:szCs w:val="14"/>
              </w:rPr>
            </w:pPr>
            <w:r w:rsidRPr="00F21E8C">
              <w:rPr>
                <w:rFonts w:ascii="Arial" w:hAnsi="Arial" w:cs="Arial"/>
                <w:sz w:val="14"/>
                <w:szCs w:val="14"/>
              </w:rPr>
              <w:t>Ann Arbor, Michigan, USA</w:t>
            </w:r>
          </w:p>
        </w:tc>
        <w:tc>
          <w:tcPr>
            <w:tcW w:w="937" w:type="dxa"/>
          </w:tcPr>
          <w:p w:rsidR="00316DEA" w:rsidRPr="000714A4" w:rsidRDefault="00316DEA" w:rsidP="00112E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14A4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2393" w:type="dxa"/>
          </w:tcPr>
          <w:p w:rsidR="00316DEA" w:rsidRPr="000714A4" w:rsidRDefault="00FE3429" w:rsidP="00FE342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Incident and prevalent cases recruited from CRC screenees from 2 major medical centers in </w:t>
            </w:r>
            <w:r w:rsidR="00316DEA">
              <w:rPr>
                <w:rFonts w:ascii="Arial" w:hAnsi="Arial" w:cs="Arial"/>
                <w:sz w:val="14"/>
                <w:szCs w:val="14"/>
              </w:rPr>
              <w:t>Ann Arbor</w:t>
            </w:r>
            <w:r w:rsidR="00F21E8C">
              <w:rPr>
                <w:rFonts w:ascii="Arial" w:hAnsi="Arial" w:cs="Arial"/>
                <w:sz w:val="14"/>
                <w:szCs w:val="14"/>
              </w:rPr>
              <w:t xml:space="preserve">, and also patients with </w:t>
            </w:r>
            <w:proofErr w:type="gramStart"/>
            <w:r w:rsidR="00F21E8C">
              <w:rPr>
                <w:rFonts w:ascii="Arial" w:hAnsi="Arial" w:cs="Arial"/>
                <w:sz w:val="14"/>
                <w:szCs w:val="14"/>
              </w:rPr>
              <w:t>BE</w:t>
            </w:r>
            <w:proofErr w:type="gramEnd"/>
            <w:r w:rsidR="00F21E8C">
              <w:rPr>
                <w:rFonts w:ascii="Arial" w:hAnsi="Arial" w:cs="Arial"/>
                <w:sz w:val="14"/>
                <w:szCs w:val="14"/>
              </w:rPr>
              <w:t xml:space="preserve"> identified on a clinically indicated upper EGD</w:t>
            </w:r>
            <w:r w:rsidR="00316DEA">
              <w:rPr>
                <w:rFonts w:ascii="Arial" w:hAnsi="Arial" w:cs="Arial"/>
                <w:sz w:val="14"/>
                <w:szCs w:val="14"/>
              </w:rPr>
              <w:t xml:space="preserve">. SIM and </w:t>
            </w:r>
            <w:r w:rsidR="00316DEA" w:rsidRPr="000714A4">
              <w:rPr>
                <w:rFonts w:ascii="Arial" w:hAnsi="Arial" w:cs="Arial"/>
                <w:sz w:val="14"/>
                <w:szCs w:val="14"/>
              </w:rPr>
              <w:t>any length of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16DEA" w:rsidRPr="000714A4">
              <w:rPr>
                <w:rFonts w:ascii="Arial" w:hAnsi="Arial" w:cs="Arial"/>
                <w:sz w:val="14"/>
                <w:szCs w:val="14"/>
              </w:rPr>
              <w:t xml:space="preserve">macroscopic </w:t>
            </w:r>
            <w:proofErr w:type="gramStart"/>
            <w:r w:rsidR="00316DEA" w:rsidRPr="000714A4">
              <w:rPr>
                <w:rFonts w:ascii="Arial" w:hAnsi="Arial" w:cs="Arial"/>
                <w:sz w:val="14"/>
                <w:szCs w:val="14"/>
              </w:rPr>
              <w:t>BE</w:t>
            </w:r>
            <w:proofErr w:type="gramEnd"/>
            <w:r w:rsidR="00316DEA" w:rsidRPr="000714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009" w:type="dxa"/>
          </w:tcPr>
          <w:p w:rsidR="00316DEA" w:rsidRPr="000714A4" w:rsidRDefault="00316DEA" w:rsidP="00112E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14A4">
              <w:rPr>
                <w:rFonts w:ascii="Arial" w:hAnsi="Arial" w:cs="Arial"/>
                <w:sz w:val="14"/>
                <w:szCs w:val="14"/>
              </w:rPr>
              <w:t>178</w:t>
            </w:r>
          </w:p>
        </w:tc>
        <w:tc>
          <w:tcPr>
            <w:tcW w:w="2321" w:type="dxa"/>
          </w:tcPr>
          <w:p w:rsidR="00316DEA" w:rsidRPr="000714A4" w:rsidRDefault="00F21E8C" w:rsidP="00F21E8C">
            <w:pPr>
              <w:rPr>
                <w:rFonts w:ascii="Arial" w:hAnsi="Arial" w:cs="Arial"/>
                <w:sz w:val="14"/>
                <w:szCs w:val="14"/>
              </w:rPr>
            </w:pPr>
            <w:r w:rsidRPr="00F21E8C">
              <w:rPr>
                <w:rFonts w:ascii="Arial" w:hAnsi="Arial" w:cs="Arial"/>
                <w:sz w:val="14"/>
                <w:szCs w:val="14"/>
              </w:rPr>
              <w:t xml:space="preserve">Patients </w:t>
            </w:r>
            <w:r>
              <w:rPr>
                <w:rFonts w:ascii="Arial" w:hAnsi="Arial" w:cs="Arial"/>
                <w:sz w:val="14"/>
                <w:szCs w:val="14"/>
              </w:rPr>
              <w:t xml:space="preserve">with esophagitis </w:t>
            </w:r>
            <w:r w:rsidRPr="00F21E8C">
              <w:rPr>
                <w:rFonts w:ascii="Arial" w:hAnsi="Arial" w:cs="Arial"/>
                <w:sz w:val="14"/>
                <w:szCs w:val="14"/>
              </w:rPr>
              <w:t>by the Los Angeles Classification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21E8C">
              <w:rPr>
                <w:rFonts w:ascii="Arial" w:hAnsi="Arial" w:cs="Arial"/>
                <w:sz w:val="14"/>
                <w:szCs w:val="14"/>
              </w:rPr>
              <w:t>scheme</w:t>
            </w:r>
            <w:r>
              <w:rPr>
                <w:rFonts w:ascii="Arial" w:hAnsi="Arial" w:cs="Arial"/>
                <w:sz w:val="14"/>
                <w:szCs w:val="14"/>
              </w:rPr>
              <w:t xml:space="preserve"> on their study EGD.</w:t>
            </w:r>
          </w:p>
        </w:tc>
        <w:tc>
          <w:tcPr>
            <w:tcW w:w="1463" w:type="dxa"/>
          </w:tcPr>
          <w:p w:rsidR="00316DEA" w:rsidRPr="000714A4" w:rsidRDefault="00316DEA" w:rsidP="00112E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14A4">
              <w:rPr>
                <w:rFonts w:ascii="Arial" w:hAnsi="Arial" w:cs="Arial"/>
                <w:sz w:val="14"/>
                <w:szCs w:val="14"/>
              </w:rPr>
              <w:t>249</w:t>
            </w:r>
          </w:p>
        </w:tc>
        <w:tc>
          <w:tcPr>
            <w:tcW w:w="2700" w:type="dxa"/>
          </w:tcPr>
          <w:p w:rsidR="00316DEA" w:rsidRPr="000714A4" w:rsidRDefault="00316DEA" w:rsidP="00F21E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Randomly selected CRC screenees without BE, </w:t>
            </w:r>
            <w:r w:rsidR="00F21E8C">
              <w:rPr>
                <w:rFonts w:ascii="Arial" w:hAnsi="Arial" w:cs="Arial"/>
                <w:sz w:val="14"/>
                <w:szCs w:val="14"/>
              </w:rPr>
              <w:t xml:space="preserve">and </w:t>
            </w:r>
            <w:r>
              <w:rPr>
                <w:rFonts w:ascii="Arial" w:hAnsi="Arial" w:cs="Arial"/>
                <w:sz w:val="14"/>
                <w:szCs w:val="14"/>
              </w:rPr>
              <w:t xml:space="preserve">erosive esophagitis </w:t>
            </w:r>
            <w:r w:rsidR="00F21E8C">
              <w:rPr>
                <w:rFonts w:ascii="Arial" w:hAnsi="Arial" w:cs="Arial"/>
                <w:sz w:val="14"/>
                <w:szCs w:val="14"/>
              </w:rPr>
              <w:t>on their study EGD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316DEA" w:rsidRPr="000714A4" w:rsidTr="00956B0C">
        <w:tc>
          <w:tcPr>
            <w:tcW w:w="2065" w:type="dxa"/>
          </w:tcPr>
          <w:p w:rsidR="00316DEA" w:rsidRPr="000714A4" w:rsidRDefault="00D07D55" w:rsidP="00281E75">
            <w:pPr>
              <w:rPr>
                <w:rFonts w:ascii="Arial" w:hAnsi="Arial" w:cs="Arial"/>
                <w:sz w:val="14"/>
                <w:szCs w:val="14"/>
              </w:rPr>
            </w:pPr>
            <w:r w:rsidRPr="00D07D55">
              <w:rPr>
                <w:rFonts w:ascii="Arial" w:hAnsi="Arial" w:cs="Arial"/>
                <w:sz w:val="14"/>
                <w:szCs w:val="14"/>
              </w:rPr>
              <w:t xml:space="preserve">Factors Influencing the Barrett’s/Adenocarcinoma Relationship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316DEA" w:rsidRPr="000714A4">
              <w:rPr>
                <w:rFonts w:ascii="Arial" w:hAnsi="Arial" w:cs="Arial"/>
                <w:sz w:val="14"/>
                <w:szCs w:val="14"/>
              </w:rPr>
              <w:t>FINBAR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 w:rsidR="00316DEA" w:rsidRPr="000714A4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316DEA" w:rsidRPr="000714A4" w:rsidRDefault="00316DEA" w:rsidP="00281E75">
            <w:pPr>
              <w:rPr>
                <w:rFonts w:ascii="Arial" w:hAnsi="Arial" w:cs="Arial"/>
                <w:sz w:val="14"/>
                <w:szCs w:val="14"/>
              </w:rPr>
            </w:pPr>
            <w:r w:rsidRPr="000714A4">
              <w:rPr>
                <w:rFonts w:ascii="Arial" w:hAnsi="Arial" w:cs="Arial"/>
                <w:sz w:val="14"/>
                <w:szCs w:val="14"/>
              </w:rPr>
              <w:t>Northern Ireland and Republic of Ireland</w:t>
            </w:r>
          </w:p>
        </w:tc>
        <w:tc>
          <w:tcPr>
            <w:tcW w:w="937" w:type="dxa"/>
          </w:tcPr>
          <w:p w:rsidR="00316DEA" w:rsidRPr="000714A4" w:rsidRDefault="00316DEA" w:rsidP="00112E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14A4">
              <w:rPr>
                <w:rFonts w:ascii="Arial" w:hAnsi="Arial" w:cs="Arial"/>
                <w:sz w:val="14"/>
                <w:szCs w:val="14"/>
              </w:rPr>
              <w:t>215</w:t>
            </w:r>
          </w:p>
        </w:tc>
        <w:tc>
          <w:tcPr>
            <w:tcW w:w="2393" w:type="dxa"/>
          </w:tcPr>
          <w:p w:rsidR="00316DEA" w:rsidRPr="000714A4" w:rsidRDefault="00316DEA" w:rsidP="00FE342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714A4">
              <w:rPr>
                <w:rFonts w:ascii="Arial" w:hAnsi="Arial" w:cs="Arial"/>
                <w:sz w:val="14"/>
                <w:szCs w:val="14"/>
              </w:rPr>
              <w:t>Incident and prevalent cases</w:t>
            </w:r>
            <w:r w:rsidR="00FE34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714A4">
              <w:rPr>
                <w:rFonts w:ascii="Arial" w:hAnsi="Arial" w:cs="Arial"/>
                <w:sz w:val="14"/>
                <w:szCs w:val="14"/>
              </w:rPr>
              <w:t>recruited from the island of</w:t>
            </w:r>
            <w:r w:rsidR="00FE3429">
              <w:rPr>
                <w:rFonts w:ascii="Arial" w:hAnsi="Arial" w:cs="Arial"/>
                <w:sz w:val="14"/>
                <w:szCs w:val="14"/>
              </w:rPr>
              <w:t xml:space="preserve"> Ireland, </w:t>
            </w:r>
            <w:r w:rsidRPr="000714A4">
              <w:rPr>
                <w:rFonts w:ascii="Arial" w:hAnsi="Arial" w:cs="Arial"/>
                <w:sz w:val="14"/>
                <w:szCs w:val="14"/>
              </w:rPr>
              <w:t>March 2002–December</w:t>
            </w:r>
            <w:r w:rsidR="00FE3429">
              <w:rPr>
                <w:rFonts w:ascii="Arial" w:hAnsi="Arial" w:cs="Arial"/>
                <w:sz w:val="14"/>
                <w:szCs w:val="14"/>
              </w:rPr>
              <w:t xml:space="preserve"> 2004. SIM </w:t>
            </w:r>
            <w:r w:rsidRPr="000714A4">
              <w:rPr>
                <w:rFonts w:ascii="Arial" w:hAnsi="Arial" w:cs="Arial"/>
                <w:sz w:val="14"/>
                <w:szCs w:val="14"/>
              </w:rPr>
              <w:t xml:space="preserve">and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≥</w:t>
            </w:r>
            <w:r w:rsidRPr="000714A4">
              <w:rPr>
                <w:rFonts w:ascii="Arial" w:hAnsi="Arial" w:cs="Arial"/>
                <w:sz w:val="14"/>
                <w:szCs w:val="14"/>
              </w:rPr>
              <w:t>3 cm of</w:t>
            </w:r>
            <w:r w:rsidR="00FE3429">
              <w:rPr>
                <w:rFonts w:ascii="Arial" w:hAnsi="Arial" w:cs="Arial"/>
                <w:sz w:val="14"/>
                <w:szCs w:val="14"/>
              </w:rPr>
              <w:t xml:space="preserve"> macroscopic BE. </w:t>
            </w:r>
            <w:r w:rsidRPr="000714A4">
              <w:rPr>
                <w:rFonts w:ascii="Arial" w:hAnsi="Arial" w:cs="Arial"/>
                <w:sz w:val="14"/>
                <w:szCs w:val="14"/>
              </w:rPr>
              <w:t>Exclusions:</w:t>
            </w:r>
            <w:r w:rsidR="00FE34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714A4">
              <w:rPr>
                <w:rFonts w:ascii="Arial" w:hAnsi="Arial" w:cs="Arial"/>
                <w:sz w:val="14"/>
                <w:szCs w:val="14"/>
              </w:rPr>
              <w:t>dysplasia.</w:t>
            </w:r>
          </w:p>
        </w:tc>
        <w:tc>
          <w:tcPr>
            <w:tcW w:w="1009" w:type="dxa"/>
          </w:tcPr>
          <w:p w:rsidR="00316DEA" w:rsidRPr="000714A4" w:rsidRDefault="00316DEA" w:rsidP="00112E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14A4">
              <w:rPr>
                <w:rFonts w:ascii="Arial" w:hAnsi="Arial" w:cs="Arial"/>
                <w:sz w:val="14"/>
                <w:szCs w:val="14"/>
              </w:rPr>
              <w:t>229</w:t>
            </w:r>
          </w:p>
        </w:tc>
        <w:tc>
          <w:tcPr>
            <w:tcW w:w="2321" w:type="dxa"/>
          </w:tcPr>
          <w:p w:rsidR="00316DEA" w:rsidRPr="000714A4" w:rsidRDefault="00316DEA" w:rsidP="00281E7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714A4">
              <w:rPr>
                <w:rFonts w:ascii="Arial" w:hAnsi="Arial" w:cs="Arial"/>
                <w:sz w:val="14"/>
                <w:szCs w:val="14"/>
              </w:rPr>
              <w:t>Erosive esophagitis (incident and</w:t>
            </w:r>
            <w:r w:rsidR="00FE34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714A4">
              <w:rPr>
                <w:rFonts w:ascii="Arial" w:hAnsi="Arial" w:cs="Arial"/>
                <w:sz w:val="14"/>
                <w:szCs w:val="14"/>
              </w:rPr>
              <w:t>prevalent diagnoses):</w:t>
            </w:r>
            <w:r w:rsidR="00FE3429">
              <w:rPr>
                <w:rFonts w:ascii="Arial" w:hAnsi="Arial" w:cs="Arial"/>
                <w:sz w:val="14"/>
                <w:szCs w:val="14"/>
              </w:rPr>
              <w:t xml:space="preserve"> macroscopically diagnosed </w:t>
            </w:r>
            <w:r w:rsidRPr="000714A4">
              <w:rPr>
                <w:rFonts w:ascii="Arial" w:hAnsi="Arial" w:cs="Arial"/>
                <w:sz w:val="14"/>
                <w:szCs w:val="14"/>
              </w:rPr>
              <w:t>(grades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714A4">
              <w:rPr>
                <w:rFonts w:ascii="Arial" w:hAnsi="Arial" w:cs="Arial"/>
                <w:sz w:val="14"/>
                <w:szCs w:val="14"/>
              </w:rPr>
              <w:t xml:space="preserve">2–4 in the </w:t>
            </w:r>
            <w:proofErr w:type="spellStart"/>
            <w:r w:rsidR="00FE3429">
              <w:rPr>
                <w:rFonts w:ascii="Arial" w:hAnsi="Arial" w:cs="Arial"/>
                <w:sz w:val="14"/>
                <w:szCs w:val="14"/>
              </w:rPr>
              <w:t>Savary</w:t>
            </w:r>
            <w:proofErr w:type="spellEnd"/>
            <w:r w:rsidR="00FE34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714A4">
              <w:rPr>
                <w:rFonts w:ascii="Arial" w:hAnsi="Arial" w:cs="Arial"/>
                <w:sz w:val="14"/>
                <w:szCs w:val="14"/>
              </w:rPr>
              <w:t>Miller/Hetzel-Dent</w:t>
            </w:r>
            <w:r w:rsidR="00FE34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714A4">
              <w:rPr>
                <w:rFonts w:ascii="Arial" w:hAnsi="Arial" w:cs="Arial"/>
                <w:sz w:val="14"/>
                <w:szCs w:val="14"/>
              </w:rPr>
              <w:t>classification/grades B, C, or D in</w:t>
            </w:r>
            <w:r w:rsidR="00FE34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714A4">
              <w:rPr>
                <w:rFonts w:ascii="Arial" w:hAnsi="Arial" w:cs="Arial"/>
                <w:sz w:val="14"/>
                <w:szCs w:val="14"/>
              </w:rPr>
              <w:t>th</w:t>
            </w:r>
            <w:r w:rsidR="00FE3429">
              <w:rPr>
                <w:rFonts w:ascii="Arial" w:hAnsi="Arial" w:cs="Arial"/>
                <w:sz w:val="14"/>
                <w:szCs w:val="14"/>
              </w:rPr>
              <w:t xml:space="preserve">e LA classification), recruited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between September 2004-</w:t>
            </w:r>
            <w:r w:rsidR="00FE3429">
              <w:rPr>
                <w:rFonts w:ascii="Arial" w:hAnsi="Arial" w:cs="Arial"/>
                <w:sz w:val="14"/>
                <w:szCs w:val="14"/>
              </w:rPr>
              <w:t xml:space="preserve">July </w:t>
            </w:r>
            <w:r w:rsidRPr="000714A4">
              <w:rPr>
                <w:rFonts w:ascii="Arial" w:hAnsi="Arial" w:cs="Arial"/>
                <w:sz w:val="14"/>
                <w:szCs w:val="14"/>
              </w:rPr>
              <w:t>2005</w:t>
            </w:r>
            <w:proofErr w:type="gramEnd"/>
            <w:r w:rsidRPr="000714A4">
              <w:rPr>
                <w:rFonts w:ascii="Arial" w:hAnsi="Arial" w:cs="Arial"/>
                <w:sz w:val="14"/>
                <w:szCs w:val="14"/>
              </w:rPr>
              <w:t xml:space="preserve">. Exclusions: </w:t>
            </w:r>
            <w:proofErr w:type="gramStart"/>
            <w:r w:rsidRPr="000714A4">
              <w:rPr>
                <w:rFonts w:ascii="Arial" w:hAnsi="Arial" w:cs="Arial"/>
                <w:sz w:val="14"/>
                <w:szCs w:val="14"/>
              </w:rPr>
              <w:t>BE,</w:t>
            </w:r>
            <w:proofErr w:type="gramEnd"/>
            <w:r w:rsidR="00FE3429">
              <w:rPr>
                <w:rFonts w:ascii="Arial" w:hAnsi="Arial" w:cs="Arial"/>
                <w:sz w:val="14"/>
                <w:szCs w:val="14"/>
              </w:rPr>
              <w:t xml:space="preserve"> macroscopic or histologic </w:t>
            </w:r>
            <w:r w:rsidRPr="000714A4">
              <w:rPr>
                <w:rFonts w:ascii="Arial" w:hAnsi="Arial" w:cs="Arial"/>
                <w:sz w:val="14"/>
                <w:szCs w:val="14"/>
              </w:rPr>
              <w:t>evidence of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E3429">
              <w:rPr>
                <w:rFonts w:ascii="Arial" w:hAnsi="Arial" w:cs="Arial"/>
                <w:sz w:val="14"/>
                <w:szCs w:val="14"/>
              </w:rPr>
              <w:t xml:space="preserve">infection, </w:t>
            </w:r>
            <w:proofErr w:type="spellStart"/>
            <w:r w:rsidR="00FE3429">
              <w:rPr>
                <w:rFonts w:ascii="Arial" w:hAnsi="Arial" w:cs="Arial"/>
                <w:sz w:val="14"/>
                <w:szCs w:val="14"/>
              </w:rPr>
              <w:t>dysmotility</w:t>
            </w:r>
            <w:proofErr w:type="spellEnd"/>
            <w:r w:rsidR="00FE3429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0714A4">
              <w:rPr>
                <w:rFonts w:ascii="Arial" w:hAnsi="Arial" w:cs="Arial"/>
                <w:sz w:val="14"/>
                <w:szCs w:val="14"/>
              </w:rPr>
              <w:t>gastric outlet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E3429">
              <w:rPr>
                <w:rFonts w:ascii="Arial" w:hAnsi="Arial" w:cs="Arial"/>
                <w:sz w:val="14"/>
                <w:szCs w:val="14"/>
              </w:rPr>
              <w:t xml:space="preserve">obstruction. </w:t>
            </w:r>
            <w:r w:rsidRPr="000714A4">
              <w:rPr>
                <w:rFonts w:ascii="Arial" w:hAnsi="Arial" w:cs="Arial"/>
                <w:sz w:val="14"/>
                <w:szCs w:val="14"/>
              </w:rPr>
              <w:t>Frequency matched on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E3429">
              <w:rPr>
                <w:rFonts w:ascii="Arial" w:hAnsi="Arial" w:cs="Arial"/>
                <w:sz w:val="14"/>
                <w:szCs w:val="14"/>
              </w:rPr>
              <w:t xml:space="preserve">age and </w:t>
            </w:r>
            <w:r w:rsidRPr="000714A4">
              <w:rPr>
                <w:rFonts w:ascii="Arial" w:hAnsi="Arial" w:cs="Arial"/>
                <w:sz w:val="14"/>
                <w:szCs w:val="14"/>
              </w:rPr>
              <w:t>sex to the distribution of EA</w:t>
            </w:r>
            <w:r w:rsidR="00FE34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714A4">
              <w:rPr>
                <w:rFonts w:ascii="Arial" w:hAnsi="Arial" w:cs="Arial"/>
                <w:sz w:val="14"/>
                <w:szCs w:val="14"/>
              </w:rPr>
              <w:t>patients.</w:t>
            </w:r>
          </w:p>
        </w:tc>
        <w:tc>
          <w:tcPr>
            <w:tcW w:w="1463" w:type="dxa"/>
          </w:tcPr>
          <w:p w:rsidR="00316DEA" w:rsidRPr="000714A4" w:rsidRDefault="00316DEA" w:rsidP="00112E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14A4">
              <w:rPr>
                <w:rFonts w:ascii="Arial" w:hAnsi="Arial" w:cs="Arial"/>
                <w:sz w:val="14"/>
                <w:szCs w:val="14"/>
              </w:rPr>
              <w:t>253</w:t>
            </w:r>
          </w:p>
        </w:tc>
        <w:tc>
          <w:tcPr>
            <w:tcW w:w="2700" w:type="dxa"/>
          </w:tcPr>
          <w:p w:rsidR="00316DEA" w:rsidRPr="000714A4" w:rsidRDefault="00316DEA" w:rsidP="00FE342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714A4">
              <w:rPr>
                <w:rFonts w:ascii="Arial" w:hAnsi="Arial" w:cs="Arial"/>
                <w:sz w:val="14"/>
                <w:szCs w:val="14"/>
              </w:rPr>
              <w:t>Northern Ireland: selected at random</w:t>
            </w:r>
            <w:r w:rsidR="00FE34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714A4">
              <w:rPr>
                <w:rFonts w:ascii="Arial" w:hAnsi="Arial" w:cs="Arial"/>
                <w:sz w:val="14"/>
                <w:szCs w:val="14"/>
              </w:rPr>
              <w:t>from General Practice Master</w:t>
            </w:r>
            <w:r w:rsidR="00FE3429">
              <w:rPr>
                <w:rFonts w:ascii="Arial" w:hAnsi="Arial" w:cs="Arial"/>
                <w:sz w:val="14"/>
                <w:szCs w:val="14"/>
              </w:rPr>
              <w:t xml:space="preserve"> Index </w:t>
            </w:r>
            <w:r w:rsidRPr="000714A4">
              <w:rPr>
                <w:rFonts w:ascii="Arial" w:hAnsi="Arial" w:cs="Arial"/>
                <w:sz w:val="14"/>
                <w:szCs w:val="14"/>
              </w:rPr>
              <w:t>of each province. Republic</w:t>
            </w:r>
            <w:r w:rsidR="00FE3429">
              <w:rPr>
                <w:rFonts w:ascii="Arial" w:hAnsi="Arial" w:cs="Arial"/>
                <w:sz w:val="14"/>
                <w:szCs w:val="14"/>
              </w:rPr>
              <w:t xml:space="preserve"> of </w:t>
            </w:r>
            <w:r w:rsidRPr="000714A4">
              <w:rPr>
                <w:rFonts w:ascii="Arial" w:hAnsi="Arial" w:cs="Arial"/>
                <w:sz w:val="14"/>
                <w:szCs w:val="14"/>
              </w:rPr>
              <w:t>Ireland: selected at random</w:t>
            </w:r>
            <w:r w:rsidR="00FE3429">
              <w:rPr>
                <w:rFonts w:ascii="Arial" w:hAnsi="Arial" w:cs="Arial"/>
                <w:sz w:val="14"/>
                <w:szCs w:val="14"/>
              </w:rPr>
              <w:t xml:space="preserve"> from 4 </w:t>
            </w:r>
            <w:r w:rsidRPr="000714A4">
              <w:rPr>
                <w:rFonts w:ascii="Arial" w:hAnsi="Arial" w:cs="Arial"/>
                <w:sz w:val="14"/>
                <w:szCs w:val="14"/>
              </w:rPr>
              <w:t>general practices to reflect</w:t>
            </w:r>
            <w:r w:rsidR="00FE3429">
              <w:rPr>
                <w:rFonts w:ascii="Arial" w:hAnsi="Arial" w:cs="Arial"/>
                <w:sz w:val="14"/>
                <w:szCs w:val="14"/>
              </w:rPr>
              <w:t xml:space="preserve"> the </w:t>
            </w:r>
            <w:r w:rsidRPr="000714A4">
              <w:rPr>
                <w:rFonts w:ascii="Arial" w:hAnsi="Arial" w:cs="Arial"/>
                <w:sz w:val="14"/>
                <w:szCs w:val="14"/>
              </w:rPr>
              <w:t>urban/rural distribution of EA</w:t>
            </w:r>
            <w:r w:rsidR="00FE34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714A4">
              <w:rPr>
                <w:rFonts w:ascii="Arial" w:hAnsi="Arial" w:cs="Arial"/>
                <w:sz w:val="14"/>
                <w:szCs w:val="14"/>
              </w:rPr>
              <w:t>pa</w:t>
            </w:r>
            <w:r w:rsidR="00FE3429">
              <w:rPr>
                <w:rFonts w:ascii="Arial" w:hAnsi="Arial" w:cs="Arial"/>
                <w:sz w:val="14"/>
                <w:szCs w:val="14"/>
              </w:rPr>
              <w:t xml:space="preserve">tients </w:t>
            </w:r>
            <w:r w:rsidRPr="000714A4">
              <w:rPr>
                <w:rFonts w:ascii="Arial" w:hAnsi="Arial" w:cs="Arial"/>
                <w:sz w:val="14"/>
                <w:szCs w:val="14"/>
              </w:rPr>
              <w:t>in the Republic of Ireland.</w:t>
            </w:r>
            <w:r w:rsidR="00FE3429">
              <w:rPr>
                <w:rFonts w:ascii="Arial" w:hAnsi="Arial" w:cs="Arial"/>
                <w:sz w:val="14"/>
                <w:szCs w:val="14"/>
              </w:rPr>
              <w:t xml:space="preserve"> Frequency </w:t>
            </w:r>
            <w:r w:rsidRPr="000714A4">
              <w:rPr>
                <w:rFonts w:ascii="Arial" w:hAnsi="Arial" w:cs="Arial"/>
                <w:sz w:val="14"/>
                <w:szCs w:val="14"/>
              </w:rPr>
              <w:t>matched on age and</w:t>
            </w:r>
            <w:r w:rsidR="00FE3429">
              <w:rPr>
                <w:rFonts w:ascii="Arial" w:hAnsi="Arial" w:cs="Arial"/>
                <w:sz w:val="14"/>
                <w:szCs w:val="14"/>
              </w:rPr>
              <w:t xml:space="preserve"> sex to the </w:t>
            </w:r>
            <w:r w:rsidRPr="000714A4">
              <w:rPr>
                <w:rFonts w:ascii="Arial" w:hAnsi="Arial" w:cs="Arial"/>
                <w:sz w:val="14"/>
                <w:szCs w:val="14"/>
              </w:rPr>
              <w:t>distribution of EA</w:t>
            </w:r>
            <w:r w:rsidR="00FE3429">
              <w:rPr>
                <w:rFonts w:ascii="Arial" w:hAnsi="Arial" w:cs="Arial"/>
                <w:sz w:val="14"/>
                <w:szCs w:val="14"/>
              </w:rPr>
              <w:t xml:space="preserve"> patients. Recruited </w:t>
            </w:r>
            <w:r w:rsidRPr="000714A4">
              <w:rPr>
                <w:rFonts w:ascii="Arial" w:hAnsi="Arial" w:cs="Arial"/>
                <w:sz w:val="14"/>
                <w:szCs w:val="14"/>
              </w:rPr>
              <w:t>from the island</w:t>
            </w:r>
            <w:r w:rsidR="00FE3429">
              <w:rPr>
                <w:rFonts w:ascii="Arial" w:hAnsi="Arial" w:cs="Arial"/>
                <w:sz w:val="14"/>
                <w:szCs w:val="14"/>
              </w:rPr>
              <w:t xml:space="preserve"> of Ireland </w:t>
            </w:r>
            <w:proofErr w:type="gramStart"/>
            <w:r w:rsidR="00FE3429">
              <w:rPr>
                <w:rFonts w:ascii="Arial" w:hAnsi="Arial" w:cs="Arial"/>
                <w:sz w:val="14"/>
                <w:szCs w:val="14"/>
              </w:rPr>
              <w:t xml:space="preserve">between </w:t>
            </w:r>
            <w:r w:rsidRPr="000714A4">
              <w:rPr>
                <w:rFonts w:ascii="Arial" w:hAnsi="Arial" w:cs="Arial"/>
                <w:sz w:val="14"/>
                <w:szCs w:val="14"/>
              </w:rPr>
              <w:t>March 2002–December 2000</w:t>
            </w:r>
            <w:proofErr w:type="gramEnd"/>
            <w:r w:rsidRPr="000714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316DEA" w:rsidRPr="000714A4" w:rsidTr="00956B0C">
        <w:tc>
          <w:tcPr>
            <w:tcW w:w="2065" w:type="dxa"/>
          </w:tcPr>
          <w:p w:rsidR="00D07D55" w:rsidRDefault="00D07D55" w:rsidP="00281E75">
            <w:pPr>
              <w:rPr>
                <w:rFonts w:ascii="Arial" w:hAnsi="Arial" w:cs="Arial"/>
                <w:sz w:val="14"/>
                <w:szCs w:val="14"/>
              </w:rPr>
            </w:pPr>
            <w:r w:rsidRPr="00D07D55">
              <w:rPr>
                <w:rFonts w:ascii="Arial" w:hAnsi="Arial" w:cs="Arial"/>
                <w:sz w:val="14"/>
                <w:szCs w:val="14"/>
              </w:rPr>
              <w:t>Epidemiologic Case-Control Study of Barrett’s Esophagus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</w:p>
          <w:p w:rsidR="00316DEA" w:rsidRPr="000714A4" w:rsidRDefault="00316DEA" w:rsidP="00D07D55">
            <w:pPr>
              <w:rPr>
                <w:rFonts w:ascii="Arial" w:hAnsi="Arial" w:cs="Arial"/>
                <w:sz w:val="14"/>
                <w:szCs w:val="14"/>
              </w:rPr>
            </w:pPr>
            <w:r w:rsidRPr="000714A4">
              <w:rPr>
                <w:rFonts w:ascii="Arial" w:hAnsi="Arial" w:cs="Arial"/>
                <w:sz w:val="14"/>
                <w:szCs w:val="14"/>
              </w:rPr>
              <w:t>Chapel Hill</w:t>
            </w:r>
            <w:r w:rsidR="00D07D55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0714A4">
              <w:rPr>
                <w:rFonts w:ascii="Arial" w:hAnsi="Arial" w:cs="Arial"/>
                <w:sz w:val="14"/>
                <w:szCs w:val="14"/>
              </w:rPr>
              <w:t>North Carolina, USA</w:t>
            </w:r>
          </w:p>
        </w:tc>
        <w:tc>
          <w:tcPr>
            <w:tcW w:w="937" w:type="dxa"/>
          </w:tcPr>
          <w:p w:rsidR="00316DEA" w:rsidRPr="000714A4" w:rsidRDefault="00316DEA" w:rsidP="00112E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14A4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2393" w:type="dxa"/>
          </w:tcPr>
          <w:p w:rsidR="00316DEA" w:rsidRPr="000714A4" w:rsidRDefault="00316DEA" w:rsidP="00FE342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714A4">
              <w:rPr>
                <w:rFonts w:ascii="Arial" w:hAnsi="Arial" w:cs="Arial"/>
                <w:sz w:val="14"/>
                <w:szCs w:val="14"/>
              </w:rPr>
              <w:t>Incident and prevalent cases</w:t>
            </w:r>
            <w:r w:rsidR="00FE34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714A4">
              <w:rPr>
                <w:rFonts w:ascii="Arial" w:hAnsi="Arial" w:cs="Arial"/>
                <w:sz w:val="14"/>
                <w:szCs w:val="14"/>
              </w:rPr>
              <w:t>recruited from an endoscopy</w:t>
            </w:r>
            <w:r w:rsidR="00FE34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714A4">
              <w:rPr>
                <w:rFonts w:ascii="Arial" w:hAnsi="Arial" w:cs="Arial"/>
                <w:sz w:val="14"/>
                <w:szCs w:val="14"/>
              </w:rPr>
              <w:t>clinic-based study between 2001</w:t>
            </w:r>
            <w:r w:rsidR="00FE34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714A4">
              <w:rPr>
                <w:rFonts w:ascii="Arial" w:hAnsi="Arial" w:cs="Arial"/>
                <w:sz w:val="14"/>
                <w:szCs w:val="14"/>
              </w:rPr>
              <w:t>and 2006. SIM and any length of</w:t>
            </w:r>
            <w:r w:rsidR="00FE34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714A4">
              <w:rPr>
                <w:rFonts w:ascii="Arial" w:hAnsi="Arial" w:cs="Arial"/>
                <w:sz w:val="14"/>
                <w:szCs w:val="14"/>
              </w:rPr>
              <w:t xml:space="preserve">macroscopic </w:t>
            </w:r>
            <w:proofErr w:type="gramStart"/>
            <w:r w:rsidRPr="000714A4">
              <w:rPr>
                <w:rFonts w:ascii="Arial" w:hAnsi="Arial" w:cs="Arial"/>
                <w:sz w:val="14"/>
                <w:szCs w:val="14"/>
              </w:rPr>
              <w:t>BE</w:t>
            </w:r>
            <w:proofErr w:type="gramEnd"/>
            <w:r w:rsidRPr="000714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009" w:type="dxa"/>
          </w:tcPr>
          <w:p w:rsidR="00316DEA" w:rsidRPr="000714A4" w:rsidRDefault="00316DEA" w:rsidP="00112E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14A4">
              <w:rPr>
                <w:rFonts w:ascii="Arial" w:hAnsi="Arial" w:cs="Arial"/>
                <w:sz w:val="14"/>
                <w:szCs w:val="14"/>
              </w:rPr>
              <w:t>270</w:t>
            </w:r>
          </w:p>
        </w:tc>
        <w:tc>
          <w:tcPr>
            <w:tcW w:w="2321" w:type="dxa"/>
          </w:tcPr>
          <w:p w:rsidR="00316DEA" w:rsidRPr="000714A4" w:rsidRDefault="00316DEA" w:rsidP="00281E7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714A4">
              <w:rPr>
                <w:rFonts w:ascii="Arial" w:hAnsi="Arial" w:cs="Arial"/>
                <w:sz w:val="14"/>
                <w:szCs w:val="14"/>
              </w:rPr>
              <w:t>GERD diagnosed by a physician:</w:t>
            </w:r>
            <w:r w:rsidR="00FE3429">
              <w:rPr>
                <w:rFonts w:ascii="Arial" w:hAnsi="Arial" w:cs="Arial"/>
                <w:sz w:val="14"/>
                <w:szCs w:val="14"/>
              </w:rPr>
              <w:t xml:space="preserve"> referred for endoscopy due to </w:t>
            </w:r>
            <w:r w:rsidRPr="000714A4">
              <w:rPr>
                <w:rFonts w:ascii="Arial" w:hAnsi="Arial" w:cs="Arial"/>
                <w:sz w:val="14"/>
                <w:szCs w:val="14"/>
              </w:rPr>
              <w:t>reflux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714A4">
              <w:rPr>
                <w:rFonts w:ascii="Arial" w:hAnsi="Arial" w:cs="Arial"/>
                <w:sz w:val="14"/>
                <w:szCs w:val="14"/>
              </w:rPr>
              <w:t>symptoms, but negative for</w:t>
            </w:r>
            <w:r w:rsidR="00FE3429">
              <w:rPr>
                <w:rFonts w:ascii="Arial" w:hAnsi="Arial" w:cs="Arial"/>
                <w:sz w:val="14"/>
                <w:szCs w:val="14"/>
              </w:rPr>
              <w:t xml:space="preserve"> macroscopic BE and SIM. 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Pr="000714A4">
              <w:rPr>
                <w:rFonts w:ascii="Arial" w:hAnsi="Arial" w:cs="Arial"/>
                <w:sz w:val="14"/>
                <w:szCs w:val="14"/>
              </w:rPr>
              <w:t>ampled in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E3429">
              <w:rPr>
                <w:rFonts w:ascii="Arial" w:hAnsi="Arial" w:cs="Arial"/>
                <w:sz w:val="14"/>
                <w:szCs w:val="14"/>
              </w:rPr>
              <w:t xml:space="preserve">2:1 ratio to BE </w:t>
            </w:r>
            <w:r w:rsidRPr="000714A4">
              <w:rPr>
                <w:rFonts w:ascii="Arial" w:hAnsi="Arial" w:cs="Arial"/>
                <w:sz w:val="14"/>
                <w:szCs w:val="14"/>
              </w:rPr>
              <w:t>subjects.</w:t>
            </w:r>
          </w:p>
        </w:tc>
        <w:tc>
          <w:tcPr>
            <w:tcW w:w="1463" w:type="dxa"/>
          </w:tcPr>
          <w:p w:rsidR="00316DEA" w:rsidRPr="000714A4" w:rsidRDefault="00316DEA" w:rsidP="00112E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14A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700" w:type="dxa"/>
          </w:tcPr>
          <w:p w:rsidR="00316DEA" w:rsidRPr="000714A4" w:rsidRDefault="00316DEA" w:rsidP="00281E75">
            <w:pPr>
              <w:rPr>
                <w:rFonts w:ascii="Arial" w:hAnsi="Arial" w:cs="Arial"/>
                <w:sz w:val="14"/>
                <w:szCs w:val="14"/>
              </w:rPr>
            </w:pPr>
            <w:r w:rsidRPr="000714A4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</w:tr>
      <w:tr w:rsidR="00316DEA" w:rsidRPr="000714A4" w:rsidTr="00956B0C">
        <w:tc>
          <w:tcPr>
            <w:tcW w:w="2065" w:type="dxa"/>
          </w:tcPr>
          <w:p w:rsidR="00316DEA" w:rsidRPr="00F06B2B" w:rsidRDefault="00316DEA" w:rsidP="00281E75">
            <w:pPr>
              <w:rPr>
                <w:rFonts w:ascii="Arial" w:hAnsi="Arial" w:cs="Arial"/>
                <w:sz w:val="14"/>
                <w:szCs w:val="14"/>
              </w:rPr>
            </w:pPr>
            <w:r w:rsidRPr="00F06B2B">
              <w:rPr>
                <w:rFonts w:ascii="Arial" w:hAnsi="Arial" w:cs="Arial"/>
                <w:sz w:val="14"/>
                <w:szCs w:val="14"/>
              </w:rPr>
              <w:t>Houston VA-study,</w:t>
            </w:r>
          </w:p>
          <w:p w:rsidR="00316DEA" w:rsidRPr="000714A4" w:rsidRDefault="00316DEA" w:rsidP="00281E75">
            <w:pPr>
              <w:rPr>
                <w:rFonts w:ascii="Arial" w:hAnsi="Arial" w:cs="Arial"/>
                <w:sz w:val="14"/>
                <w:szCs w:val="14"/>
              </w:rPr>
            </w:pPr>
            <w:r w:rsidRPr="00F06B2B">
              <w:rPr>
                <w:rFonts w:ascii="Arial" w:hAnsi="Arial" w:cs="Arial"/>
                <w:sz w:val="14"/>
                <w:szCs w:val="14"/>
              </w:rPr>
              <w:t>Houston, Texas, USA</w:t>
            </w:r>
          </w:p>
        </w:tc>
        <w:tc>
          <w:tcPr>
            <w:tcW w:w="937" w:type="dxa"/>
          </w:tcPr>
          <w:p w:rsidR="00316DEA" w:rsidRPr="000714A4" w:rsidRDefault="00316DEA" w:rsidP="00112E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14A4">
              <w:rPr>
                <w:rFonts w:ascii="Arial" w:hAnsi="Arial" w:cs="Arial"/>
                <w:sz w:val="14"/>
                <w:szCs w:val="14"/>
              </w:rPr>
              <w:t>289</w:t>
            </w:r>
          </w:p>
        </w:tc>
        <w:tc>
          <w:tcPr>
            <w:tcW w:w="2393" w:type="dxa"/>
          </w:tcPr>
          <w:p w:rsidR="00316DEA" w:rsidRPr="000714A4" w:rsidRDefault="00316DEA" w:rsidP="009D16B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Incident and prevalent cases recruited from</w:t>
            </w:r>
            <w:r w:rsidR="009D16BE">
              <w:rPr>
                <w:rFonts w:ascii="Arial" w:hAnsi="Arial" w:cs="Arial"/>
                <w:sz w:val="14"/>
                <w:szCs w:val="14"/>
              </w:rPr>
              <w:t xml:space="preserve"> primary care and endoscopy clinics at the Michael E. DeBakey Medical Center, </w:t>
            </w:r>
            <w:r>
              <w:rPr>
                <w:rFonts w:ascii="Arial" w:hAnsi="Arial" w:cs="Arial"/>
                <w:sz w:val="14"/>
                <w:szCs w:val="14"/>
              </w:rPr>
              <w:t>Houston</w:t>
            </w:r>
            <w:r w:rsidR="009D16BE">
              <w:rPr>
                <w:rFonts w:ascii="Arial" w:hAnsi="Arial" w:cs="Arial"/>
                <w:sz w:val="14"/>
                <w:szCs w:val="14"/>
              </w:rPr>
              <w:t xml:space="preserve"> TX, </w:t>
            </w:r>
            <w:proofErr w:type="gramStart"/>
            <w:r w:rsidR="009D16BE">
              <w:rPr>
                <w:rFonts w:ascii="Arial" w:hAnsi="Arial" w:cs="Arial"/>
                <w:sz w:val="14"/>
                <w:szCs w:val="14"/>
              </w:rPr>
              <w:t>Feb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  <w:r w:rsidR="009D16BE">
              <w:rPr>
                <w:rFonts w:ascii="Arial" w:hAnsi="Arial" w:cs="Arial"/>
                <w:sz w:val="14"/>
                <w:szCs w:val="14"/>
              </w:rPr>
              <w:t>uary</w:t>
            </w:r>
            <w:proofErr w:type="gramEnd"/>
            <w:r w:rsidR="009D16BE">
              <w:rPr>
                <w:rFonts w:ascii="Arial" w:hAnsi="Arial" w:cs="Arial"/>
                <w:sz w:val="14"/>
                <w:szCs w:val="14"/>
              </w:rPr>
              <w:t xml:space="preserve"> 2008</w:t>
            </w:r>
            <w:r w:rsidR="009D16BE">
              <w:rPr>
                <w:rFonts w:ascii="Arial" w:hAnsi="Arial" w:cs="Arial"/>
                <w:sz w:val="14"/>
                <w:szCs w:val="14"/>
              </w:rPr>
              <w:t>–</w:t>
            </w:r>
            <w:r w:rsidR="009D16BE">
              <w:rPr>
                <w:rFonts w:ascii="Arial" w:hAnsi="Arial" w:cs="Arial"/>
                <w:sz w:val="14"/>
                <w:szCs w:val="14"/>
              </w:rPr>
              <w:t>August 2013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9D16BE" w:rsidRPr="000714A4">
              <w:rPr>
                <w:rFonts w:ascii="Arial" w:hAnsi="Arial" w:cs="Arial"/>
                <w:sz w:val="14"/>
                <w:szCs w:val="14"/>
              </w:rPr>
              <w:t>SIM and any length of</w:t>
            </w:r>
            <w:r w:rsidR="009D16B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D16BE" w:rsidRPr="000714A4">
              <w:rPr>
                <w:rFonts w:ascii="Arial" w:hAnsi="Arial" w:cs="Arial"/>
                <w:sz w:val="14"/>
                <w:szCs w:val="14"/>
              </w:rPr>
              <w:t xml:space="preserve">macroscopic </w:t>
            </w:r>
            <w:proofErr w:type="gramStart"/>
            <w:r w:rsidR="009D16BE" w:rsidRPr="000714A4">
              <w:rPr>
                <w:rFonts w:ascii="Arial" w:hAnsi="Arial" w:cs="Arial"/>
                <w:sz w:val="14"/>
                <w:szCs w:val="14"/>
              </w:rPr>
              <w:t>BE</w:t>
            </w:r>
            <w:proofErr w:type="gramEnd"/>
            <w:r w:rsidR="009D16BE" w:rsidRPr="000714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009" w:type="dxa"/>
          </w:tcPr>
          <w:p w:rsidR="00316DEA" w:rsidRPr="000714A4" w:rsidRDefault="00316DEA" w:rsidP="00112E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14A4">
              <w:rPr>
                <w:rFonts w:ascii="Arial" w:hAnsi="Arial" w:cs="Arial"/>
                <w:sz w:val="14"/>
                <w:szCs w:val="14"/>
              </w:rPr>
              <w:t>857</w:t>
            </w:r>
          </w:p>
        </w:tc>
        <w:tc>
          <w:tcPr>
            <w:tcW w:w="2321" w:type="dxa"/>
          </w:tcPr>
          <w:p w:rsidR="00316DEA" w:rsidRPr="000714A4" w:rsidRDefault="004B3970" w:rsidP="004B39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Patients recruited from endoscopy clinics </w:t>
            </w:r>
            <w:r>
              <w:rPr>
                <w:rFonts w:ascii="Arial" w:hAnsi="Arial" w:cs="Arial"/>
                <w:sz w:val="14"/>
                <w:szCs w:val="14"/>
              </w:rPr>
              <w:t xml:space="preserve">at the Michael E. DeBakey Medical Center, Houston TX. </w:t>
            </w:r>
            <w:r>
              <w:rPr>
                <w:rFonts w:ascii="Arial" w:hAnsi="Arial" w:cs="Arial"/>
                <w:sz w:val="14"/>
                <w:szCs w:val="14"/>
              </w:rPr>
              <w:t>GERD c</w:t>
            </w:r>
            <w:r>
              <w:rPr>
                <w:rFonts w:ascii="Arial" w:hAnsi="Arial" w:cs="Arial"/>
                <w:sz w:val="14"/>
                <w:szCs w:val="14"/>
              </w:rPr>
              <w:t xml:space="preserve">ontrols underwent a study EGD and were negative for esophageal </w:t>
            </w:r>
            <w:r w:rsidRPr="000714A4">
              <w:rPr>
                <w:rFonts w:ascii="Arial" w:hAnsi="Arial" w:cs="Arial"/>
                <w:sz w:val="14"/>
                <w:szCs w:val="14"/>
              </w:rPr>
              <w:t>columnar metaplasia of any type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463" w:type="dxa"/>
          </w:tcPr>
          <w:p w:rsidR="00316DEA" w:rsidRPr="000714A4" w:rsidRDefault="00316DEA" w:rsidP="00112E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14A4">
              <w:rPr>
                <w:rFonts w:ascii="Arial" w:hAnsi="Arial" w:cs="Arial"/>
                <w:sz w:val="14"/>
                <w:szCs w:val="14"/>
              </w:rPr>
              <w:t>278</w:t>
            </w:r>
          </w:p>
        </w:tc>
        <w:tc>
          <w:tcPr>
            <w:tcW w:w="2700" w:type="dxa"/>
          </w:tcPr>
          <w:p w:rsidR="00316DEA" w:rsidRPr="000714A4" w:rsidRDefault="009D16BE" w:rsidP="00281E7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Randomly selected from seven primary care clinics </w:t>
            </w:r>
            <w:r>
              <w:rPr>
                <w:rFonts w:ascii="Arial" w:hAnsi="Arial" w:cs="Arial"/>
                <w:sz w:val="14"/>
                <w:szCs w:val="14"/>
              </w:rPr>
              <w:t>at the Michael E. DeBakey Medical Center, Houston TX</w:t>
            </w:r>
            <w:r w:rsidR="004B3970">
              <w:rPr>
                <w:rFonts w:ascii="Arial" w:hAnsi="Arial" w:cs="Arial"/>
                <w:sz w:val="14"/>
                <w:szCs w:val="14"/>
              </w:rPr>
              <w:t xml:space="preserve">. Controls underwent a study EGD and were </w:t>
            </w:r>
            <w:r w:rsidR="004B3970">
              <w:rPr>
                <w:rFonts w:ascii="Arial" w:hAnsi="Arial" w:cs="Arial"/>
                <w:sz w:val="14"/>
                <w:szCs w:val="14"/>
              </w:rPr>
              <w:t xml:space="preserve">negative for esophageal </w:t>
            </w:r>
            <w:r w:rsidR="004B3970" w:rsidRPr="000714A4">
              <w:rPr>
                <w:rFonts w:ascii="Arial" w:hAnsi="Arial" w:cs="Arial"/>
                <w:sz w:val="14"/>
                <w:szCs w:val="14"/>
              </w:rPr>
              <w:t>columnar metaplasia of any type</w:t>
            </w:r>
            <w:r w:rsidR="004B3970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206D7B" w:rsidRPr="00112EB2" w:rsidRDefault="00316DEA" w:rsidP="00956B0C">
      <w:pPr>
        <w:autoSpaceDE w:val="0"/>
        <w:autoSpaceDN w:val="0"/>
        <w:adjustRightInd w:val="0"/>
        <w:spacing w:after="0" w:line="240" w:lineRule="auto"/>
        <w:ind w:right="1620"/>
        <w:rPr>
          <w:rFonts w:ascii="Arial" w:hAnsi="Arial" w:cs="Arial"/>
          <w:sz w:val="16"/>
          <w:szCs w:val="16"/>
        </w:rPr>
      </w:pPr>
      <w:r w:rsidRPr="00112EB2">
        <w:rPr>
          <w:rFonts w:ascii="Arial" w:hAnsi="Arial" w:cs="Arial"/>
          <w:sz w:val="16"/>
          <w:szCs w:val="16"/>
        </w:rPr>
        <w:t xml:space="preserve">BE, Barrett’s esophagus; </w:t>
      </w:r>
      <w:r w:rsidR="00D07D55">
        <w:rPr>
          <w:rFonts w:ascii="Arial" w:hAnsi="Arial" w:cs="Arial"/>
          <w:sz w:val="16"/>
          <w:szCs w:val="16"/>
        </w:rPr>
        <w:t xml:space="preserve">BEACON, Barrett’s and Esophageal Adenocarcinoma Consortium; </w:t>
      </w:r>
      <w:r w:rsidRPr="00112EB2">
        <w:rPr>
          <w:rFonts w:ascii="Arial" w:hAnsi="Arial" w:cs="Arial"/>
          <w:sz w:val="16"/>
          <w:szCs w:val="16"/>
        </w:rPr>
        <w:t xml:space="preserve">EA, esophageal adenocarcinoma; EGD, esophagogastroduodenoscopy; </w:t>
      </w:r>
      <w:r w:rsidR="00817BE4">
        <w:rPr>
          <w:rFonts w:ascii="Arial" w:hAnsi="Arial" w:cs="Arial"/>
          <w:sz w:val="16"/>
          <w:szCs w:val="16"/>
        </w:rPr>
        <w:t xml:space="preserve">GERD, gastroesophageal reflux disease; </w:t>
      </w:r>
      <w:r w:rsidRPr="00112EB2">
        <w:rPr>
          <w:rFonts w:ascii="Arial" w:hAnsi="Arial" w:cs="Arial"/>
          <w:sz w:val="16"/>
          <w:szCs w:val="16"/>
        </w:rPr>
        <w:t>H2RA, H2-receptor antagonists; ICD-9, International Classification of Diseases, 9th revision; N</w:t>
      </w:r>
      <w:r w:rsidR="00D07D55">
        <w:rPr>
          <w:rFonts w:ascii="Arial" w:hAnsi="Arial" w:cs="Arial"/>
          <w:sz w:val="16"/>
          <w:szCs w:val="16"/>
        </w:rPr>
        <w:t>/</w:t>
      </w:r>
      <w:r w:rsidRPr="00112EB2">
        <w:rPr>
          <w:rFonts w:ascii="Arial" w:hAnsi="Arial" w:cs="Arial"/>
          <w:sz w:val="16"/>
          <w:szCs w:val="16"/>
        </w:rPr>
        <w:t>A, not available; PPI, proton pump inhibitors; SIM, specialized intestinal metaplasia.</w:t>
      </w:r>
    </w:p>
    <w:sectPr w:rsidR="00206D7B" w:rsidRPr="00112EB2" w:rsidSect="00956B0C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B0C" w:rsidRDefault="00956B0C" w:rsidP="00956B0C">
      <w:pPr>
        <w:spacing w:after="0" w:line="240" w:lineRule="auto"/>
      </w:pPr>
      <w:r>
        <w:separator/>
      </w:r>
    </w:p>
  </w:endnote>
  <w:endnote w:type="continuationSeparator" w:id="0">
    <w:p w:rsidR="00956B0C" w:rsidRDefault="00956B0C" w:rsidP="0095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3263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</w:rPr>
    </w:sdtEndPr>
    <w:sdtContent>
      <w:p w:rsidR="00956B0C" w:rsidRPr="00956B0C" w:rsidRDefault="00956B0C">
        <w:pPr>
          <w:pStyle w:val="Footer"/>
          <w:jc w:val="right"/>
          <w:rPr>
            <w:rFonts w:ascii="Arial" w:hAnsi="Arial" w:cs="Arial"/>
            <w:sz w:val="16"/>
          </w:rPr>
        </w:pPr>
        <w:r w:rsidRPr="00956B0C">
          <w:rPr>
            <w:rFonts w:ascii="Arial" w:hAnsi="Arial" w:cs="Arial"/>
            <w:sz w:val="16"/>
          </w:rPr>
          <w:fldChar w:fldCharType="begin"/>
        </w:r>
        <w:r w:rsidRPr="00956B0C">
          <w:rPr>
            <w:rFonts w:ascii="Arial" w:hAnsi="Arial" w:cs="Arial"/>
            <w:sz w:val="16"/>
          </w:rPr>
          <w:instrText xml:space="preserve"> PAGE   \* MERGEFORMAT </w:instrText>
        </w:r>
        <w:r w:rsidRPr="00956B0C">
          <w:rPr>
            <w:rFonts w:ascii="Arial" w:hAnsi="Arial" w:cs="Arial"/>
            <w:sz w:val="16"/>
          </w:rPr>
          <w:fldChar w:fldCharType="separate"/>
        </w:r>
        <w:r>
          <w:rPr>
            <w:rFonts w:ascii="Arial" w:hAnsi="Arial" w:cs="Arial"/>
            <w:noProof/>
            <w:sz w:val="16"/>
          </w:rPr>
          <w:t>1</w:t>
        </w:r>
        <w:r w:rsidRPr="00956B0C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956B0C" w:rsidRDefault="00956B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B0C" w:rsidRDefault="00956B0C" w:rsidP="00956B0C">
      <w:pPr>
        <w:spacing w:after="0" w:line="240" w:lineRule="auto"/>
      </w:pPr>
      <w:r>
        <w:separator/>
      </w:r>
    </w:p>
  </w:footnote>
  <w:footnote w:type="continuationSeparator" w:id="0">
    <w:p w:rsidR="00956B0C" w:rsidRDefault="00956B0C" w:rsidP="00956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EA"/>
    <w:rsid w:val="00112EB2"/>
    <w:rsid w:val="00206D7B"/>
    <w:rsid w:val="00316DEA"/>
    <w:rsid w:val="004B3970"/>
    <w:rsid w:val="00817BE4"/>
    <w:rsid w:val="00834219"/>
    <w:rsid w:val="00956B0C"/>
    <w:rsid w:val="009D16BE"/>
    <w:rsid w:val="00D07D55"/>
    <w:rsid w:val="00DA7812"/>
    <w:rsid w:val="00F06B2B"/>
    <w:rsid w:val="00F21E8C"/>
    <w:rsid w:val="00FE3429"/>
    <w:rsid w:val="00F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DEA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DEA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6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B0C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956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B0C"/>
    <w:rPr>
      <w:rFonts w:eastAsia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DEA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DEA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6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B0C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956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B0C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14845-A243-4052-A4D8-75D8E4C8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Thrift, Aaron Peter</dc:creator>
  <cp:lastModifiedBy>Thrift, Aaron Peter</cp:lastModifiedBy>
  <cp:revision>11</cp:revision>
  <dcterms:created xsi:type="dcterms:W3CDTF">2017-12-05T12:45:00Z</dcterms:created>
  <dcterms:modified xsi:type="dcterms:W3CDTF">2017-12-05T13:24:00Z</dcterms:modified>
</cp:coreProperties>
</file>