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7191D" w14:textId="77777777" w:rsidR="009A239D" w:rsidRPr="00706C27" w:rsidRDefault="004E45EE" w:rsidP="009A239D">
      <w:pPr>
        <w:rPr>
          <w:rFonts w:ascii="Arial" w:hAnsi="Arial" w:cs="Arial"/>
          <w:b/>
        </w:rPr>
      </w:pPr>
      <w:r w:rsidRPr="00706C27">
        <w:rPr>
          <w:rFonts w:ascii="Arial" w:hAnsi="Arial" w:cs="Arial"/>
          <w:b/>
        </w:rPr>
        <w:t>Supplementary Materials and Methods</w:t>
      </w:r>
    </w:p>
    <w:p w14:paraId="30AB2D3A" w14:textId="77777777" w:rsidR="004E45EE" w:rsidRPr="00706C27" w:rsidRDefault="004E45EE" w:rsidP="009A239D">
      <w:pPr>
        <w:rPr>
          <w:rFonts w:ascii="Arial" w:hAnsi="Arial" w:cs="Arial"/>
        </w:rPr>
      </w:pPr>
    </w:p>
    <w:p w14:paraId="31F2CCAF" w14:textId="77777777" w:rsidR="004E45EE" w:rsidRPr="00706C27" w:rsidRDefault="004E45EE" w:rsidP="009A239D">
      <w:pPr>
        <w:rPr>
          <w:rFonts w:ascii="Arial" w:hAnsi="Arial" w:cs="Arial"/>
        </w:rPr>
      </w:pPr>
    </w:p>
    <w:p w14:paraId="4AA31B68" w14:textId="77777777" w:rsidR="009A239D" w:rsidRPr="00706C27" w:rsidRDefault="004E45EE" w:rsidP="009A239D">
      <w:pPr>
        <w:rPr>
          <w:rFonts w:ascii="Arial" w:hAnsi="Arial" w:cs="Arial"/>
        </w:rPr>
      </w:pPr>
      <w:r w:rsidRPr="00706C27">
        <w:rPr>
          <w:rFonts w:ascii="Arial" w:hAnsi="Arial" w:cs="Arial"/>
        </w:rPr>
        <w:t>RRBS</w:t>
      </w:r>
      <w:r w:rsidR="00735FAF" w:rsidRPr="00706C27">
        <w:rPr>
          <w:rFonts w:ascii="Arial" w:hAnsi="Arial" w:cs="Arial"/>
        </w:rPr>
        <w:t xml:space="preserve"> (Step 1a)</w:t>
      </w:r>
    </w:p>
    <w:p w14:paraId="6E5F49B5" w14:textId="77777777" w:rsidR="004E45EE" w:rsidRPr="00706C27" w:rsidRDefault="004E45EE" w:rsidP="009A239D">
      <w:pPr>
        <w:rPr>
          <w:rFonts w:ascii="Arial" w:hAnsi="Arial" w:cs="Arial"/>
        </w:rPr>
      </w:pPr>
    </w:p>
    <w:p w14:paraId="589B984B" w14:textId="77777777" w:rsidR="009A239D" w:rsidRPr="00706C27" w:rsidRDefault="004E45EE" w:rsidP="00472AF7">
      <w:pPr>
        <w:ind w:firstLine="720"/>
        <w:rPr>
          <w:rFonts w:ascii="Arial" w:hAnsi="Arial" w:cs="Arial"/>
        </w:rPr>
      </w:pPr>
      <w:r w:rsidRPr="00706C27">
        <w:rPr>
          <w:rFonts w:ascii="Arial" w:hAnsi="Arial" w:cs="Arial"/>
        </w:rPr>
        <w:t xml:space="preserve">Two separate bisulfite sequencing experiments were performed on esophageal tissues; the first focused on comparing adenocarcinomas to normal squamous mucosa and the second looked at Barrett’s cases </w:t>
      </w:r>
      <w:r w:rsidR="00E063E5" w:rsidRPr="00706C27">
        <w:rPr>
          <w:rFonts w:ascii="Arial" w:hAnsi="Arial" w:cs="Arial"/>
        </w:rPr>
        <w:t>(non-dysplastic, low grade and high grade dysplasia).</w:t>
      </w:r>
      <w:r w:rsidRPr="00706C27">
        <w:rPr>
          <w:rFonts w:ascii="Arial" w:hAnsi="Arial" w:cs="Arial"/>
        </w:rPr>
        <w:t xml:space="preserve"> Each discovery sequencing experiment included rigorously selected age- and gender-matched cases and cancer free controls.</w:t>
      </w:r>
      <w:r w:rsidR="00E063E5" w:rsidRPr="00706C27">
        <w:rPr>
          <w:rFonts w:ascii="Arial" w:hAnsi="Arial" w:cs="Arial"/>
        </w:rPr>
        <w:t xml:space="preserve"> </w:t>
      </w:r>
      <w:r w:rsidRPr="00706C27">
        <w:rPr>
          <w:rFonts w:ascii="Arial" w:hAnsi="Arial" w:cs="Arial"/>
        </w:rPr>
        <w:t>Normal buffy coat samples were used in each of the sequencing experiment</w:t>
      </w:r>
      <w:r w:rsidR="00E063E5" w:rsidRPr="00706C27">
        <w:rPr>
          <w:rFonts w:ascii="Arial" w:hAnsi="Arial" w:cs="Arial"/>
        </w:rPr>
        <w:t>s to control for inflammation related background methylation</w:t>
      </w:r>
      <w:r w:rsidRPr="00706C27">
        <w:rPr>
          <w:rFonts w:ascii="Arial" w:hAnsi="Arial" w:cs="Arial"/>
        </w:rPr>
        <w:t>. Tissue specimen types used in the discovery ex</w:t>
      </w:r>
      <w:r w:rsidR="00E063E5" w:rsidRPr="00706C27">
        <w:rPr>
          <w:rFonts w:ascii="Arial" w:hAnsi="Arial" w:cs="Arial"/>
        </w:rPr>
        <w:t xml:space="preserve">periments are listed in </w:t>
      </w:r>
      <w:r w:rsidR="003F2A30" w:rsidRPr="00706C27">
        <w:rPr>
          <w:rFonts w:ascii="Arial" w:hAnsi="Arial" w:cs="Arial"/>
        </w:rPr>
        <w:t>methods section of the manuscript.</w:t>
      </w:r>
    </w:p>
    <w:p w14:paraId="642E52AE" w14:textId="77777777" w:rsidR="009A239D" w:rsidRPr="00706C27" w:rsidRDefault="0016618A" w:rsidP="00472AF7">
      <w:pPr>
        <w:ind w:firstLine="720"/>
        <w:rPr>
          <w:rFonts w:ascii="Arial" w:hAnsi="Arial" w:cs="Arial"/>
        </w:rPr>
      </w:pPr>
      <w:r w:rsidRPr="00706C27">
        <w:rPr>
          <w:rFonts w:ascii="Arial" w:hAnsi="Arial" w:cs="Arial"/>
        </w:rPr>
        <w:t xml:space="preserve">Fresh frozen (FF) tissues, formalin fixed paraffin embedded (FFPE) tissues, and buffy coat samples were provided by IRB-approved patient registries. Tumor </w:t>
      </w:r>
      <w:r w:rsidR="00472AF7" w:rsidRPr="00706C27">
        <w:rPr>
          <w:rFonts w:ascii="Arial" w:hAnsi="Arial" w:cs="Arial"/>
        </w:rPr>
        <w:t xml:space="preserve">and Barrett’s </w:t>
      </w:r>
      <w:r w:rsidR="002B2D7A" w:rsidRPr="00706C27">
        <w:rPr>
          <w:rFonts w:ascii="Arial" w:hAnsi="Arial" w:cs="Arial"/>
        </w:rPr>
        <w:t xml:space="preserve">tissue sections were </w:t>
      </w:r>
      <w:r w:rsidRPr="00706C27">
        <w:rPr>
          <w:rFonts w:ascii="Arial" w:hAnsi="Arial" w:cs="Arial"/>
        </w:rPr>
        <w:t>revi</w:t>
      </w:r>
      <w:r w:rsidR="002B2D7A" w:rsidRPr="00706C27">
        <w:rPr>
          <w:rFonts w:ascii="Arial" w:hAnsi="Arial" w:cs="Arial"/>
        </w:rPr>
        <w:t>e</w:t>
      </w:r>
      <w:r w:rsidRPr="00706C27">
        <w:rPr>
          <w:rFonts w:ascii="Arial" w:hAnsi="Arial" w:cs="Arial"/>
        </w:rPr>
        <w:t>wed by an expert GI pathologist to confirm d</w:t>
      </w:r>
      <w:r w:rsidR="00472AF7" w:rsidRPr="00706C27">
        <w:rPr>
          <w:rFonts w:ascii="Arial" w:hAnsi="Arial" w:cs="Arial"/>
        </w:rPr>
        <w:t>iagnosis and estimate abnormal</w:t>
      </w:r>
      <w:r w:rsidRPr="00706C27">
        <w:rPr>
          <w:rFonts w:ascii="Arial" w:hAnsi="Arial" w:cs="Arial"/>
        </w:rPr>
        <w:t xml:space="preserve"> cellularity. Sections were then macro-dissected. Genomic DNA was purified using the </w:t>
      </w:r>
      <w:proofErr w:type="spellStart"/>
      <w:r w:rsidRPr="00706C27">
        <w:rPr>
          <w:rFonts w:ascii="Arial" w:hAnsi="Arial" w:cs="Arial"/>
        </w:rPr>
        <w:t>QiaAmp</w:t>
      </w:r>
      <w:proofErr w:type="spellEnd"/>
      <w:r w:rsidRPr="00706C27">
        <w:rPr>
          <w:rFonts w:ascii="Arial" w:hAnsi="Arial" w:cs="Arial"/>
        </w:rPr>
        <w:t xml:space="preserve"> Mini kit (Qiagen, Valencia CA) and subsequently re-purified with the </w:t>
      </w:r>
      <w:proofErr w:type="spellStart"/>
      <w:r w:rsidRPr="00706C27">
        <w:rPr>
          <w:rFonts w:ascii="Arial" w:hAnsi="Arial" w:cs="Arial"/>
        </w:rPr>
        <w:t>AMPure</w:t>
      </w:r>
      <w:proofErr w:type="spellEnd"/>
      <w:r w:rsidRPr="00706C27">
        <w:rPr>
          <w:rFonts w:ascii="Arial" w:hAnsi="Arial" w:cs="Arial"/>
        </w:rPr>
        <w:t xml:space="preserve"> XP kit (Beckman Coulter, Brea CA).</w:t>
      </w:r>
      <w:r w:rsidR="009A239D" w:rsidRPr="00706C27">
        <w:rPr>
          <w:rFonts w:ascii="Arial" w:hAnsi="Arial" w:cs="Arial"/>
        </w:rPr>
        <w:t xml:space="preserve"> DNA (300 ng) was fragmented by digestion with 10 Units of </w:t>
      </w:r>
      <w:proofErr w:type="spellStart"/>
      <w:r w:rsidR="009A239D" w:rsidRPr="00706C27">
        <w:rPr>
          <w:rFonts w:ascii="Arial" w:hAnsi="Arial" w:cs="Arial"/>
        </w:rPr>
        <w:t>MspI</w:t>
      </w:r>
      <w:proofErr w:type="spellEnd"/>
      <w:r w:rsidR="009A239D" w:rsidRPr="00706C27">
        <w:rPr>
          <w:rFonts w:ascii="Arial" w:hAnsi="Arial" w:cs="Arial"/>
        </w:rPr>
        <w:t xml:space="preserve">, a methylation-specific restriction enzyme which recognizes CpG-containing motifs, to enrich sample CpG content and eliminate redundant areas of the genome. Digested fragments were end-repaired and A-tailed with 5 Units of </w:t>
      </w:r>
      <w:proofErr w:type="spellStart"/>
      <w:r w:rsidR="009A239D" w:rsidRPr="00706C27">
        <w:rPr>
          <w:rFonts w:ascii="Arial" w:hAnsi="Arial" w:cs="Arial"/>
        </w:rPr>
        <w:t>Klenow</w:t>
      </w:r>
      <w:proofErr w:type="spellEnd"/>
      <w:r w:rsidR="009A239D" w:rsidRPr="00706C27">
        <w:rPr>
          <w:rFonts w:ascii="Arial" w:hAnsi="Arial" w:cs="Arial"/>
        </w:rPr>
        <w:t xml:space="preserve"> fragment (3’-5’ </w:t>
      </w:r>
      <w:proofErr w:type="spellStart"/>
      <w:r w:rsidR="009A239D" w:rsidRPr="00706C27">
        <w:rPr>
          <w:rFonts w:ascii="Arial" w:hAnsi="Arial" w:cs="Arial"/>
        </w:rPr>
        <w:t>exo</w:t>
      </w:r>
      <w:proofErr w:type="spellEnd"/>
      <w:r w:rsidR="009A239D" w:rsidRPr="00706C27">
        <w:rPr>
          <w:rFonts w:ascii="Arial" w:hAnsi="Arial" w:cs="Arial"/>
        </w:rPr>
        <w:t xml:space="preserve">-), and ligated overnight to methylated </w:t>
      </w:r>
      <w:proofErr w:type="spellStart"/>
      <w:r w:rsidR="009A239D" w:rsidRPr="00706C27">
        <w:rPr>
          <w:rFonts w:ascii="Arial" w:hAnsi="Arial" w:cs="Arial"/>
        </w:rPr>
        <w:t>TruSeq</w:t>
      </w:r>
      <w:proofErr w:type="spellEnd"/>
      <w:r w:rsidR="009A239D" w:rsidRPr="00706C27">
        <w:rPr>
          <w:rFonts w:ascii="Arial" w:hAnsi="Arial" w:cs="Arial"/>
        </w:rPr>
        <w:t xml:space="preserve"> adapters (Illumina, San Diego CA) containing barcode sequences (to link each fragment to its sample ID.)  Size selection of 160-340bp fragments (40-220 </w:t>
      </w:r>
      <w:proofErr w:type="spellStart"/>
      <w:r w:rsidR="009A239D" w:rsidRPr="00706C27">
        <w:rPr>
          <w:rFonts w:ascii="Arial" w:hAnsi="Arial" w:cs="Arial"/>
        </w:rPr>
        <w:t>bp</w:t>
      </w:r>
      <w:proofErr w:type="spellEnd"/>
      <w:r w:rsidR="009A239D" w:rsidRPr="00706C27">
        <w:rPr>
          <w:rFonts w:ascii="Arial" w:hAnsi="Arial" w:cs="Arial"/>
        </w:rPr>
        <w:t xml:space="preserve"> inserts) was performed using </w:t>
      </w:r>
      <w:proofErr w:type="spellStart"/>
      <w:r w:rsidR="009A239D" w:rsidRPr="00706C27">
        <w:rPr>
          <w:rFonts w:ascii="Arial" w:hAnsi="Arial" w:cs="Arial"/>
        </w:rPr>
        <w:t>AMPure</w:t>
      </w:r>
      <w:proofErr w:type="spellEnd"/>
      <w:r w:rsidR="009A239D" w:rsidRPr="00706C27">
        <w:rPr>
          <w:rFonts w:ascii="Arial" w:hAnsi="Arial" w:cs="Arial"/>
        </w:rPr>
        <w:t xml:space="preserve"> XP SPRI beads/buffer (Beckman Coulter, Brea CA). Buffer cutoffs were 0.7X - 1.1X sample volumes of beads/buffer. Final elution volume was 22 </w:t>
      </w:r>
      <w:proofErr w:type="spellStart"/>
      <w:r w:rsidR="009A239D" w:rsidRPr="00706C27">
        <w:rPr>
          <w:rFonts w:ascii="Arial" w:hAnsi="Arial" w:cs="Arial"/>
        </w:rPr>
        <w:t>uL</w:t>
      </w:r>
      <w:proofErr w:type="spellEnd"/>
      <w:r w:rsidR="009A239D" w:rsidRPr="00706C27">
        <w:rPr>
          <w:rFonts w:ascii="Arial" w:hAnsi="Arial" w:cs="Arial"/>
        </w:rPr>
        <w:t xml:space="preserve"> (E</w:t>
      </w:r>
      <w:r w:rsidR="002B2D7A" w:rsidRPr="00706C27">
        <w:rPr>
          <w:rFonts w:ascii="Arial" w:hAnsi="Arial" w:cs="Arial"/>
        </w:rPr>
        <w:t>B buffer – Qiagen</w:t>
      </w:r>
      <w:r w:rsidR="009A239D" w:rsidRPr="00706C27">
        <w:rPr>
          <w:rFonts w:ascii="Arial" w:hAnsi="Arial" w:cs="Arial"/>
        </w:rPr>
        <w:t xml:space="preserve">); qPCR was used to gauge ligation efficiency and fragment quality on a small sample aliquot. Samples then underwent bisulfite conversion (twice) using a modified </w:t>
      </w:r>
      <w:proofErr w:type="spellStart"/>
      <w:r w:rsidR="009A239D" w:rsidRPr="00706C27">
        <w:rPr>
          <w:rFonts w:ascii="Arial" w:hAnsi="Arial" w:cs="Arial"/>
        </w:rPr>
        <w:t>EpiTect</w:t>
      </w:r>
      <w:proofErr w:type="spellEnd"/>
      <w:r w:rsidR="009A239D" w:rsidRPr="00706C27">
        <w:rPr>
          <w:rFonts w:ascii="Arial" w:hAnsi="Arial" w:cs="Arial"/>
        </w:rPr>
        <w:t xml:space="preserve"> protocol (Qiagen).  qPCR and conventional PCR (</w:t>
      </w:r>
      <w:proofErr w:type="spellStart"/>
      <w:r w:rsidR="009A239D" w:rsidRPr="00706C27">
        <w:rPr>
          <w:rFonts w:ascii="Arial" w:hAnsi="Arial" w:cs="Arial"/>
        </w:rPr>
        <w:t>PfuTurbo</w:t>
      </w:r>
      <w:proofErr w:type="spellEnd"/>
      <w:r w:rsidR="009A239D" w:rsidRPr="00706C27">
        <w:rPr>
          <w:rFonts w:ascii="Arial" w:hAnsi="Arial" w:cs="Arial"/>
        </w:rPr>
        <w:t xml:space="preserve"> </w:t>
      </w:r>
      <w:proofErr w:type="spellStart"/>
      <w:r w:rsidR="009A239D" w:rsidRPr="00706C27">
        <w:rPr>
          <w:rFonts w:ascii="Arial" w:hAnsi="Arial" w:cs="Arial"/>
        </w:rPr>
        <w:t>Cx</w:t>
      </w:r>
      <w:proofErr w:type="spellEnd"/>
      <w:r w:rsidR="009A239D" w:rsidRPr="00706C27">
        <w:rPr>
          <w:rFonts w:ascii="Arial" w:hAnsi="Arial" w:cs="Arial"/>
        </w:rPr>
        <w:t xml:space="preserve"> </w:t>
      </w:r>
      <w:proofErr w:type="spellStart"/>
      <w:r w:rsidR="009A239D" w:rsidRPr="00706C27">
        <w:rPr>
          <w:rFonts w:ascii="Arial" w:hAnsi="Arial" w:cs="Arial"/>
        </w:rPr>
        <w:t>hotstart</w:t>
      </w:r>
      <w:proofErr w:type="spellEnd"/>
      <w:r w:rsidR="009A239D" w:rsidRPr="00706C27">
        <w:rPr>
          <w:rFonts w:ascii="Arial" w:hAnsi="Arial" w:cs="Arial"/>
        </w:rPr>
        <w:t xml:space="preserve"> – Agilent, Santa Clara CA) followed by Bioanalyzer 2100 (Agilent) assessment on converted sample aliquots determined the optimal PCR cycle number prior to final library amplification.  The following conditions were used for final PCR: 1.) each 50uL reaction contained 5uL of 10X buffer, 1.25uL of 10 </w:t>
      </w:r>
      <w:proofErr w:type="spellStart"/>
      <w:r w:rsidR="009A239D" w:rsidRPr="00706C27">
        <w:rPr>
          <w:rFonts w:ascii="Arial" w:hAnsi="Arial" w:cs="Arial"/>
        </w:rPr>
        <w:t>mM</w:t>
      </w:r>
      <w:proofErr w:type="spellEnd"/>
      <w:r w:rsidR="009A239D" w:rsidRPr="00706C27">
        <w:rPr>
          <w:rFonts w:ascii="Arial" w:hAnsi="Arial" w:cs="Arial"/>
        </w:rPr>
        <w:t xml:space="preserve"> each </w:t>
      </w:r>
      <w:proofErr w:type="spellStart"/>
      <w:r w:rsidR="009A239D" w:rsidRPr="00706C27">
        <w:rPr>
          <w:rFonts w:ascii="Arial" w:hAnsi="Arial" w:cs="Arial"/>
        </w:rPr>
        <w:t>deoxyribonucleotide</w:t>
      </w:r>
      <w:proofErr w:type="spellEnd"/>
      <w:r w:rsidR="009A239D" w:rsidRPr="00706C27">
        <w:rPr>
          <w:rFonts w:ascii="Arial" w:hAnsi="Arial" w:cs="Arial"/>
        </w:rPr>
        <w:t xml:space="preserve"> triphosphate (dNTP), 5uL primer cocktail (~5uM), 15uL template (sample), 1uL </w:t>
      </w:r>
      <w:proofErr w:type="spellStart"/>
      <w:r w:rsidR="009A239D" w:rsidRPr="00706C27">
        <w:rPr>
          <w:rFonts w:ascii="Arial" w:hAnsi="Arial" w:cs="Arial"/>
        </w:rPr>
        <w:t>PfuTurbo</w:t>
      </w:r>
      <w:proofErr w:type="spellEnd"/>
      <w:r w:rsidR="009A239D" w:rsidRPr="00706C27">
        <w:rPr>
          <w:rFonts w:ascii="Arial" w:hAnsi="Arial" w:cs="Arial"/>
        </w:rPr>
        <w:t xml:space="preserve"> </w:t>
      </w:r>
      <w:proofErr w:type="spellStart"/>
      <w:r w:rsidR="009A239D" w:rsidRPr="00706C27">
        <w:rPr>
          <w:rFonts w:ascii="Arial" w:hAnsi="Arial" w:cs="Arial"/>
        </w:rPr>
        <w:t>Cx</w:t>
      </w:r>
      <w:proofErr w:type="spellEnd"/>
      <w:r w:rsidR="009A239D" w:rsidRPr="00706C27">
        <w:rPr>
          <w:rFonts w:ascii="Arial" w:hAnsi="Arial" w:cs="Arial"/>
        </w:rPr>
        <w:t xml:space="preserve"> </w:t>
      </w:r>
      <w:proofErr w:type="spellStart"/>
      <w:r w:rsidR="009A239D" w:rsidRPr="00706C27">
        <w:rPr>
          <w:rFonts w:ascii="Arial" w:hAnsi="Arial" w:cs="Arial"/>
        </w:rPr>
        <w:t>hotstart</w:t>
      </w:r>
      <w:proofErr w:type="spellEnd"/>
      <w:r w:rsidR="009A239D" w:rsidRPr="00706C27">
        <w:rPr>
          <w:rFonts w:ascii="Arial" w:hAnsi="Arial" w:cs="Arial"/>
        </w:rPr>
        <w:t xml:space="preserve"> and 22.75 water; temperatures and times were 95C-5min; 98C-30sec; 16 cycles of 98C-10sec, 65C-30sec, 72C-30sec, 72C-5min and 4C hold, respectively. Samples were combined (equimolar) into 4-plex libraries based on the randomization scheme and tested with the bioanalyzer for final size verification, and with qPCR using </w:t>
      </w:r>
      <w:proofErr w:type="spellStart"/>
      <w:r w:rsidR="009A239D" w:rsidRPr="00706C27">
        <w:rPr>
          <w:rFonts w:ascii="Arial" w:hAnsi="Arial" w:cs="Arial"/>
        </w:rPr>
        <w:t>phiX</w:t>
      </w:r>
      <w:proofErr w:type="spellEnd"/>
      <w:r w:rsidR="009A239D" w:rsidRPr="00706C27">
        <w:rPr>
          <w:rFonts w:ascii="Arial" w:hAnsi="Arial" w:cs="Arial"/>
        </w:rPr>
        <w:t xml:space="preserve"> standards and adaptor-specific primers.</w:t>
      </w:r>
    </w:p>
    <w:p w14:paraId="6026CA74" w14:textId="77777777" w:rsidR="00D44748" w:rsidRPr="00706C27" w:rsidRDefault="009A239D" w:rsidP="00D44748">
      <w:pPr>
        <w:ind w:firstLine="720"/>
        <w:rPr>
          <w:rFonts w:ascii="Arial" w:hAnsi="Arial" w:cs="Arial"/>
        </w:rPr>
      </w:pPr>
      <w:r w:rsidRPr="00706C27">
        <w:rPr>
          <w:rFonts w:ascii="Arial" w:hAnsi="Arial" w:cs="Arial"/>
        </w:rPr>
        <w:t>Samples were loaded onto flow cells according to a randomized lane assignment with additional lanes reserved for internal assay controls.  Sequencing was performed by the Next Generation Sequencing Core at the Mayo Clinic Medical Genome Facility on the Illumina HiSeq 2000 platform. Reads were unidirectional for 101 cycles. Each flow cell lane generated 100-120 million reads, sufficient for a median coverage of 30-50 fold sequencing depth (read number per CpG) for aligned sequences. Standard Illumina pipeline software called bases and sequence</w:t>
      </w:r>
      <w:r w:rsidR="00472AF7" w:rsidRPr="00706C27">
        <w:rPr>
          <w:rFonts w:ascii="Arial" w:hAnsi="Arial" w:cs="Arial"/>
        </w:rPr>
        <w:t xml:space="preserve">d read generation in the </w:t>
      </w:r>
      <w:proofErr w:type="spellStart"/>
      <w:r w:rsidR="00472AF7" w:rsidRPr="00706C27">
        <w:rPr>
          <w:rFonts w:ascii="Arial" w:hAnsi="Arial" w:cs="Arial"/>
        </w:rPr>
        <w:t>fastq</w:t>
      </w:r>
      <w:proofErr w:type="spellEnd"/>
      <w:r w:rsidR="00472AF7" w:rsidRPr="00706C27">
        <w:rPr>
          <w:rFonts w:ascii="Arial" w:hAnsi="Arial" w:cs="Arial"/>
        </w:rPr>
        <w:t xml:space="preserve"> </w:t>
      </w:r>
      <w:r w:rsidRPr="00706C27">
        <w:rPr>
          <w:rFonts w:ascii="Arial" w:hAnsi="Arial" w:cs="Arial"/>
        </w:rPr>
        <w:t>fo</w:t>
      </w:r>
      <w:r w:rsidR="00472AF7" w:rsidRPr="00706C27">
        <w:rPr>
          <w:rFonts w:ascii="Arial" w:hAnsi="Arial" w:cs="Arial"/>
        </w:rPr>
        <w:t xml:space="preserve">rmat.  </w:t>
      </w:r>
      <w:r w:rsidRPr="00706C27">
        <w:rPr>
          <w:rFonts w:ascii="Arial" w:hAnsi="Arial" w:cs="Arial"/>
        </w:rPr>
        <w:t xml:space="preserve">SAAP-RRBS, a </w:t>
      </w:r>
      <w:r w:rsidR="00472AF7" w:rsidRPr="00706C27">
        <w:rPr>
          <w:rFonts w:ascii="Arial" w:hAnsi="Arial" w:cs="Arial"/>
        </w:rPr>
        <w:t>Mayo developed</w:t>
      </w:r>
      <w:r w:rsidRPr="00706C27">
        <w:rPr>
          <w:rFonts w:ascii="Arial" w:hAnsi="Arial" w:cs="Arial"/>
        </w:rPr>
        <w:t xml:space="preserve"> analysis and annotation pipeline for reduced representation bisulfite sequencing, was used for sequence alignm</w:t>
      </w:r>
      <w:r w:rsidR="00D44748" w:rsidRPr="00706C27">
        <w:rPr>
          <w:rFonts w:ascii="Arial" w:hAnsi="Arial" w:cs="Arial"/>
        </w:rPr>
        <w:t>ent and methylation extraction.</w:t>
      </w:r>
    </w:p>
    <w:p w14:paraId="4B31BDE6" w14:textId="77777777" w:rsidR="009A239D" w:rsidRPr="00706C27" w:rsidRDefault="009A239D" w:rsidP="00D44748">
      <w:pPr>
        <w:ind w:firstLine="720"/>
        <w:rPr>
          <w:rFonts w:ascii="Arial" w:hAnsi="Arial" w:cs="Arial"/>
        </w:rPr>
      </w:pPr>
      <w:r w:rsidRPr="00706C27">
        <w:rPr>
          <w:rFonts w:ascii="Arial" w:hAnsi="Arial" w:cs="Arial"/>
        </w:rPr>
        <w:t>Candidate CpGs were filtered by a priori read-depth and variance criteria, significance of differenti</w:t>
      </w:r>
      <w:r w:rsidR="00D44748" w:rsidRPr="00706C27">
        <w:rPr>
          <w:rFonts w:ascii="Arial" w:hAnsi="Arial" w:cs="Arial"/>
        </w:rPr>
        <w:t>al %-methylation</w:t>
      </w:r>
      <w:r w:rsidRPr="00706C27">
        <w:rPr>
          <w:rFonts w:ascii="Arial" w:hAnsi="Arial" w:cs="Arial"/>
        </w:rPr>
        <w:t xml:space="preserve"> between cases and controls</w:t>
      </w:r>
      <w:r w:rsidR="00D44748" w:rsidRPr="00706C27">
        <w:rPr>
          <w:rFonts w:ascii="Arial" w:hAnsi="Arial" w:cs="Arial"/>
        </w:rPr>
        <w:t>,</w:t>
      </w:r>
      <w:r w:rsidRPr="00706C27">
        <w:rPr>
          <w:rFonts w:ascii="Arial" w:hAnsi="Arial" w:cs="Arial"/>
        </w:rPr>
        <w:t xml:space="preserve"> and discrimination of cases from controls based on area under the receiver operating characteristics curve (AUC) and target to background ratio. The primary comparison of interest was the met</w:t>
      </w:r>
      <w:r w:rsidR="00D44748" w:rsidRPr="00706C27">
        <w:rPr>
          <w:rFonts w:ascii="Arial" w:hAnsi="Arial" w:cs="Arial"/>
        </w:rPr>
        <w:t xml:space="preserve">hylation difference </w:t>
      </w:r>
      <w:proofErr w:type="gramStart"/>
      <w:r w:rsidR="00D44748" w:rsidRPr="00706C27">
        <w:rPr>
          <w:rFonts w:ascii="Arial" w:hAnsi="Arial" w:cs="Arial"/>
        </w:rPr>
        <w:t xml:space="preserve">between </w:t>
      </w:r>
      <w:r w:rsidRPr="00706C27">
        <w:rPr>
          <w:rFonts w:ascii="Arial" w:hAnsi="Arial" w:cs="Arial"/>
        </w:rPr>
        <w:t xml:space="preserve"> </w:t>
      </w:r>
      <w:r w:rsidR="00D44748" w:rsidRPr="00706C27">
        <w:rPr>
          <w:rFonts w:ascii="Arial" w:hAnsi="Arial" w:cs="Arial"/>
        </w:rPr>
        <w:t>cancer</w:t>
      </w:r>
      <w:proofErr w:type="gramEnd"/>
      <w:r w:rsidR="00D44748" w:rsidRPr="00706C27">
        <w:rPr>
          <w:rFonts w:ascii="Arial" w:hAnsi="Arial" w:cs="Arial"/>
        </w:rPr>
        <w:t xml:space="preserve"> and Barrett’s </w:t>
      </w:r>
      <w:r w:rsidRPr="00706C27">
        <w:rPr>
          <w:rFonts w:ascii="Arial" w:hAnsi="Arial" w:cs="Arial"/>
        </w:rPr>
        <w:t xml:space="preserve">cases, normal esophagus controls and leukocyte controls at each mapped </w:t>
      </w:r>
      <w:r w:rsidRPr="00706C27">
        <w:rPr>
          <w:rFonts w:ascii="Arial" w:hAnsi="Arial" w:cs="Arial"/>
        </w:rPr>
        <w:lastRenderedPageBreak/>
        <w:t>CpG.  CpG islands are biochemically defined by an observe</w:t>
      </w:r>
      <w:r w:rsidR="00D44748" w:rsidRPr="00706C27">
        <w:rPr>
          <w:rFonts w:ascii="Arial" w:hAnsi="Arial" w:cs="Arial"/>
        </w:rPr>
        <w:t>d to expected CpG ratio &gt;0.6.</w:t>
      </w:r>
      <w:r w:rsidRPr="00706C27">
        <w:rPr>
          <w:rFonts w:ascii="Arial" w:hAnsi="Arial" w:cs="Arial"/>
        </w:rPr>
        <w:t xml:space="preserve">  However, for this model, tiled units of CpG analysis “differentially methylated region</w:t>
      </w:r>
      <w:r w:rsidR="00D44748" w:rsidRPr="00706C27">
        <w:rPr>
          <w:rFonts w:ascii="Arial" w:hAnsi="Arial" w:cs="Arial"/>
        </w:rPr>
        <w:t>s</w:t>
      </w:r>
      <w:r w:rsidRPr="00706C27">
        <w:rPr>
          <w:rFonts w:ascii="Arial" w:hAnsi="Arial" w:cs="Arial"/>
        </w:rPr>
        <w:t xml:space="preserve"> (DMR</w:t>
      </w:r>
      <w:r w:rsidR="00D44748" w:rsidRPr="00706C27">
        <w:rPr>
          <w:rFonts w:ascii="Arial" w:hAnsi="Arial" w:cs="Arial"/>
        </w:rPr>
        <w:t>s</w:t>
      </w:r>
      <w:r w:rsidRPr="00706C27">
        <w:rPr>
          <w:rFonts w:ascii="Arial" w:hAnsi="Arial" w:cs="Arial"/>
        </w:rPr>
        <w:t>)” were created based on distance between CpG site locations for each chromosome. Islands with only single CpGs were excluded.  Individual CpG sites were considered for differential analysis only if the total depth of coverage per disease group was ≥200 reads (an average of 10 reads</w:t>
      </w:r>
      <w:r w:rsidR="00D44748" w:rsidRPr="00706C27">
        <w:rPr>
          <w:rFonts w:ascii="Arial" w:hAnsi="Arial" w:cs="Arial"/>
        </w:rPr>
        <w:t>/subject) and the variance of %-</w:t>
      </w:r>
      <w:r w:rsidRPr="00706C27">
        <w:rPr>
          <w:rFonts w:ascii="Arial" w:hAnsi="Arial" w:cs="Arial"/>
        </w:rPr>
        <w:t>methylation was &gt;0 (non-informative CpGs were excluded). Read-depth criteria were based on the desired statistical power to d</w:t>
      </w:r>
      <w:r w:rsidR="00D44748" w:rsidRPr="00706C27">
        <w:rPr>
          <w:rFonts w:ascii="Arial" w:hAnsi="Arial" w:cs="Arial"/>
        </w:rPr>
        <w:t>etect a 10% difference in the %-</w:t>
      </w:r>
      <w:r w:rsidRPr="00706C27">
        <w:rPr>
          <w:rFonts w:ascii="Arial" w:hAnsi="Arial" w:cs="Arial"/>
        </w:rPr>
        <w:t>methylation between any two groups in which the sample size of each group was 18 individuals.  Statistical significance was determined by logistic regression of the methylation percentage per DMR, based on read counts. To account for varying read depths across individual subjects, an over-dispersed logistic regression model was used, where dispersion parameter was estimated using the Pearson Chi-square statistic of the residuals from fitted model.  DMRs, ranked according to their significance level, were further cons</w:t>
      </w:r>
      <w:r w:rsidR="00D44748" w:rsidRPr="00706C27">
        <w:rPr>
          <w:rFonts w:ascii="Arial" w:hAnsi="Arial" w:cs="Arial"/>
        </w:rPr>
        <w:t xml:space="preserve">idered if % </w:t>
      </w:r>
      <w:r w:rsidRPr="00706C27">
        <w:rPr>
          <w:rFonts w:ascii="Arial" w:hAnsi="Arial" w:cs="Arial"/>
        </w:rPr>
        <w:t xml:space="preserve">methylation in benign esophagus and leukocyte controls, combined, was ≤1% but ≥10% in </w:t>
      </w:r>
      <w:r w:rsidR="00D44748" w:rsidRPr="00706C27">
        <w:rPr>
          <w:rFonts w:ascii="Arial" w:hAnsi="Arial" w:cs="Arial"/>
        </w:rPr>
        <w:t>Barrett’s cases.</w:t>
      </w:r>
    </w:p>
    <w:p w14:paraId="4E4F00C3" w14:textId="77777777" w:rsidR="00E50791" w:rsidRPr="00706C27" w:rsidRDefault="00E50791" w:rsidP="00E50791">
      <w:pPr>
        <w:rPr>
          <w:rFonts w:ascii="Arial" w:hAnsi="Arial" w:cs="Arial"/>
        </w:rPr>
      </w:pPr>
    </w:p>
    <w:p w14:paraId="47DD1B5F" w14:textId="77777777" w:rsidR="009A239D" w:rsidRPr="00706C27" w:rsidRDefault="009A239D" w:rsidP="009A239D">
      <w:pPr>
        <w:rPr>
          <w:rFonts w:ascii="Arial" w:hAnsi="Arial" w:cs="Arial"/>
        </w:rPr>
      </w:pPr>
    </w:p>
    <w:p w14:paraId="086FDFE2" w14:textId="77777777" w:rsidR="003F64EB" w:rsidRPr="00706C27" w:rsidRDefault="003F2A30" w:rsidP="009A239D">
      <w:pPr>
        <w:rPr>
          <w:rFonts w:ascii="Arial" w:hAnsi="Arial" w:cs="Arial"/>
        </w:rPr>
      </w:pPr>
      <w:r w:rsidRPr="00706C27">
        <w:rPr>
          <w:rFonts w:ascii="Arial" w:hAnsi="Arial" w:cs="Arial"/>
        </w:rPr>
        <w:t>Step 3</w:t>
      </w:r>
    </w:p>
    <w:p w14:paraId="46ECA8CF" w14:textId="77777777" w:rsidR="003F64EB" w:rsidRPr="00706C27" w:rsidRDefault="003F64EB" w:rsidP="009A239D">
      <w:pPr>
        <w:rPr>
          <w:rFonts w:ascii="Arial" w:hAnsi="Arial" w:cs="Arial"/>
        </w:rPr>
      </w:pPr>
    </w:p>
    <w:p w14:paraId="0014E086" w14:textId="77777777" w:rsidR="0083790C" w:rsidRPr="00706C27" w:rsidRDefault="0083790C" w:rsidP="0083790C">
      <w:pPr>
        <w:rPr>
          <w:rFonts w:ascii="Arial" w:hAnsi="Arial" w:cs="Arial"/>
          <w:i/>
        </w:rPr>
      </w:pPr>
    </w:p>
    <w:p w14:paraId="3BF6278E" w14:textId="77777777" w:rsidR="0083790C" w:rsidRPr="00706C27" w:rsidRDefault="0083790C" w:rsidP="0083790C">
      <w:pPr>
        <w:rPr>
          <w:rFonts w:ascii="Arial" w:hAnsi="Arial" w:cs="Arial"/>
          <w:i/>
        </w:rPr>
      </w:pPr>
      <w:r w:rsidRPr="00706C27">
        <w:rPr>
          <w:rFonts w:ascii="Arial" w:hAnsi="Arial" w:cs="Arial"/>
          <w:i/>
        </w:rPr>
        <w:t>Inclusion criteria:</w:t>
      </w:r>
    </w:p>
    <w:p w14:paraId="6D58593D" w14:textId="77777777" w:rsidR="0083790C" w:rsidRPr="00706C27" w:rsidRDefault="0083790C" w:rsidP="0083790C">
      <w:pPr>
        <w:numPr>
          <w:ilvl w:val="0"/>
          <w:numId w:val="1"/>
        </w:numPr>
        <w:rPr>
          <w:rFonts w:ascii="Arial" w:hAnsi="Arial" w:cs="Arial"/>
        </w:rPr>
      </w:pPr>
      <w:r w:rsidRPr="00706C27">
        <w:rPr>
          <w:rFonts w:ascii="Arial" w:hAnsi="Arial" w:cs="Arial"/>
        </w:rPr>
        <w:t>Subjects with known BE.</w:t>
      </w:r>
    </w:p>
    <w:p w14:paraId="71645ACA" w14:textId="77777777" w:rsidR="0083790C" w:rsidRPr="00706C27" w:rsidRDefault="0083790C" w:rsidP="0083790C">
      <w:pPr>
        <w:numPr>
          <w:ilvl w:val="0"/>
          <w:numId w:val="2"/>
        </w:numPr>
        <w:rPr>
          <w:rFonts w:ascii="Arial" w:hAnsi="Arial" w:cs="Arial"/>
        </w:rPr>
      </w:pPr>
      <w:r w:rsidRPr="00706C27">
        <w:rPr>
          <w:rFonts w:ascii="Arial" w:hAnsi="Arial" w:cs="Arial"/>
        </w:rPr>
        <w:t>Patient between the ages 18 – 85.</w:t>
      </w:r>
    </w:p>
    <w:p w14:paraId="31FBEB4C" w14:textId="77777777" w:rsidR="0083790C" w:rsidRPr="00706C27" w:rsidRDefault="0083790C" w:rsidP="0083790C">
      <w:pPr>
        <w:numPr>
          <w:ilvl w:val="0"/>
          <w:numId w:val="2"/>
        </w:numPr>
        <w:rPr>
          <w:rFonts w:ascii="Arial" w:hAnsi="Arial" w:cs="Arial"/>
        </w:rPr>
      </w:pPr>
      <w:r w:rsidRPr="00706C27">
        <w:rPr>
          <w:rFonts w:ascii="Arial" w:hAnsi="Arial" w:cs="Arial"/>
        </w:rPr>
        <w:t>Patients with a BE segment ≥ 1cm in maximal extent endoscopically.</w:t>
      </w:r>
    </w:p>
    <w:p w14:paraId="287E9C73" w14:textId="77777777" w:rsidR="0083790C" w:rsidRPr="00706C27" w:rsidRDefault="0083790C" w:rsidP="0083790C">
      <w:pPr>
        <w:numPr>
          <w:ilvl w:val="0"/>
          <w:numId w:val="2"/>
        </w:numPr>
        <w:rPr>
          <w:rFonts w:ascii="Arial" w:hAnsi="Arial" w:cs="Arial"/>
        </w:rPr>
      </w:pPr>
      <w:r w:rsidRPr="00706C27">
        <w:rPr>
          <w:rFonts w:ascii="Arial" w:hAnsi="Arial" w:cs="Arial"/>
        </w:rPr>
        <w:t>Histology showing evidence of intestinal metaplasia with or without presence of dysplasia.</w:t>
      </w:r>
    </w:p>
    <w:p w14:paraId="1C44B974" w14:textId="77777777" w:rsidR="0083790C" w:rsidRPr="00706C27" w:rsidRDefault="0083790C" w:rsidP="0083790C">
      <w:pPr>
        <w:numPr>
          <w:ilvl w:val="0"/>
          <w:numId w:val="2"/>
        </w:numPr>
        <w:rPr>
          <w:rFonts w:ascii="Arial" w:hAnsi="Arial" w:cs="Arial"/>
        </w:rPr>
      </w:pPr>
      <w:r w:rsidRPr="00706C27">
        <w:rPr>
          <w:rFonts w:ascii="Arial" w:hAnsi="Arial" w:cs="Arial"/>
        </w:rPr>
        <w:t>Undergoing clinically indicated endoscopy.</w:t>
      </w:r>
    </w:p>
    <w:p w14:paraId="138B4A2B" w14:textId="77777777" w:rsidR="0083790C" w:rsidRPr="00706C27" w:rsidRDefault="0083790C" w:rsidP="0083790C">
      <w:pPr>
        <w:numPr>
          <w:ilvl w:val="0"/>
          <w:numId w:val="1"/>
        </w:numPr>
        <w:rPr>
          <w:rFonts w:ascii="Arial" w:hAnsi="Arial" w:cs="Arial"/>
        </w:rPr>
      </w:pPr>
      <w:r w:rsidRPr="00706C27">
        <w:rPr>
          <w:rFonts w:ascii="Arial" w:hAnsi="Arial" w:cs="Arial"/>
        </w:rPr>
        <w:t>Subjects without known evidence of BE</w:t>
      </w:r>
    </w:p>
    <w:p w14:paraId="61A921D8" w14:textId="77777777" w:rsidR="0083790C" w:rsidRPr="00706C27" w:rsidRDefault="0083790C" w:rsidP="0083790C">
      <w:pPr>
        <w:numPr>
          <w:ilvl w:val="0"/>
          <w:numId w:val="3"/>
        </w:numPr>
        <w:rPr>
          <w:rFonts w:ascii="Arial" w:hAnsi="Arial" w:cs="Arial"/>
        </w:rPr>
      </w:pPr>
      <w:r w:rsidRPr="00706C27">
        <w:rPr>
          <w:rFonts w:ascii="Arial" w:hAnsi="Arial" w:cs="Arial"/>
        </w:rPr>
        <w:t>Undergoing clinically indicated diagnostic endoscopy.</w:t>
      </w:r>
    </w:p>
    <w:p w14:paraId="30844D96" w14:textId="77777777" w:rsidR="0083790C" w:rsidRPr="00706C27" w:rsidRDefault="0083790C" w:rsidP="0083790C">
      <w:pPr>
        <w:rPr>
          <w:rFonts w:ascii="Arial" w:hAnsi="Arial" w:cs="Arial"/>
          <w:i/>
        </w:rPr>
      </w:pPr>
    </w:p>
    <w:p w14:paraId="5EA13F78" w14:textId="77777777" w:rsidR="0083790C" w:rsidRPr="00706C27" w:rsidRDefault="0083790C" w:rsidP="0083790C">
      <w:pPr>
        <w:rPr>
          <w:rFonts w:ascii="Arial" w:hAnsi="Arial" w:cs="Arial"/>
          <w:i/>
        </w:rPr>
      </w:pPr>
      <w:r w:rsidRPr="00706C27">
        <w:rPr>
          <w:rFonts w:ascii="Arial" w:hAnsi="Arial" w:cs="Arial"/>
          <w:i/>
        </w:rPr>
        <w:t>Exclusion criteria:</w:t>
      </w:r>
    </w:p>
    <w:p w14:paraId="6B0CBF79" w14:textId="77777777" w:rsidR="0083790C" w:rsidRPr="00706C27" w:rsidRDefault="0083790C" w:rsidP="0083790C">
      <w:pPr>
        <w:rPr>
          <w:rFonts w:ascii="Arial" w:hAnsi="Arial" w:cs="Arial"/>
        </w:rPr>
      </w:pPr>
      <w:r w:rsidRPr="00706C27">
        <w:rPr>
          <w:rFonts w:ascii="Arial" w:hAnsi="Arial" w:cs="Arial"/>
        </w:rPr>
        <w:t>a. Subjects with known BE.</w:t>
      </w:r>
    </w:p>
    <w:p w14:paraId="631A7FD6" w14:textId="77777777" w:rsidR="0083790C" w:rsidRPr="00706C27" w:rsidRDefault="0083790C" w:rsidP="0083790C">
      <w:pPr>
        <w:numPr>
          <w:ilvl w:val="0"/>
          <w:numId w:val="4"/>
        </w:numPr>
        <w:rPr>
          <w:rFonts w:ascii="Arial" w:hAnsi="Arial" w:cs="Arial"/>
          <w:i/>
        </w:rPr>
      </w:pPr>
      <w:r w:rsidRPr="00706C27">
        <w:rPr>
          <w:rFonts w:ascii="Arial" w:hAnsi="Arial" w:cs="Arial"/>
        </w:rPr>
        <w:t xml:space="preserve">Patients with prior history of ablation (photodynamic therapy, radiofrequency ablation, cryotherapy, argon plasma coagulation). </w:t>
      </w:r>
      <w:r w:rsidRPr="00706C27">
        <w:rPr>
          <w:rFonts w:ascii="Arial" w:hAnsi="Arial" w:cs="Arial"/>
          <w:i/>
        </w:rPr>
        <w:t>Patients with history of endoscopic mucosal resection alone will not be excluded.</w:t>
      </w:r>
    </w:p>
    <w:p w14:paraId="0AA730C1" w14:textId="77777777" w:rsidR="0083790C" w:rsidRPr="00706C27" w:rsidRDefault="0083790C" w:rsidP="0083790C">
      <w:pPr>
        <w:numPr>
          <w:ilvl w:val="0"/>
          <w:numId w:val="4"/>
        </w:numPr>
        <w:rPr>
          <w:rFonts w:ascii="Arial" w:hAnsi="Arial" w:cs="Arial"/>
        </w:rPr>
      </w:pPr>
      <w:r w:rsidRPr="00706C27">
        <w:rPr>
          <w:rFonts w:ascii="Arial" w:hAnsi="Arial" w:cs="Arial"/>
        </w:rPr>
        <w:t xml:space="preserve">Patients with history of esophageal or gastric resection.  </w:t>
      </w:r>
    </w:p>
    <w:p w14:paraId="4B0600D4" w14:textId="77777777" w:rsidR="0083790C" w:rsidRPr="00706C27" w:rsidRDefault="0083790C" w:rsidP="0083790C">
      <w:pPr>
        <w:rPr>
          <w:rFonts w:ascii="Arial" w:hAnsi="Arial" w:cs="Arial"/>
        </w:rPr>
      </w:pPr>
      <w:r w:rsidRPr="00706C27">
        <w:rPr>
          <w:rFonts w:ascii="Arial" w:hAnsi="Arial" w:cs="Arial"/>
        </w:rPr>
        <w:t>b. Subjects with or without known evidence of BE (on history or review of medical records).</w:t>
      </w:r>
    </w:p>
    <w:p w14:paraId="405A9F01" w14:textId="77777777" w:rsidR="0083790C" w:rsidRPr="00706C27" w:rsidRDefault="0083790C" w:rsidP="0083790C">
      <w:pPr>
        <w:numPr>
          <w:ilvl w:val="0"/>
          <w:numId w:val="5"/>
        </w:numPr>
        <w:rPr>
          <w:rFonts w:ascii="Arial" w:hAnsi="Arial" w:cs="Arial"/>
        </w:rPr>
      </w:pPr>
      <w:r w:rsidRPr="00706C27">
        <w:rPr>
          <w:rFonts w:ascii="Arial" w:hAnsi="Arial" w:cs="Arial"/>
        </w:rPr>
        <w:t>Pregnant or lactating females.</w:t>
      </w:r>
    </w:p>
    <w:p w14:paraId="6F92C8F8" w14:textId="77777777" w:rsidR="0083790C" w:rsidRPr="00706C27" w:rsidRDefault="0083790C" w:rsidP="0083790C">
      <w:pPr>
        <w:numPr>
          <w:ilvl w:val="0"/>
          <w:numId w:val="5"/>
        </w:numPr>
        <w:rPr>
          <w:rFonts w:ascii="Arial" w:hAnsi="Arial" w:cs="Arial"/>
        </w:rPr>
      </w:pPr>
      <w:r w:rsidRPr="00706C27">
        <w:rPr>
          <w:rFonts w:ascii="Arial" w:hAnsi="Arial" w:cs="Arial"/>
        </w:rPr>
        <w:t>Patients who are unable to consent.</w:t>
      </w:r>
    </w:p>
    <w:p w14:paraId="6D34C99A" w14:textId="77777777" w:rsidR="0083790C" w:rsidRPr="00706C27" w:rsidRDefault="0083790C" w:rsidP="0083790C">
      <w:pPr>
        <w:numPr>
          <w:ilvl w:val="0"/>
          <w:numId w:val="5"/>
        </w:numPr>
        <w:rPr>
          <w:rFonts w:ascii="Arial" w:hAnsi="Arial" w:cs="Arial"/>
        </w:rPr>
      </w:pPr>
      <w:r w:rsidRPr="00706C27">
        <w:rPr>
          <w:rFonts w:ascii="Arial" w:hAnsi="Arial" w:cs="Arial"/>
        </w:rPr>
        <w:t>Patients with current history of uninvestigated dysphagia.</w:t>
      </w:r>
    </w:p>
    <w:p w14:paraId="1D270E5C" w14:textId="77777777" w:rsidR="0083790C" w:rsidRPr="00706C27" w:rsidRDefault="0083790C" w:rsidP="0083790C">
      <w:pPr>
        <w:numPr>
          <w:ilvl w:val="0"/>
          <w:numId w:val="5"/>
        </w:numPr>
        <w:rPr>
          <w:rFonts w:ascii="Arial" w:hAnsi="Arial" w:cs="Arial"/>
        </w:rPr>
      </w:pPr>
      <w:r w:rsidRPr="00706C27">
        <w:rPr>
          <w:rFonts w:ascii="Arial" w:hAnsi="Arial" w:cs="Arial"/>
        </w:rPr>
        <w:t>History of eosinophilic esophagitis, achalasia.</w:t>
      </w:r>
    </w:p>
    <w:p w14:paraId="7E5EAB2C" w14:textId="77777777" w:rsidR="0083790C" w:rsidRPr="00706C27" w:rsidRDefault="0083790C" w:rsidP="0083790C">
      <w:pPr>
        <w:numPr>
          <w:ilvl w:val="0"/>
          <w:numId w:val="5"/>
        </w:numPr>
        <w:rPr>
          <w:rFonts w:ascii="Arial" w:hAnsi="Arial" w:cs="Arial"/>
        </w:rPr>
      </w:pPr>
      <w:r w:rsidRPr="00706C27">
        <w:rPr>
          <w:rFonts w:ascii="Arial" w:hAnsi="Arial" w:cs="Arial"/>
        </w:rPr>
        <w:t>Patients on oral anticoagulation including Coumadin, Warfarin.</w:t>
      </w:r>
    </w:p>
    <w:p w14:paraId="10D9A954" w14:textId="77777777" w:rsidR="0083790C" w:rsidRPr="00706C27" w:rsidRDefault="0083790C" w:rsidP="0083790C">
      <w:pPr>
        <w:numPr>
          <w:ilvl w:val="0"/>
          <w:numId w:val="5"/>
        </w:numPr>
        <w:rPr>
          <w:rFonts w:ascii="Arial" w:hAnsi="Arial" w:cs="Arial"/>
        </w:rPr>
      </w:pPr>
      <w:r w:rsidRPr="00706C27">
        <w:rPr>
          <w:rFonts w:ascii="Arial" w:hAnsi="Arial" w:cs="Arial"/>
        </w:rPr>
        <w:t xml:space="preserve">Patients on antiplatelet agents including </w:t>
      </w:r>
      <w:proofErr w:type="spellStart"/>
      <w:r w:rsidRPr="00706C27">
        <w:rPr>
          <w:rFonts w:ascii="Arial" w:hAnsi="Arial" w:cs="Arial"/>
        </w:rPr>
        <w:t>Clopidogrel</w:t>
      </w:r>
      <w:proofErr w:type="spellEnd"/>
      <w:r w:rsidRPr="00706C27">
        <w:rPr>
          <w:rFonts w:ascii="Arial" w:hAnsi="Arial" w:cs="Arial"/>
        </w:rPr>
        <w:t>, unless discontinued for five days prior to the sponge procedure.</w:t>
      </w:r>
    </w:p>
    <w:p w14:paraId="0941B630" w14:textId="77777777" w:rsidR="0083790C" w:rsidRPr="00706C27" w:rsidRDefault="0083790C" w:rsidP="0083790C">
      <w:pPr>
        <w:numPr>
          <w:ilvl w:val="0"/>
          <w:numId w:val="5"/>
        </w:numPr>
        <w:rPr>
          <w:rFonts w:ascii="Arial" w:hAnsi="Arial" w:cs="Arial"/>
        </w:rPr>
      </w:pPr>
      <w:r w:rsidRPr="00706C27">
        <w:rPr>
          <w:rFonts w:ascii="Arial" w:hAnsi="Arial" w:cs="Arial"/>
        </w:rPr>
        <w:t xml:space="preserve">Patients on oral thrombin inhibitors including Dabigatran and oral factor X </w:t>
      </w:r>
      <w:proofErr w:type="gramStart"/>
      <w:r w:rsidRPr="00706C27">
        <w:rPr>
          <w:rFonts w:ascii="Arial" w:hAnsi="Arial" w:cs="Arial"/>
        </w:rPr>
        <w:t>a</w:t>
      </w:r>
      <w:proofErr w:type="gramEnd"/>
      <w:r w:rsidRPr="00706C27">
        <w:rPr>
          <w:rFonts w:ascii="Arial" w:hAnsi="Arial" w:cs="Arial"/>
        </w:rPr>
        <w:t xml:space="preserve"> inhibitors such as rivaroxaban, </w:t>
      </w:r>
      <w:proofErr w:type="spellStart"/>
      <w:r w:rsidRPr="00706C27">
        <w:rPr>
          <w:rFonts w:ascii="Arial" w:hAnsi="Arial" w:cs="Arial"/>
        </w:rPr>
        <w:t>apixaban</w:t>
      </w:r>
      <w:proofErr w:type="spellEnd"/>
      <w:r w:rsidRPr="00706C27">
        <w:rPr>
          <w:rFonts w:ascii="Arial" w:hAnsi="Arial" w:cs="Arial"/>
        </w:rPr>
        <w:t xml:space="preserve"> and </w:t>
      </w:r>
      <w:proofErr w:type="spellStart"/>
      <w:r w:rsidRPr="00706C27">
        <w:rPr>
          <w:rFonts w:ascii="Arial" w:hAnsi="Arial" w:cs="Arial"/>
        </w:rPr>
        <w:t>edoxaban</w:t>
      </w:r>
      <w:proofErr w:type="spellEnd"/>
      <w:r w:rsidRPr="00706C27">
        <w:rPr>
          <w:rFonts w:ascii="Arial" w:hAnsi="Arial" w:cs="Arial"/>
        </w:rPr>
        <w:t>, unless discontinued for five days prior to the sponge procedure.</w:t>
      </w:r>
    </w:p>
    <w:p w14:paraId="38F70B88" w14:textId="77777777" w:rsidR="0083790C" w:rsidRPr="00706C27" w:rsidRDefault="0083790C" w:rsidP="0083790C">
      <w:pPr>
        <w:numPr>
          <w:ilvl w:val="0"/>
          <w:numId w:val="5"/>
        </w:numPr>
        <w:rPr>
          <w:rFonts w:ascii="Arial" w:hAnsi="Arial" w:cs="Arial"/>
        </w:rPr>
      </w:pPr>
      <w:r w:rsidRPr="00706C27">
        <w:rPr>
          <w:rFonts w:ascii="Arial" w:hAnsi="Arial" w:cs="Arial"/>
        </w:rPr>
        <w:t>Patients with history of known varices or cirrhosis.</w:t>
      </w:r>
    </w:p>
    <w:p w14:paraId="78822DCE" w14:textId="77777777" w:rsidR="0083790C" w:rsidRPr="00706C27" w:rsidRDefault="0083790C" w:rsidP="0083790C">
      <w:pPr>
        <w:numPr>
          <w:ilvl w:val="0"/>
          <w:numId w:val="5"/>
        </w:numPr>
        <w:rPr>
          <w:rFonts w:ascii="Arial" w:hAnsi="Arial" w:cs="Arial"/>
        </w:rPr>
      </w:pPr>
      <w:r w:rsidRPr="00706C27">
        <w:rPr>
          <w:rFonts w:ascii="Arial" w:hAnsi="Arial" w:cs="Arial"/>
        </w:rPr>
        <w:t xml:space="preserve">Patients with history of esophageal or gastric resection.  </w:t>
      </w:r>
    </w:p>
    <w:p w14:paraId="35242A07" w14:textId="77777777" w:rsidR="0083790C" w:rsidRPr="00706C27" w:rsidRDefault="0083790C" w:rsidP="0083790C">
      <w:pPr>
        <w:numPr>
          <w:ilvl w:val="0"/>
          <w:numId w:val="5"/>
        </w:numPr>
        <w:rPr>
          <w:rFonts w:ascii="Arial" w:hAnsi="Arial" w:cs="Arial"/>
        </w:rPr>
      </w:pPr>
      <w:r w:rsidRPr="00706C27">
        <w:rPr>
          <w:rFonts w:ascii="Arial" w:hAnsi="Arial" w:cs="Arial"/>
        </w:rPr>
        <w:t>Patients with congenital or acquired bleeding diatheses.</w:t>
      </w:r>
    </w:p>
    <w:p w14:paraId="476D217D" w14:textId="77777777" w:rsidR="0083790C" w:rsidRPr="00706C27" w:rsidRDefault="0083790C" w:rsidP="0083790C">
      <w:pPr>
        <w:numPr>
          <w:ilvl w:val="0"/>
          <w:numId w:val="5"/>
        </w:numPr>
        <w:rPr>
          <w:rFonts w:ascii="Arial" w:hAnsi="Arial" w:cs="Arial"/>
        </w:rPr>
      </w:pPr>
      <w:r w:rsidRPr="00706C27">
        <w:rPr>
          <w:rFonts w:ascii="Arial" w:hAnsi="Arial" w:cs="Arial"/>
        </w:rPr>
        <w:t>Patients with a history of esophageal squamous dysplasia.</w:t>
      </w:r>
    </w:p>
    <w:p w14:paraId="40AA952C" w14:textId="77777777" w:rsidR="0083790C" w:rsidRPr="00706C27" w:rsidRDefault="0083790C" w:rsidP="009A239D">
      <w:pPr>
        <w:rPr>
          <w:rFonts w:ascii="Arial" w:hAnsi="Arial" w:cs="Arial"/>
        </w:rPr>
      </w:pPr>
    </w:p>
    <w:p w14:paraId="6B298DE0" w14:textId="77777777" w:rsidR="00711920" w:rsidRPr="00706C27" w:rsidRDefault="00A22CF4" w:rsidP="00711920">
      <w:pPr>
        <w:ind w:firstLine="720"/>
        <w:rPr>
          <w:rFonts w:ascii="Arial" w:hAnsi="Arial" w:cs="Arial"/>
        </w:rPr>
      </w:pPr>
      <w:r w:rsidRPr="00706C27">
        <w:rPr>
          <w:rFonts w:ascii="Arial" w:hAnsi="Arial" w:cs="Arial"/>
        </w:rPr>
        <w:t xml:space="preserve">Patients were randomized to </w:t>
      </w:r>
      <w:proofErr w:type="gramStart"/>
      <w:r w:rsidRPr="00706C27">
        <w:rPr>
          <w:rFonts w:ascii="Arial" w:hAnsi="Arial" w:cs="Arial"/>
        </w:rPr>
        <w:t>either the</w:t>
      </w:r>
      <w:proofErr w:type="gramEnd"/>
      <w:r w:rsidR="009A239D" w:rsidRPr="00706C27">
        <w:rPr>
          <w:rFonts w:ascii="Arial" w:hAnsi="Arial" w:cs="Arial"/>
        </w:rPr>
        <w:t xml:space="preserve"> </w:t>
      </w:r>
      <w:r w:rsidRPr="00706C27">
        <w:rPr>
          <w:rFonts w:ascii="Arial" w:hAnsi="Arial" w:cs="Arial"/>
        </w:rPr>
        <w:t xml:space="preserve">more compressible </w:t>
      </w:r>
      <w:r w:rsidR="00926306" w:rsidRPr="00706C27">
        <w:rPr>
          <w:rFonts w:ascii="Arial" w:hAnsi="Arial" w:cs="Arial"/>
        </w:rPr>
        <w:t>25 mm/10 ppi</w:t>
      </w:r>
      <w:r w:rsidR="009A239D" w:rsidRPr="00706C27">
        <w:rPr>
          <w:rFonts w:ascii="Arial" w:hAnsi="Arial" w:cs="Arial"/>
        </w:rPr>
        <w:t xml:space="preserve"> </w:t>
      </w:r>
      <w:r w:rsidRPr="00706C27">
        <w:rPr>
          <w:rFonts w:ascii="Arial" w:hAnsi="Arial" w:cs="Arial"/>
        </w:rPr>
        <w:t>sponge, or the</w:t>
      </w:r>
      <w:r w:rsidR="009A239D" w:rsidRPr="00706C27">
        <w:rPr>
          <w:rFonts w:ascii="Arial" w:hAnsi="Arial" w:cs="Arial"/>
        </w:rPr>
        <w:t xml:space="preserve"> </w:t>
      </w:r>
      <w:r w:rsidRPr="00706C27">
        <w:rPr>
          <w:rFonts w:ascii="Arial" w:hAnsi="Arial" w:cs="Arial"/>
        </w:rPr>
        <w:t>less compressible 25 mm/20 ppi</w:t>
      </w:r>
      <w:r w:rsidR="009A239D" w:rsidRPr="00706C27">
        <w:rPr>
          <w:rFonts w:ascii="Arial" w:hAnsi="Arial" w:cs="Arial"/>
        </w:rPr>
        <w:t xml:space="preserve"> sponge.</w:t>
      </w:r>
      <w:r w:rsidR="009A239D" w:rsidRPr="00706C27">
        <w:rPr>
          <w:rFonts w:ascii="Arial" w:hAnsi="Arial" w:cs="Arial"/>
          <w:color w:val="FF0000"/>
        </w:rPr>
        <w:t xml:space="preserve"> </w:t>
      </w:r>
      <w:r w:rsidRPr="00706C27">
        <w:rPr>
          <w:rFonts w:ascii="Arial" w:hAnsi="Arial" w:cs="Arial"/>
        </w:rPr>
        <w:t>The capsule was swallowed</w:t>
      </w:r>
      <w:r w:rsidR="009A239D" w:rsidRPr="00706C27">
        <w:rPr>
          <w:rFonts w:ascii="Arial" w:hAnsi="Arial" w:cs="Arial"/>
        </w:rPr>
        <w:t xml:space="preserve"> with a few sips of water and </w:t>
      </w:r>
      <w:r w:rsidRPr="00706C27">
        <w:rPr>
          <w:rFonts w:ascii="Arial" w:hAnsi="Arial" w:cs="Arial"/>
        </w:rPr>
        <w:t xml:space="preserve">patients </w:t>
      </w:r>
      <w:r w:rsidR="009A239D" w:rsidRPr="00706C27">
        <w:rPr>
          <w:rFonts w:ascii="Arial" w:hAnsi="Arial" w:cs="Arial"/>
        </w:rPr>
        <w:t>were given the option of pharyngeal anesthesia with lidocaine spray before</w:t>
      </w:r>
      <w:r w:rsidRPr="00706C27">
        <w:rPr>
          <w:rFonts w:ascii="Arial" w:hAnsi="Arial" w:cs="Arial"/>
        </w:rPr>
        <w:t xml:space="preserve"> or after the procedure.  The sponge was removed using</w:t>
      </w:r>
      <w:r w:rsidR="009A239D" w:rsidRPr="00706C27">
        <w:rPr>
          <w:rFonts w:ascii="Arial" w:hAnsi="Arial" w:cs="Arial"/>
        </w:rPr>
        <w:t xml:space="preserve"> the</w:t>
      </w:r>
      <w:r w:rsidRPr="00706C27">
        <w:rPr>
          <w:rFonts w:ascii="Arial" w:hAnsi="Arial" w:cs="Arial"/>
        </w:rPr>
        <w:t xml:space="preserve"> attached cord after 10 minute interval.</w:t>
      </w:r>
      <w:r w:rsidR="009A239D" w:rsidRPr="00706C27">
        <w:rPr>
          <w:rFonts w:ascii="Arial" w:hAnsi="Arial" w:cs="Arial"/>
        </w:rPr>
        <w:t xml:space="preserve"> Following</w:t>
      </w:r>
      <w:r w:rsidRPr="00706C27">
        <w:rPr>
          <w:rFonts w:ascii="Arial" w:hAnsi="Arial" w:cs="Arial"/>
        </w:rPr>
        <w:t xml:space="preserve"> retrieval, the sponge was </w:t>
      </w:r>
      <w:r w:rsidR="009A239D" w:rsidRPr="00706C27">
        <w:rPr>
          <w:rFonts w:ascii="Arial" w:hAnsi="Arial" w:cs="Arial"/>
        </w:rPr>
        <w:t>placed</w:t>
      </w:r>
      <w:r w:rsidRPr="00706C27">
        <w:rPr>
          <w:rFonts w:ascii="Arial" w:hAnsi="Arial" w:cs="Arial"/>
        </w:rPr>
        <w:t xml:space="preserve"> in a vial containing 20mL of </w:t>
      </w:r>
      <w:r w:rsidR="009A239D" w:rsidRPr="00706C27">
        <w:rPr>
          <w:rFonts w:ascii="Arial" w:hAnsi="Arial" w:cs="Arial"/>
        </w:rPr>
        <w:t xml:space="preserve">cell preservation buffer (PreservCyt, </w:t>
      </w:r>
      <w:proofErr w:type="spellStart"/>
      <w:r w:rsidR="009A239D" w:rsidRPr="00706C27">
        <w:rPr>
          <w:rFonts w:ascii="Arial" w:hAnsi="Arial" w:cs="Arial"/>
        </w:rPr>
        <w:t>Cytyc</w:t>
      </w:r>
      <w:proofErr w:type="spellEnd"/>
      <w:r w:rsidR="009A239D" w:rsidRPr="00706C27">
        <w:rPr>
          <w:rFonts w:ascii="Arial" w:hAnsi="Arial" w:cs="Arial"/>
        </w:rPr>
        <w:t xml:space="preserve"> Corporation, Marlborough</w:t>
      </w:r>
      <w:r w:rsidRPr="00706C27">
        <w:rPr>
          <w:rFonts w:ascii="Arial" w:hAnsi="Arial" w:cs="Arial"/>
        </w:rPr>
        <w:t xml:space="preserve"> MA) and</w:t>
      </w:r>
      <w:r w:rsidR="009A239D" w:rsidRPr="00706C27">
        <w:rPr>
          <w:rFonts w:ascii="Arial" w:hAnsi="Arial" w:cs="Arial"/>
        </w:rPr>
        <w:t xml:space="preserve"> vortex</w:t>
      </w:r>
      <w:r w:rsidRPr="00706C27">
        <w:rPr>
          <w:rFonts w:ascii="Arial" w:hAnsi="Arial" w:cs="Arial"/>
        </w:rPr>
        <w:t>ed.</w:t>
      </w:r>
      <w:r w:rsidR="009A239D" w:rsidRPr="00706C27">
        <w:rPr>
          <w:rFonts w:ascii="Arial" w:hAnsi="Arial" w:cs="Arial"/>
        </w:rPr>
        <w:t xml:space="preserve"> The suspen</w:t>
      </w:r>
      <w:r w:rsidR="002D0276" w:rsidRPr="00706C27">
        <w:rPr>
          <w:rFonts w:ascii="Arial" w:hAnsi="Arial" w:cs="Arial"/>
        </w:rPr>
        <w:t xml:space="preserve">sion was removed and the process </w:t>
      </w:r>
      <w:r w:rsidR="009A239D" w:rsidRPr="00706C27">
        <w:rPr>
          <w:rFonts w:ascii="Arial" w:hAnsi="Arial" w:cs="Arial"/>
        </w:rPr>
        <w:t>repeated wit</w:t>
      </w:r>
      <w:r w:rsidR="002D0276" w:rsidRPr="00706C27">
        <w:rPr>
          <w:rFonts w:ascii="Arial" w:hAnsi="Arial" w:cs="Arial"/>
        </w:rPr>
        <w:t>h an additional 20 ml buffer.</w:t>
      </w:r>
      <w:r w:rsidR="009A239D" w:rsidRPr="00706C27">
        <w:rPr>
          <w:rFonts w:ascii="Arial" w:hAnsi="Arial" w:cs="Arial"/>
        </w:rPr>
        <w:t xml:space="preserve">  </w:t>
      </w:r>
      <w:r w:rsidR="002D0276" w:rsidRPr="00706C27">
        <w:rPr>
          <w:rFonts w:ascii="Arial" w:hAnsi="Arial" w:cs="Arial"/>
        </w:rPr>
        <w:t xml:space="preserve">The 40mL suspension was centrifuged at 500 x g for 5 minutes to pellet the cells. DNA was extracted using the </w:t>
      </w:r>
      <w:proofErr w:type="spellStart"/>
      <w:r w:rsidR="002D0276" w:rsidRPr="00706C27">
        <w:rPr>
          <w:rFonts w:ascii="Arial" w:hAnsi="Arial" w:cs="Arial"/>
        </w:rPr>
        <w:t>Gentra</w:t>
      </w:r>
      <w:proofErr w:type="spellEnd"/>
      <w:r w:rsidR="002D0276" w:rsidRPr="00706C27">
        <w:rPr>
          <w:rFonts w:ascii="Arial" w:hAnsi="Arial" w:cs="Arial"/>
        </w:rPr>
        <w:t xml:space="preserve"> </w:t>
      </w:r>
      <w:proofErr w:type="spellStart"/>
      <w:r w:rsidR="002D0276" w:rsidRPr="00706C27">
        <w:rPr>
          <w:rFonts w:ascii="Arial" w:hAnsi="Arial" w:cs="Arial"/>
        </w:rPr>
        <w:t>Puregene</w:t>
      </w:r>
      <w:proofErr w:type="spellEnd"/>
      <w:r w:rsidR="002D0276" w:rsidRPr="00706C27">
        <w:rPr>
          <w:rFonts w:ascii="Arial" w:hAnsi="Arial" w:cs="Arial"/>
        </w:rPr>
        <w:t xml:space="preserve"> Buccal cell kit, as above. </w:t>
      </w:r>
      <w:r w:rsidR="009A239D" w:rsidRPr="00706C27">
        <w:rPr>
          <w:rFonts w:ascii="Arial" w:hAnsi="Arial" w:cs="Arial"/>
        </w:rPr>
        <w:t>Following bisulfite conv</w:t>
      </w:r>
      <w:r w:rsidR="002D0276" w:rsidRPr="00706C27">
        <w:rPr>
          <w:rFonts w:ascii="Arial" w:hAnsi="Arial" w:cs="Arial"/>
        </w:rPr>
        <w:t>ersion (Zymo Research</w:t>
      </w:r>
      <w:r w:rsidR="009A239D" w:rsidRPr="00706C27">
        <w:rPr>
          <w:rFonts w:ascii="Arial" w:hAnsi="Arial" w:cs="Arial"/>
        </w:rPr>
        <w:t>), the samples were assa</w:t>
      </w:r>
      <w:r w:rsidR="00131716" w:rsidRPr="00706C27">
        <w:rPr>
          <w:rFonts w:ascii="Arial" w:hAnsi="Arial" w:cs="Arial"/>
        </w:rPr>
        <w:t xml:space="preserve">yed by </w:t>
      </w:r>
      <w:proofErr w:type="spellStart"/>
      <w:r w:rsidR="00131716" w:rsidRPr="00706C27">
        <w:rPr>
          <w:rFonts w:ascii="Arial" w:hAnsi="Arial" w:cs="Arial"/>
        </w:rPr>
        <w:t>QuARTs</w:t>
      </w:r>
      <w:proofErr w:type="spellEnd"/>
      <w:r w:rsidR="00131716" w:rsidRPr="00706C27">
        <w:rPr>
          <w:rFonts w:ascii="Arial" w:hAnsi="Arial" w:cs="Arial"/>
        </w:rPr>
        <w:t xml:space="preserve"> (quantitative allele-specific</w:t>
      </w:r>
      <w:r w:rsidR="00F42B29" w:rsidRPr="00706C27">
        <w:rPr>
          <w:rFonts w:ascii="Arial" w:hAnsi="Arial" w:cs="Arial"/>
        </w:rPr>
        <w:t>,</w:t>
      </w:r>
      <w:r w:rsidR="00131716" w:rsidRPr="00706C27">
        <w:rPr>
          <w:rFonts w:ascii="Arial" w:hAnsi="Arial" w:cs="Arial"/>
        </w:rPr>
        <w:t xml:space="preserve"> real-time</w:t>
      </w:r>
      <w:r w:rsidR="00F42B29" w:rsidRPr="00706C27">
        <w:rPr>
          <w:rFonts w:ascii="Arial" w:hAnsi="Arial" w:cs="Arial"/>
        </w:rPr>
        <w:t>, target and signal amplification</w:t>
      </w:r>
      <w:proofErr w:type="gramStart"/>
      <w:r w:rsidR="00AE3F2F" w:rsidRPr="00706C27">
        <w:rPr>
          <w:rFonts w:ascii="Arial" w:hAnsi="Arial" w:cs="Arial"/>
        </w:rPr>
        <w:t>)(</w:t>
      </w:r>
      <w:proofErr w:type="gramEnd"/>
      <w:r w:rsidR="00AE3F2F" w:rsidRPr="00706C27">
        <w:rPr>
          <w:rFonts w:ascii="Arial" w:hAnsi="Arial" w:cs="Arial"/>
        </w:rPr>
        <w:t>ref)</w:t>
      </w:r>
      <w:r w:rsidR="00F42B29" w:rsidRPr="00706C27">
        <w:rPr>
          <w:rFonts w:ascii="Arial" w:hAnsi="Arial" w:cs="Arial"/>
        </w:rPr>
        <w:t xml:space="preserve">. </w:t>
      </w:r>
      <w:r w:rsidR="008A75B5" w:rsidRPr="00706C27">
        <w:rPr>
          <w:rFonts w:ascii="Arial" w:hAnsi="Arial" w:cs="Arial"/>
        </w:rPr>
        <w:t>Briefly,</w:t>
      </w:r>
      <w:r w:rsidR="00F42B29" w:rsidRPr="00706C27">
        <w:rPr>
          <w:rFonts w:ascii="Arial" w:hAnsi="Arial" w:cs="Arial"/>
        </w:rPr>
        <w:t xml:space="preserve"> </w:t>
      </w:r>
      <w:proofErr w:type="spellStart"/>
      <w:r w:rsidR="00F42B29" w:rsidRPr="00706C27">
        <w:rPr>
          <w:rFonts w:ascii="Arial" w:hAnsi="Arial" w:cs="Arial"/>
        </w:rPr>
        <w:t>QuART</w:t>
      </w:r>
      <w:r w:rsidR="008A75B5" w:rsidRPr="00706C27">
        <w:rPr>
          <w:rFonts w:ascii="Arial" w:hAnsi="Arial" w:cs="Arial"/>
        </w:rPr>
        <w:t>S</w:t>
      </w:r>
      <w:proofErr w:type="spellEnd"/>
      <w:r w:rsidR="008A75B5" w:rsidRPr="00706C27">
        <w:rPr>
          <w:rFonts w:ascii="Arial" w:hAnsi="Arial" w:cs="Arial"/>
        </w:rPr>
        <w:t xml:space="preserve"> </w:t>
      </w:r>
      <w:r w:rsidR="00C26F3C" w:rsidRPr="00706C27">
        <w:rPr>
          <w:rFonts w:ascii="Arial" w:hAnsi="Arial" w:cs="Arial"/>
        </w:rPr>
        <w:t xml:space="preserve">is a highly sensitive and specific </w:t>
      </w:r>
      <w:r w:rsidR="00DD78FF" w:rsidRPr="00706C27">
        <w:rPr>
          <w:rFonts w:ascii="Arial" w:hAnsi="Arial" w:cs="Arial"/>
        </w:rPr>
        <w:t xml:space="preserve">multiplexed </w:t>
      </w:r>
      <w:r w:rsidR="00F42B29" w:rsidRPr="00706C27">
        <w:rPr>
          <w:rFonts w:ascii="Arial" w:hAnsi="Arial" w:cs="Arial"/>
        </w:rPr>
        <w:t xml:space="preserve">amplification </w:t>
      </w:r>
      <w:r w:rsidR="00C26F3C" w:rsidRPr="00706C27">
        <w:rPr>
          <w:rFonts w:ascii="Arial" w:hAnsi="Arial" w:cs="Arial"/>
        </w:rPr>
        <w:t>technique</w:t>
      </w:r>
      <w:r w:rsidR="008A75B5" w:rsidRPr="00706C27">
        <w:rPr>
          <w:rFonts w:ascii="Arial" w:hAnsi="Arial" w:cs="Arial"/>
        </w:rPr>
        <w:t xml:space="preserve"> which combines </w:t>
      </w:r>
      <w:proofErr w:type="gramStart"/>
      <w:r w:rsidR="008A75B5" w:rsidRPr="00706C27">
        <w:rPr>
          <w:rFonts w:ascii="Arial" w:hAnsi="Arial" w:cs="Arial"/>
        </w:rPr>
        <w:t>a polymerase</w:t>
      </w:r>
      <w:proofErr w:type="gramEnd"/>
      <w:r w:rsidR="008A75B5" w:rsidRPr="00706C27">
        <w:rPr>
          <w:rFonts w:ascii="Arial" w:hAnsi="Arial" w:cs="Arial"/>
        </w:rPr>
        <w:t>-based target amplification with an invasive cleavage-based signal cascade. The fluorescence signal is detected in a fashion similar to real-time PCR.</w:t>
      </w:r>
      <w:r w:rsidR="00F42B29" w:rsidRPr="00706C27">
        <w:rPr>
          <w:rFonts w:ascii="Arial" w:hAnsi="Arial" w:cs="Arial"/>
        </w:rPr>
        <w:t xml:space="preserve"> </w:t>
      </w:r>
      <w:r w:rsidR="00DD78FF" w:rsidRPr="00706C27">
        <w:rPr>
          <w:rFonts w:ascii="Arial" w:hAnsi="Arial" w:cs="Arial"/>
        </w:rPr>
        <w:t xml:space="preserve"> </w:t>
      </w:r>
      <w:proofErr w:type="spellStart"/>
      <w:r w:rsidR="008A75B5" w:rsidRPr="00706C27">
        <w:rPr>
          <w:rFonts w:ascii="Arial" w:hAnsi="Arial" w:cs="Arial"/>
        </w:rPr>
        <w:t>Oligos</w:t>
      </w:r>
      <w:proofErr w:type="spellEnd"/>
      <w:r w:rsidR="004E659D" w:rsidRPr="00706C27">
        <w:rPr>
          <w:rFonts w:ascii="Arial" w:hAnsi="Arial" w:cs="Arial"/>
        </w:rPr>
        <w:t xml:space="preserve">, including primers, invasive </w:t>
      </w:r>
      <w:proofErr w:type="spellStart"/>
      <w:r w:rsidR="004E659D" w:rsidRPr="00706C27">
        <w:rPr>
          <w:rFonts w:ascii="Arial" w:hAnsi="Arial" w:cs="Arial"/>
        </w:rPr>
        <w:t>oligos</w:t>
      </w:r>
      <w:proofErr w:type="spellEnd"/>
      <w:r w:rsidR="004E659D" w:rsidRPr="00706C27">
        <w:rPr>
          <w:rFonts w:ascii="Arial" w:hAnsi="Arial" w:cs="Arial"/>
        </w:rPr>
        <w:t>, and detection</w:t>
      </w:r>
      <w:r w:rsidR="008A75B5" w:rsidRPr="00706C27">
        <w:rPr>
          <w:rFonts w:ascii="Arial" w:hAnsi="Arial" w:cs="Arial"/>
        </w:rPr>
        <w:t xml:space="preserve"> probes</w:t>
      </w:r>
      <w:r w:rsidR="004E659D" w:rsidRPr="00706C27">
        <w:rPr>
          <w:rFonts w:ascii="Arial" w:hAnsi="Arial" w:cs="Arial"/>
        </w:rPr>
        <w:t>, were designed</w:t>
      </w:r>
      <w:r w:rsidR="008A75B5" w:rsidRPr="00706C27">
        <w:rPr>
          <w:rFonts w:ascii="Arial" w:hAnsi="Arial" w:cs="Arial"/>
        </w:rPr>
        <w:t xml:space="preserve"> for 27 markers</w:t>
      </w:r>
      <w:r w:rsidR="004E659D" w:rsidRPr="00706C27">
        <w:rPr>
          <w:rFonts w:ascii="Arial" w:hAnsi="Arial" w:cs="Arial"/>
        </w:rPr>
        <w:t xml:space="preserve">, the 22 original candidates and five additional markers from the tissue validation phase. </w:t>
      </w:r>
      <w:r w:rsidR="00AE3F2F" w:rsidRPr="00706C27">
        <w:rPr>
          <w:rFonts w:ascii="Arial" w:hAnsi="Arial" w:cs="Arial"/>
        </w:rPr>
        <w:t>S</w:t>
      </w:r>
      <w:r w:rsidR="00F42B29" w:rsidRPr="00706C27">
        <w:rPr>
          <w:rFonts w:ascii="Arial" w:hAnsi="Arial" w:cs="Arial"/>
        </w:rPr>
        <w:t>tanda</w:t>
      </w:r>
      <w:r w:rsidR="00AE3F2F" w:rsidRPr="00706C27">
        <w:rPr>
          <w:rFonts w:ascii="Arial" w:hAnsi="Arial" w:cs="Arial"/>
        </w:rPr>
        <w:t xml:space="preserve">rds were constructed from cloned plasmid-derived marker sequences </w:t>
      </w:r>
      <w:r w:rsidR="004E659D" w:rsidRPr="00706C27">
        <w:rPr>
          <w:rFonts w:ascii="Arial" w:hAnsi="Arial" w:cs="Arial"/>
        </w:rPr>
        <w:t>where</w:t>
      </w:r>
      <w:r w:rsidR="00F42B29" w:rsidRPr="00706C27">
        <w:rPr>
          <w:rFonts w:ascii="Arial" w:hAnsi="Arial" w:cs="Arial"/>
        </w:rPr>
        <w:t xml:space="preserve"> absolute copy numbers </w:t>
      </w:r>
      <w:r w:rsidR="00AE3F2F" w:rsidRPr="00706C27">
        <w:rPr>
          <w:rFonts w:ascii="Arial" w:hAnsi="Arial" w:cs="Arial"/>
        </w:rPr>
        <w:t xml:space="preserve">were </w:t>
      </w:r>
      <w:r w:rsidR="00F42B29" w:rsidRPr="00706C27">
        <w:rPr>
          <w:rFonts w:ascii="Arial" w:hAnsi="Arial" w:cs="Arial"/>
        </w:rPr>
        <w:t>determined by Poisson m</w:t>
      </w:r>
      <w:r w:rsidR="004E659D" w:rsidRPr="00706C27">
        <w:rPr>
          <w:rFonts w:ascii="Arial" w:hAnsi="Arial" w:cs="Arial"/>
        </w:rPr>
        <w:t xml:space="preserve">odeling after serial dilution. </w:t>
      </w:r>
      <w:r w:rsidR="00AE3F2F" w:rsidRPr="00706C27">
        <w:rPr>
          <w:rFonts w:ascii="Arial" w:hAnsi="Arial" w:cs="Arial"/>
        </w:rPr>
        <w:t xml:space="preserve">Samples were </w:t>
      </w:r>
      <w:proofErr w:type="spellStart"/>
      <w:r w:rsidR="00AE3F2F" w:rsidRPr="00706C27">
        <w:rPr>
          <w:rFonts w:ascii="Arial" w:hAnsi="Arial" w:cs="Arial"/>
        </w:rPr>
        <w:t>preamplified</w:t>
      </w:r>
      <w:proofErr w:type="spellEnd"/>
      <w:r w:rsidR="00AE3F2F" w:rsidRPr="00706C27">
        <w:rPr>
          <w:rFonts w:ascii="Arial" w:hAnsi="Arial" w:cs="Arial"/>
        </w:rPr>
        <w:t xml:space="preserve"> using corresponding primer sets, diluted, and amplified by </w:t>
      </w:r>
      <w:proofErr w:type="spellStart"/>
      <w:r w:rsidR="00AE3F2F" w:rsidRPr="00706C27">
        <w:rPr>
          <w:rFonts w:ascii="Arial" w:hAnsi="Arial" w:cs="Arial"/>
        </w:rPr>
        <w:t>QuARTs</w:t>
      </w:r>
      <w:proofErr w:type="spellEnd"/>
      <w:r w:rsidR="00AE3F2F" w:rsidRPr="00706C27">
        <w:rPr>
          <w:rFonts w:ascii="Arial" w:hAnsi="Arial" w:cs="Arial"/>
        </w:rPr>
        <w:t xml:space="preserve"> using the LightCycler 480.</w:t>
      </w:r>
      <w:r w:rsidR="004E659D" w:rsidRPr="00706C27">
        <w:rPr>
          <w:rFonts w:ascii="Arial" w:hAnsi="Arial" w:cs="Arial"/>
        </w:rPr>
        <w:t xml:space="preserve"> </w:t>
      </w:r>
      <w:proofErr w:type="spellStart"/>
      <w:r w:rsidR="00AE3F2F" w:rsidRPr="00706C27">
        <w:rPr>
          <w:rFonts w:ascii="Arial" w:hAnsi="Arial" w:cs="Arial"/>
        </w:rPr>
        <w:t>QuARTS</w:t>
      </w:r>
      <w:proofErr w:type="spellEnd"/>
      <w:r w:rsidR="00AE3F2F" w:rsidRPr="00706C27">
        <w:rPr>
          <w:rFonts w:ascii="Arial" w:hAnsi="Arial" w:cs="Arial"/>
        </w:rPr>
        <w:t xml:space="preserve"> reactions were performed using 400–600 </w:t>
      </w:r>
      <w:proofErr w:type="spellStart"/>
      <w:r w:rsidR="00AE3F2F" w:rsidRPr="00706C27">
        <w:rPr>
          <w:rFonts w:ascii="Arial" w:hAnsi="Arial" w:cs="Arial"/>
        </w:rPr>
        <w:t>nmol</w:t>
      </w:r>
      <w:proofErr w:type="spellEnd"/>
      <w:r w:rsidR="00AE3F2F" w:rsidRPr="00706C27">
        <w:rPr>
          <w:rFonts w:ascii="Arial" w:hAnsi="Arial" w:cs="Arial"/>
        </w:rPr>
        <w:t xml:space="preserve">/L of each of the primers and detection probes, 100 </w:t>
      </w:r>
      <w:proofErr w:type="spellStart"/>
      <w:r w:rsidR="00AE3F2F" w:rsidRPr="00706C27">
        <w:rPr>
          <w:rFonts w:ascii="Arial" w:hAnsi="Arial" w:cs="Arial"/>
        </w:rPr>
        <w:t>nmol</w:t>
      </w:r>
      <w:proofErr w:type="spellEnd"/>
      <w:r w:rsidR="00AE3F2F" w:rsidRPr="00706C27">
        <w:rPr>
          <w:rFonts w:ascii="Arial" w:hAnsi="Arial" w:cs="Arial"/>
        </w:rPr>
        <w:t xml:space="preserve">/L invasive oligo, 600–700 </w:t>
      </w:r>
      <w:proofErr w:type="spellStart"/>
      <w:r w:rsidR="00AE3F2F" w:rsidRPr="00706C27">
        <w:rPr>
          <w:rFonts w:ascii="Arial" w:hAnsi="Arial" w:cs="Arial"/>
        </w:rPr>
        <w:t>nmol</w:t>
      </w:r>
      <w:proofErr w:type="spellEnd"/>
      <w:r w:rsidR="00AE3F2F" w:rsidRPr="00706C27">
        <w:rPr>
          <w:rFonts w:ascii="Arial" w:hAnsi="Arial" w:cs="Arial"/>
        </w:rPr>
        <w:t>/L of each FAM (</w:t>
      </w:r>
      <w:proofErr w:type="spellStart"/>
      <w:r w:rsidR="00AE3F2F" w:rsidRPr="00706C27">
        <w:rPr>
          <w:rFonts w:ascii="Arial" w:hAnsi="Arial" w:cs="Arial"/>
        </w:rPr>
        <w:t>Hologic</w:t>
      </w:r>
      <w:proofErr w:type="spellEnd"/>
      <w:r w:rsidR="00AE3F2F" w:rsidRPr="00706C27">
        <w:rPr>
          <w:rFonts w:ascii="Arial" w:hAnsi="Arial" w:cs="Arial"/>
        </w:rPr>
        <w:t>), Yakima Yellow (</w:t>
      </w:r>
      <w:proofErr w:type="spellStart"/>
      <w:r w:rsidR="00AE3F2F" w:rsidRPr="00706C27">
        <w:rPr>
          <w:rFonts w:ascii="Arial" w:hAnsi="Arial" w:cs="Arial"/>
        </w:rPr>
        <w:t>Hologic</w:t>
      </w:r>
      <w:proofErr w:type="spellEnd"/>
      <w:r w:rsidR="00AE3F2F" w:rsidRPr="00706C27">
        <w:rPr>
          <w:rFonts w:ascii="Arial" w:hAnsi="Arial" w:cs="Arial"/>
        </w:rPr>
        <w:t>), and Quasar 670 (</w:t>
      </w:r>
      <w:proofErr w:type="spellStart"/>
      <w:r w:rsidR="00AE3F2F" w:rsidRPr="00706C27">
        <w:rPr>
          <w:rFonts w:ascii="Arial" w:hAnsi="Arial" w:cs="Arial"/>
        </w:rPr>
        <w:t>BioSearch</w:t>
      </w:r>
      <w:proofErr w:type="spellEnd"/>
      <w:r w:rsidR="00AE3F2F" w:rsidRPr="00706C27">
        <w:rPr>
          <w:rFonts w:ascii="Arial" w:hAnsi="Arial" w:cs="Arial"/>
        </w:rPr>
        <w:t xml:space="preserve"> Technologies) FRET cassettes, 6.675 ng/</w:t>
      </w:r>
      <w:proofErr w:type="spellStart"/>
      <w:r w:rsidR="00AE3F2F" w:rsidRPr="00706C27">
        <w:rPr>
          <w:rFonts w:ascii="Arial" w:hAnsi="Arial" w:cs="Arial"/>
        </w:rPr>
        <w:t>μl</w:t>
      </w:r>
      <w:proofErr w:type="spellEnd"/>
      <w:r w:rsidR="00AE3F2F" w:rsidRPr="00706C27">
        <w:rPr>
          <w:rFonts w:ascii="Arial" w:hAnsi="Arial" w:cs="Arial"/>
        </w:rPr>
        <w:t xml:space="preserve"> </w:t>
      </w:r>
      <w:proofErr w:type="spellStart"/>
      <w:r w:rsidR="00AE3F2F" w:rsidRPr="00706C27">
        <w:rPr>
          <w:rFonts w:ascii="Arial" w:hAnsi="Arial" w:cs="Arial"/>
        </w:rPr>
        <w:t>cleavase</w:t>
      </w:r>
      <w:proofErr w:type="spellEnd"/>
      <w:r w:rsidR="00AE3F2F" w:rsidRPr="00706C27">
        <w:rPr>
          <w:rFonts w:ascii="Arial" w:hAnsi="Arial" w:cs="Arial"/>
        </w:rPr>
        <w:t xml:space="preserve"> 2.0 (</w:t>
      </w:r>
      <w:proofErr w:type="spellStart"/>
      <w:r w:rsidR="00AE3F2F" w:rsidRPr="00706C27">
        <w:rPr>
          <w:rFonts w:ascii="Arial" w:hAnsi="Arial" w:cs="Arial"/>
        </w:rPr>
        <w:t>Hologic</w:t>
      </w:r>
      <w:proofErr w:type="spellEnd"/>
      <w:r w:rsidR="00AE3F2F" w:rsidRPr="00706C27">
        <w:rPr>
          <w:rFonts w:ascii="Arial" w:hAnsi="Arial" w:cs="Arial"/>
        </w:rPr>
        <w:t xml:space="preserve">), 1 U hot-start </w:t>
      </w:r>
      <w:proofErr w:type="spellStart"/>
      <w:r w:rsidR="00AE3F2F" w:rsidRPr="00706C27">
        <w:rPr>
          <w:rFonts w:ascii="Arial" w:hAnsi="Arial" w:cs="Arial"/>
        </w:rPr>
        <w:t>GoTaq</w:t>
      </w:r>
      <w:proofErr w:type="spellEnd"/>
      <w:r w:rsidR="00AE3F2F" w:rsidRPr="00706C27">
        <w:rPr>
          <w:rFonts w:ascii="Arial" w:hAnsi="Arial" w:cs="Arial"/>
        </w:rPr>
        <w:t xml:space="preserve"> polymerase (</w:t>
      </w:r>
      <w:proofErr w:type="spellStart"/>
      <w:r w:rsidR="00AE3F2F" w:rsidRPr="00706C27">
        <w:rPr>
          <w:rFonts w:ascii="Arial" w:hAnsi="Arial" w:cs="Arial"/>
        </w:rPr>
        <w:t>Promega</w:t>
      </w:r>
      <w:proofErr w:type="spellEnd"/>
      <w:r w:rsidR="00AE3F2F" w:rsidRPr="00706C27">
        <w:rPr>
          <w:rFonts w:ascii="Arial" w:hAnsi="Arial" w:cs="Arial"/>
        </w:rPr>
        <w:t xml:space="preserve">), 10 </w:t>
      </w:r>
      <w:proofErr w:type="spellStart"/>
      <w:r w:rsidR="00AE3F2F" w:rsidRPr="00706C27">
        <w:rPr>
          <w:rFonts w:ascii="Arial" w:hAnsi="Arial" w:cs="Arial"/>
        </w:rPr>
        <w:t>mmol</w:t>
      </w:r>
      <w:proofErr w:type="spellEnd"/>
      <w:r w:rsidR="00AE3F2F" w:rsidRPr="00706C27">
        <w:rPr>
          <w:rFonts w:ascii="Arial" w:hAnsi="Arial" w:cs="Arial"/>
        </w:rPr>
        <w:t xml:space="preserve">/L MOPS, 7.5 </w:t>
      </w:r>
      <w:proofErr w:type="spellStart"/>
      <w:r w:rsidR="00AE3F2F" w:rsidRPr="00706C27">
        <w:rPr>
          <w:rFonts w:ascii="Arial" w:hAnsi="Arial" w:cs="Arial"/>
        </w:rPr>
        <w:t>mmol</w:t>
      </w:r>
      <w:proofErr w:type="spellEnd"/>
      <w:r w:rsidR="00AE3F2F" w:rsidRPr="00706C27">
        <w:rPr>
          <w:rFonts w:ascii="Arial" w:hAnsi="Arial" w:cs="Arial"/>
        </w:rPr>
        <w:t xml:space="preserve">/L MgCl2, and 250 </w:t>
      </w:r>
      <w:proofErr w:type="spellStart"/>
      <w:r w:rsidR="00AE3F2F" w:rsidRPr="00706C27">
        <w:rPr>
          <w:rFonts w:ascii="Arial" w:hAnsi="Arial" w:cs="Arial"/>
        </w:rPr>
        <w:t>μmol</w:t>
      </w:r>
      <w:proofErr w:type="spellEnd"/>
      <w:r w:rsidR="00AE3F2F" w:rsidRPr="00706C27">
        <w:rPr>
          <w:rFonts w:ascii="Arial" w:hAnsi="Arial" w:cs="Arial"/>
        </w:rPr>
        <w:t xml:space="preserve">/L of each dNTP. </w:t>
      </w:r>
      <w:proofErr w:type="spellStart"/>
      <w:r w:rsidR="00AE3F2F" w:rsidRPr="00706C27">
        <w:rPr>
          <w:rFonts w:ascii="Arial" w:hAnsi="Arial" w:cs="Arial"/>
        </w:rPr>
        <w:t>QuARTS</w:t>
      </w:r>
      <w:proofErr w:type="spellEnd"/>
      <w:r w:rsidR="00AE3F2F" w:rsidRPr="00706C27">
        <w:rPr>
          <w:rFonts w:ascii="Arial" w:hAnsi="Arial" w:cs="Arial"/>
        </w:rPr>
        <w:t xml:space="preserve"> cycling conditions consisted of 95 °C for 3 min, 10 cycles at 95 °C for 20 s, 67 °C for 30 s, and 70 °C for 30 s, 37 cycles at 95 °C for 20 s, 53 °C for 1 min, and 70 °C for 30 </w:t>
      </w:r>
      <w:proofErr w:type="gramStart"/>
      <w:r w:rsidR="00AE3F2F" w:rsidRPr="00706C27">
        <w:rPr>
          <w:rFonts w:ascii="Arial" w:hAnsi="Arial" w:cs="Arial"/>
        </w:rPr>
        <w:t>s,</w:t>
      </w:r>
      <w:proofErr w:type="gramEnd"/>
      <w:r w:rsidR="00AE3F2F" w:rsidRPr="00706C27">
        <w:rPr>
          <w:rFonts w:ascii="Arial" w:hAnsi="Arial" w:cs="Arial"/>
        </w:rPr>
        <w:t xml:space="preserve"> and 40 °C hold for 30 s</w:t>
      </w:r>
      <w:r w:rsidR="004E659D" w:rsidRPr="00706C27">
        <w:rPr>
          <w:rFonts w:ascii="Arial" w:hAnsi="Arial" w:cs="Arial"/>
        </w:rPr>
        <w:t>.</w:t>
      </w:r>
      <w:r w:rsidR="00A54F32" w:rsidRPr="00706C27">
        <w:rPr>
          <w:rFonts w:ascii="Arial" w:hAnsi="Arial" w:cs="Arial"/>
        </w:rPr>
        <w:t xml:space="preserve"> </w:t>
      </w:r>
    </w:p>
    <w:p w14:paraId="3434C2DC" w14:textId="77777777" w:rsidR="003F2A30" w:rsidRPr="00706C27" w:rsidRDefault="003F2A30" w:rsidP="00711920">
      <w:pPr>
        <w:ind w:firstLine="720"/>
        <w:rPr>
          <w:rFonts w:ascii="Arial" w:hAnsi="Arial" w:cs="Arial"/>
        </w:rPr>
      </w:pPr>
    </w:p>
    <w:p w14:paraId="67244EC2" w14:textId="77777777" w:rsidR="009A239D" w:rsidRPr="009A239D" w:rsidRDefault="009A239D" w:rsidP="009A239D">
      <w:pPr>
        <w:rPr>
          <w:rFonts w:ascii="Garamond" w:hAnsi="Garamond"/>
        </w:rPr>
      </w:pPr>
      <w:bookmarkStart w:id="0" w:name="_GoBack"/>
      <w:bookmarkEnd w:id="0"/>
    </w:p>
    <w:sectPr w:rsidR="009A239D" w:rsidRPr="009A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107D"/>
    <w:multiLevelType w:val="hybridMultilevel"/>
    <w:tmpl w:val="A3988BEC"/>
    <w:lvl w:ilvl="0" w:tplc="025CC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DF79C6"/>
    <w:multiLevelType w:val="hybridMultilevel"/>
    <w:tmpl w:val="5D0E4E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651C1"/>
    <w:multiLevelType w:val="hybridMultilevel"/>
    <w:tmpl w:val="CD941DD0"/>
    <w:lvl w:ilvl="0" w:tplc="1BE0E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4857C1"/>
    <w:multiLevelType w:val="hybridMultilevel"/>
    <w:tmpl w:val="6BE0E1AA"/>
    <w:lvl w:ilvl="0" w:tplc="1714B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5658DD"/>
    <w:multiLevelType w:val="hybridMultilevel"/>
    <w:tmpl w:val="7A823180"/>
    <w:lvl w:ilvl="0" w:tplc="F4E6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D"/>
    <w:rsid w:val="00013BB1"/>
    <w:rsid w:val="000748D2"/>
    <w:rsid w:val="00131716"/>
    <w:rsid w:val="0016618A"/>
    <w:rsid w:val="001A5754"/>
    <w:rsid w:val="001C5F2E"/>
    <w:rsid w:val="001E78BC"/>
    <w:rsid w:val="002B2D7A"/>
    <w:rsid w:val="002D0276"/>
    <w:rsid w:val="00306AB3"/>
    <w:rsid w:val="003828D6"/>
    <w:rsid w:val="003926ED"/>
    <w:rsid w:val="00393F37"/>
    <w:rsid w:val="003E5434"/>
    <w:rsid w:val="003F2A30"/>
    <w:rsid w:val="003F64EB"/>
    <w:rsid w:val="00472AF7"/>
    <w:rsid w:val="00476B3F"/>
    <w:rsid w:val="004C0CAC"/>
    <w:rsid w:val="004E45EE"/>
    <w:rsid w:val="004E659D"/>
    <w:rsid w:val="005F667F"/>
    <w:rsid w:val="00621575"/>
    <w:rsid w:val="00706C27"/>
    <w:rsid w:val="00711920"/>
    <w:rsid w:val="00711A18"/>
    <w:rsid w:val="00735FAF"/>
    <w:rsid w:val="007965ED"/>
    <w:rsid w:val="007B794C"/>
    <w:rsid w:val="0083790C"/>
    <w:rsid w:val="00876F98"/>
    <w:rsid w:val="0089513D"/>
    <w:rsid w:val="008A75B5"/>
    <w:rsid w:val="008F08B0"/>
    <w:rsid w:val="008F515C"/>
    <w:rsid w:val="00926306"/>
    <w:rsid w:val="009A239D"/>
    <w:rsid w:val="009A37CF"/>
    <w:rsid w:val="00A050B9"/>
    <w:rsid w:val="00A22CF4"/>
    <w:rsid w:val="00A54F32"/>
    <w:rsid w:val="00AE30AF"/>
    <w:rsid w:val="00AE3F2F"/>
    <w:rsid w:val="00B01D20"/>
    <w:rsid w:val="00BD63A1"/>
    <w:rsid w:val="00C26F3C"/>
    <w:rsid w:val="00C31C31"/>
    <w:rsid w:val="00C3361A"/>
    <w:rsid w:val="00C40C32"/>
    <w:rsid w:val="00C85D22"/>
    <w:rsid w:val="00D44748"/>
    <w:rsid w:val="00DC1E74"/>
    <w:rsid w:val="00DD78FF"/>
    <w:rsid w:val="00E063E5"/>
    <w:rsid w:val="00E15D69"/>
    <w:rsid w:val="00E50791"/>
    <w:rsid w:val="00E65B49"/>
    <w:rsid w:val="00F42B29"/>
    <w:rsid w:val="00F67A16"/>
    <w:rsid w:val="00FB65E5"/>
    <w:rsid w:val="00FF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0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6E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6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7840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 Taylor</dc:creator>
  <cp:lastModifiedBy>Lyndsay M Busby</cp:lastModifiedBy>
  <cp:revision>2</cp:revision>
  <dcterms:created xsi:type="dcterms:W3CDTF">2017-12-13T19:15:00Z</dcterms:created>
  <dcterms:modified xsi:type="dcterms:W3CDTF">2017-12-13T19:15:00Z</dcterms:modified>
</cp:coreProperties>
</file>