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EA1B0" w14:textId="61FF3A96" w:rsidR="007A4CE7" w:rsidRPr="007A4CE7" w:rsidRDefault="00A476F6" w:rsidP="007A4CE7">
      <w:bookmarkStart w:id="0" w:name="_GoBack"/>
      <w:bookmarkEnd w:id="0"/>
      <w:r>
        <w:rPr>
          <w:b/>
        </w:rPr>
        <w:t>Supplement</w:t>
      </w:r>
      <w:r w:rsidRPr="007A4CE7">
        <w:rPr>
          <w:b/>
        </w:rPr>
        <w:t xml:space="preserve"> </w:t>
      </w:r>
      <w:r w:rsidR="007A4CE7" w:rsidRPr="007A4CE7">
        <w:rPr>
          <w:b/>
        </w:rPr>
        <w:t>1</w:t>
      </w:r>
      <w:r w:rsidR="007A4CE7" w:rsidRPr="007A4CE7">
        <w:t xml:space="preserve">: Sensitivity analyses of standardized classification ratios at higher or lower thresholds for inclusion based on colonoscopy volume </w:t>
      </w:r>
    </w:p>
    <w:tbl>
      <w:tblPr>
        <w:tblW w:w="8860" w:type="dxa"/>
        <w:tblInd w:w="93" w:type="dxa"/>
        <w:tblLook w:val="04A0" w:firstRow="1" w:lastRow="0" w:firstColumn="1" w:lastColumn="0" w:noHBand="0" w:noVBand="1"/>
      </w:tblPr>
      <w:tblGrid>
        <w:gridCol w:w="2380"/>
        <w:gridCol w:w="1094"/>
        <w:gridCol w:w="1080"/>
        <w:gridCol w:w="1094"/>
        <w:gridCol w:w="1094"/>
        <w:gridCol w:w="1080"/>
        <w:gridCol w:w="1094"/>
      </w:tblGrid>
      <w:tr w:rsidR="007A4CE7" w:rsidRPr="007A4CE7" w14:paraId="63B14F27" w14:textId="77777777" w:rsidTr="00357050">
        <w:trPr>
          <w:trHeight w:val="300"/>
        </w:trPr>
        <w:tc>
          <w:tcPr>
            <w:tcW w:w="23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AED9C08"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 </w:t>
            </w:r>
          </w:p>
        </w:tc>
        <w:tc>
          <w:tcPr>
            <w:tcW w:w="6480" w:type="dxa"/>
            <w:gridSpan w:val="6"/>
            <w:tcBorders>
              <w:top w:val="single" w:sz="4" w:space="0" w:color="auto"/>
              <w:left w:val="nil"/>
              <w:bottom w:val="single" w:sz="4" w:space="0" w:color="auto"/>
              <w:right w:val="single" w:sz="4" w:space="0" w:color="auto"/>
            </w:tcBorders>
            <w:shd w:val="clear" w:color="auto" w:fill="auto"/>
            <w:noWrap/>
            <w:hideMark/>
          </w:tcPr>
          <w:p w14:paraId="5887902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Ratio of Observed/Expected Classification</w:t>
            </w:r>
          </w:p>
        </w:tc>
      </w:tr>
      <w:tr w:rsidR="007A4CE7" w:rsidRPr="007A4CE7" w14:paraId="46FE9A8A" w14:textId="77777777" w:rsidTr="00357050">
        <w:trPr>
          <w:trHeight w:val="300"/>
        </w:trPr>
        <w:tc>
          <w:tcPr>
            <w:tcW w:w="2380" w:type="dxa"/>
            <w:vMerge/>
            <w:tcBorders>
              <w:top w:val="single" w:sz="4" w:space="0" w:color="000000"/>
              <w:left w:val="single" w:sz="4" w:space="0" w:color="auto"/>
              <w:bottom w:val="single" w:sz="4" w:space="0" w:color="000000"/>
              <w:right w:val="single" w:sz="4" w:space="0" w:color="auto"/>
            </w:tcBorders>
            <w:hideMark/>
          </w:tcPr>
          <w:p w14:paraId="24366D1A" w14:textId="77777777" w:rsidR="007A4CE7" w:rsidRPr="007A4CE7" w:rsidRDefault="007A4CE7" w:rsidP="007A4CE7">
            <w:pPr>
              <w:spacing w:after="0" w:line="240" w:lineRule="auto"/>
              <w:rPr>
                <w:rFonts w:ascii="Calibri" w:eastAsia="Times New Roman" w:hAnsi="Calibri" w:cs="Times New Roman"/>
                <w:color w:val="000000"/>
                <w:sz w:val="20"/>
                <w:szCs w:val="20"/>
              </w:rPr>
            </w:pPr>
          </w:p>
        </w:tc>
        <w:tc>
          <w:tcPr>
            <w:tcW w:w="3240" w:type="dxa"/>
            <w:gridSpan w:val="3"/>
            <w:tcBorders>
              <w:top w:val="single" w:sz="4" w:space="0" w:color="auto"/>
              <w:left w:val="nil"/>
              <w:bottom w:val="single" w:sz="4" w:space="0" w:color="auto"/>
              <w:right w:val="double" w:sz="6" w:space="0" w:color="000000"/>
            </w:tcBorders>
            <w:shd w:val="clear" w:color="auto" w:fill="auto"/>
            <w:noWrap/>
            <w:hideMark/>
          </w:tcPr>
          <w:p w14:paraId="5704416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Serrated Polyps</w:t>
            </w:r>
          </w:p>
        </w:tc>
        <w:tc>
          <w:tcPr>
            <w:tcW w:w="3240" w:type="dxa"/>
            <w:gridSpan w:val="3"/>
            <w:tcBorders>
              <w:top w:val="nil"/>
              <w:left w:val="nil"/>
              <w:bottom w:val="single" w:sz="4" w:space="0" w:color="auto"/>
              <w:right w:val="single" w:sz="4" w:space="0" w:color="000000"/>
            </w:tcBorders>
            <w:shd w:val="clear" w:color="auto" w:fill="auto"/>
            <w:noWrap/>
            <w:hideMark/>
          </w:tcPr>
          <w:p w14:paraId="594F01A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Adenomas</w:t>
            </w:r>
          </w:p>
        </w:tc>
      </w:tr>
      <w:tr w:rsidR="007A4CE7" w:rsidRPr="007A4CE7" w14:paraId="1363C0E8" w14:textId="77777777" w:rsidTr="00357050">
        <w:trPr>
          <w:trHeight w:val="615"/>
        </w:trPr>
        <w:tc>
          <w:tcPr>
            <w:tcW w:w="2380" w:type="dxa"/>
            <w:tcBorders>
              <w:top w:val="nil"/>
              <w:left w:val="single" w:sz="4" w:space="0" w:color="auto"/>
              <w:bottom w:val="single" w:sz="4" w:space="0" w:color="auto"/>
              <w:right w:val="nil"/>
            </w:tcBorders>
            <w:shd w:val="clear" w:color="auto" w:fill="auto"/>
            <w:noWrap/>
            <w:hideMark/>
          </w:tcPr>
          <w:p w14:paraId="307B6F2F"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 </w:t>
            </w:r>
          </w:p>
        </w:tc>
        <w:tc>
          <w:tcPr>
            <w:tcW w:w="1080" w:type="dxa"/>
            <w:tcBorders>
              <w:top w:val="nil"/>
              <w:left w:val="single" w:sz="4" w:space="0" w:color="auto"/>
              <w:bottom w:val="single" w:sz="4" w:space="0" w:color="auto"/>
              <w:right w:val="single" w:sz="4" w:space="0" w:color="auto"/>
            </w:tcBorders>
            <w:shd w:val="clear" w:color="auto" w:fill="auto"/>
            <w:hideMark/>
          </w:tcPr>
          <w:p w14:paraId="0A6529C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Low Threshold</w:t>
            </w:r>
            <w:r w:rsidRPr="007A4CE7">
              <w:rPr>
                <w:rFonts w:ascii="Calibri" w:eastAsia="Times New Roman" w:hAnsi="Calibri" w:cs="Times New Roman"/>
                <w:color w:val="000000"/>
                <w:sz w:val="20"/>
                <w:szCs w:val="20"/>
                <w:vertAlign w:val="superscript"/>
              </w:rPr>
              <w:t>1</w:t>
            </w:r>
          </w:p>
        </w:tc>
        <w:tc>
          <w:tcPr>
            <w:tcW w:w="1080" w:type="dxa"/>
            <w:tcBorders>
              <w:top w:val="nil"/>
              <w:left w:val="nil"/>
              <w:bottom w:val="single" w:sz="4" w:space="0" w:color="auto"/>
              <w:right w:val="single" w:sz="4" w:space="0" w:color="auto"/>
            </w:tcBorders>
            <w:shd w:val="clear" w:color="auto" w:fill="auto"/>
            <w:hideMark/>
          </w:tcPr>
          <w:p w14:paraId="65FF961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Main Analysis</w:t>
            </w:r>
            <w:r w:rsidRPr="007A4CE7">
              <w:rPr>
                <w:rFonts w:ascii="Calibri" w:eastAsia="Times New Roman" w:hAnsi="Calibri" w:cs="Times New Roman"/>
                <w:color w:val="000000"/>
                <w:sz w:val="20"/>
                <w:szCs w:val="20"/>
                <w:vertAlign w:val="superscript"/>
              </w:rPr>
              <w:t>2</w:t>
            </w:r>
          </w:p>
        </w:tc>
        <w:tc>
          <w:tcPr>
            <w:tcW w:w="1080" w:type="dxa"/>
            <w:tcBorders>
              <w:top w:val="nil"/>
              <w:left w:val="nil"/>
              <w:bottom w:val="single" w:sz="4" w:space="0" w:color="auto"/>
              <w:right w:val="double" w:sz="6" w:space="0" w:color="auto"/>
            </w:tcBorders>
            <w:shd w:val="clear" w:color="auto" w:fill="auto"/>
            <w:hideMark/>
          </w:tcPr>
          <w:p w14:paraId="192F0845"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High Threshold</w:t>
            </w:r>
            <w:r w:rsidRPr="007A4CE7">
              <w:rPr>
                <w:rFonts w:ascii="Calibri" w:eastAsia="Times New Roman" w:hAnsi="Calibri" w:cs="Times New Roman"/>
                <w:color w:val="000000"/>
                <w:sz w:val="20"/>
                <w:szCs w:val="20"/>
                <w:vertAlign w:val="superscript"/>
              </w:rPr>
              <w:t>3</w:t>
            </w:r>
          </w:p>
        </w:tc>
        <w:tc>
          <w:tcPr>
            <w:tcW w:w="1080" w:type="dxa"/>
            <w:tcBorders>
              <w:top w:val="nil"/>
              <w:left w:val="nil"/>
              <w:bottom w:val="single" w:sz="4" w:space="0" w:color="auto"/>
              <w:right w:val="single" w:sz="4" w:space="0" w:color="auto"/>
            </w:tcBorders>
            <w:shd w:val="clear" w:color="auto" w:fill="auto"/>
            <w:hideMark/>
          </w:tcPr>
          <w:p w14:paraId="3C5CECD9"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Low Threshold</w:t>
            </w:r>
            <w:r w:rsidRPr="007A4CE7">
              <w:rPr>
                <w:rFonts w:ascii="Calibri" w:eastAsia="Times New Roman" w:hAnsi="Calibri" w:cs="Times New Roman"/>
                <w:color w:val="000000"/>
                <w:sz w:val="20"/>
                <w:szCs w:val="20"/>
                <w:vertAlign w:val="superscript"/>
              </w:rPr>
              <w:t>1</w:t>
            </w:r>
          </w:p>
        </w:tc>
        <w:tc>
          <w:tcPr>
            <w:tcW w:w="1080" w:type="dxa"/>
            <w:tcBorders>
              <w:top w:val="nil"/>
              <w:left w:val="nil"/>
              <w:bottom w:val="single" w:sz="4" w:space="0" w:color="auto"/>
              <w:right w:val="single" w:sz="4" w:space="0" w:color="auto"/>
            </w:tcBorders>
            <w:shd w:val="clear" w:color="auto" w:fill="auto"/>
            <w:hideMark/>
          </w:tcPr>
          <w:p w14:paraId="53F719F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Main Analysis</w:t>
            </w:r>
            <w:r w:rsidRPr="007A4CE7">
              <w:rPr>
                <w:rFonts w:ascii="Calibri" w:eastAsia="Times New Roman" w:hAnsi="Calibri" w:cs="Times New Roman"/>
                <w:color w:val="000000"/>
                <w:sz w:val="20"/>
                <w:szCs w:val="20"/>
                <w:vertAlign w:val="superscript"/>
              </w:rPr>
              <w:t>2</w:t>
            </w:r>
          </w:p>
        </w:tc>
        <w:tc>
          <w:tcPr>
            <w:tcW w:w="1080" w:type="dxa"/>
            <w:tcBorders>
              <w:top w:val="nil"/>
              <w:left w:val="nil"/>
              <w:bottom w:val="single" w:sz="4" w:space="0" w:color="auto"/>
              <w:right w:val="single" w:sz="4" w:space="0" w:color="auto"/>
            </w:tcBorders>
            <w:shd w:val="clear" w:color="auto" w:fill="auto"/>
            <w:hideMark/>
          </w:tcPr>
          <w:p w14:paraId="49AD2B5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High Threshold</w:t>
            </w:r>
            <w:r w:rsidRPr="007A4CE7">
              <w:rPr>
                <w:rFonts w:ascii="Calibri" w:eastAsia="Times New Roman" w:hAnsi="Calibri" w:cs="Times New Roman"/>
                <w:color w:val="000000"/>
                <w:sz w:val="20"/>
                <w:szCs w:val="20"/>
                <w:vertAlign w:val="superscript"/>
              </w:rPr>
              <w:t>3</w:t>
            </w:r>
          </w:p>
        </w:tc>
      </w:tr>
      <w:tr w:rsidR="007A4CE7" w:rsidRPr="007A4CE7" w14:paraId="556CE424" w14:textId="77777777" w:rsidTr="00357050">
        <w:trPr>
          <w:trHeight w:val="300"/>
        </w:trPr>
        <w:tc>
          <w:tcPr>
            <w:tcW w:w="2380" w:type="dxa"/>
            <w:tcBorders>
              <w:top w:val="nil"/>
              <w:left w:val="single" w:sz="4" w:space="0" w:color="auto"/>
              <w:bottom w:val="single" w:sz="4" w:space="0" w:color="auto"/>
              <w:right w:val="nil"/>
            </w:tcBorders>
            <w:shd w:val="clear" w:color="auto" w:fill="auto"/>
            <w:noWrap/>
            <w:hideMark/>
          </w:tcPr>
          <w:p w14:paraId="74EC4F22"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 xml:space="preserve">Min </w:t>
            </w:r>
          </w:p>
        </w:tc>
        <w:tc>
          <w:tcPr>
            <w:tcW w:w="1080" w:type="dxa"/>
            <w:tcBorders>
              <w:top w:val="nil"/>
              <w:left w:val="single" w:sz="4" w:space="0" w:color="auto"/>
              <w:bottom w:val="single" w:sz="4" w:space="0" w:color="auto"/>
              <w:right w:val="single" w:sz="4" w:space="0" w:color="auto"/>
            </w:tcBorders>
            <w:shd w:val="clear" w:color="auto" w:fill="auto"/>
            <w:noWrap/>
            <w:hideMark/>
          </w:tcPr>
          <w:p w14:paraId="28A4B6C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0.36</w:t>
            </w:r>
          </w:p>
        </w:tc>
        <w:tc>
          <w:tcPr>
            <w:tcW w:w="1080" w:type="dxa"/>
            <w:tcBorders>
              <w:top w:val="nil"/>
              <w:left w:val="nil"/>
              <w:bottom w:val="single" w:sz="4" w:space="0" w:color="auto"/>
              <w:right w:val="single" w:sz="4" w:space="0" w:color="auto"/>
            </w:tcBorders>
            <w:shd w:val="clear" w:color="auto" w:fill="auto"/>
            <w:noWrap/>
            <w:vAlign w:val="bottom"/>
            <w:hideMark/>
          </w:tcPr>
          <w:p w14:paraId="52059C3B"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0.36</w:t>
            </w:r>
          </w:p>
        </w:tc>
        <w:tc>
          <w:tcPr>
            <w:tcW w:w="1080" w:type="dxa"/>
            <w:tcBorders>
              <w:top w:val="nil"/>
              <w:left w:val="nil"/>
              <w:bottom w:val="single" w:sz="4" w:space="0" w:color="auto"/>
              <w:right w:val="double" w:sz="6" w:space="0" w:color="auto"/>
            </w:tcBorders>
            <w:shd w:val="clear" w:color="auto" w:fill="auto"/>
            <w:noWrap/>
            <w:hideMark/>
          </w:tcPr>
          <w:p w14:paraId="3C476165"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0.28</w:t>
            </w:r>
          </w:p>
        </w:tc>
        <w:tc>
          <w:tcPr>
            <w:tcW w:w="1080" w:type="dxa"/>
            <w:tcBorders>
              <w:top w:val="nil"/>
              <w:left w:val="nil"/>
              <w:bottom w:val="single" w:sz="4" w:space="0" w:color="auto"/>
              <w:right w:val="single" w:sz="4" w:space="0" w:color="auto"/>
            </w:tcBorders>
            <w:shd w:val="clear" w:color="auto" w:fill="auto"/>
            <w:noWrap/>
            <w:hideMark/>
          </w:tcPr>
          <w:p w14:paraId="197030F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0.88</w:t>
            </w:r>
          </w:p>
        </w:tc>
        <w:tc>
          <w:tcPr>
            <w:tcW w:w="1080" w:type="dxa"/>
            <w:tcBorders>
              <w:top w:val="nil"/>
              <w:left w:val="nil"/>
              <w:bottom w:val="single" w:sz="4" w:space="0" w:color="auto"/>
              <w:right w:val="single" w:sz="4" w:space="0" w:color="auto"/>
            </w:tcBorders>
            <w:shd w:val="clear" w:color="auto" w:fill="auto"/>
            <w:noWrap/>
            <w:hideMark/>
          </w:tcPr>
          <w:p w14:paraId="001436D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0.90</w:t>
            </w:r>
          </w:p>
        </w:tc>
        <w:tc>
          <w:tcPr>
            <w:tcW w:w="1080" w:type="dxa"/>
            <w:tcBorders>
              <w:top w:val="nil"/>
              <w:left w:val="nil"/>
              <w:bottom w:val="single" w:sz="4" w:space="0" w:color="auto"/>
              <w:right w:val="single" w:sz="4" w:space="0" w:color="auto"/>
            </w:tcBorders>
            <w:shd w:val="clear" w:color="auto" w:fill="auto"/>
            <w:noWrap/>
            <w:hideMark/>
          </w:tcPr>
          <w:p w14:paraId="2287F91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0.90</w:t>
            </w:r>
          </w:p>
        </w:tc>
      </w:tr>
      <w:tr w:rsidR="007A4CE7" w:rsidRPr="007A4CE7" w14:paraId="306FB596" w14:textId="77777777" w:rsidTr="00357050">
        <w:trPr>
          <w:trHeight w:val="300"/>
        </w:trPr>
        <w:tc>
          <w:tcPr>
            <w:tcW w:w="2380" w:type="dxa"/>
            <w:tcBorders>
              <w:top w:val="nil"/>
              <w:left w:val="single" w:sz="4" w:space="0" w:color="auto"/>
              <w:bottom w:val="nil"/>
              <w:right w:val="nil"/>
            </w:tcBorders>
            <w:shd w:val="clear" w:color="auto" w:fill="auto"/>
            <w:noWrap/>
            <w:hideMark/>
          </w:tcPr>
          <w:p w14:paraId="4D79244D"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25th Percentile</w:t>
            </w:r>
          </w:p>
        </w:tc>
        <w:tc>
          <w:tcPr>
            <w:tcW w:w="1080" w:type="dxa"/>
            <w:tcBorders>
              <w:top w:val="nil"/>
              <w:left w:val="single" w:sz="4" w:space="0" w:color="auto"/>
              <w:bottom w:val="single" w:sz="4" w:space="0" w:color="auto"/>
              <w:right w:val="single" w:sz="4" w:space="0" w:color="auto"/>
            </w:tcBorders>
            <w:shd w:val="clear" w:color="auto" w:fill="auto"/>
            <w:noWrap/>
            <w:hideMark/>
          </w:tcPr>
          <w:p w14:paraId="3B72750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0.80</w:t>
            </w:r>
          </w:p>
        </w:tc>
        <w:tc>
          <w:tcPr>
            <w:tcW w:w="1080" w:type="dxa"/>
            <w:tcBorders>
              <w:top w:val="nil"/>
              <w:left w:val="nil"/>
              <w:bottom w:val="single" w:sz="4" w:space="0" w:color="auto"/>
              <w:right w:val="single" w:sz="4" w:space="0" w:color="auto"/>
            </w:tcBorders>
            <w:shd w:val="clear" w:color="auto" w:fill="auto"/>
            <w:noWrap/>
            <w:vAlign w:val="bottom"/>
            <w:hideMark/>
          </w:tcPr>
          <w:p w14:paraId="3100DD05"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0.81</w:t>
            </w:r>
          </w:p>
        </w:tc>
        <w:tc>
          <w:tcPr>
            <w:tcW w:w="1080" w:type="dxa"/>
            <w:tcBorders>
              <w:top w:val="nil"/>
              <w:left w:val="nil"/>
              <w:bottom w:val="single" w:sz="4" w:space="0" w:color="auto"/>
              <w:right w:val="double" w:sz="6" w:space="0" w:color="auto"/>
            </w:tcBorders>
            <w:shd w:val="clear" w:color="auto" w:fill="auto"/>
            <w:noWrap/>
            <w:hideMark/>
          </w:tcPr>
          <w:p w14:paraId="092BE13C"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0.83</w:t>
            </w:r>
          </w:p>
        </w:tc>
        <w:tc>
          <w:tcPr>
            <w:tcW w:w="1080" w:type="dxa"/>
            <w:tcBorders>
              <w:top w:val="nil"/>
              <w:left w:val="nil"/>
              <w:bottom w:val="single" w:sz="4" w:space="0" w:color="auto"/>
              <w:right w:val="single" w:sz="4" w:space="0" w:color="auto"/>
            </w:tcBorders>
            <w:shd w:val="clear" w:color="auto" w:fill="auto"/>
            <w:noWrap/>
            <w:hideMark/>
          </w:tcPr>
          <w:p w14:paraId="736C7B2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0.98</w:t>
            </w:r>
          </w:p>
        </w:tc>
        <w:tc>
          <w:tcPr>
            <w:tcW w:w="1080" w:type="dxa"/>
            <w:tcBorders>
              <w:top w:val="nil"/>
              <w:left w:val="nil"/>
              <w:bottom w:val="single" w:sz="4" w:space="0" w:color="auto"/>
              <w:right w:val="single" w:sz="4" w:space="0" w:color="auto"/>
            </w:tcBorders>
            <w:shd w:val="clear" w:color="auto" w:fill="auto"/>
            <w:noWrap/>
            <w:hideMark/>
          </w:tcPr>
          <w:p w14:paraId="23BDAEDC"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0.98</w:t>
            </w:r>
          </w:p>
        </w:tc>
        <w:tc>
          <w:tcPr>
            <w:tcW w:w="1080" w:type="dxa"/>
            <w:tcBorders>
              <w:top w:val="nil"/>
              <w:left w:val="nil"/>
              <w:bottom w:val="single" w:sz="4" w:space="0" w:color="auto"/>
              <w:right w:val="single" w:sz="4" w:space="0" w:color="auto"/>
            </w:tcBorders>
            <w:shd w:val="clear" w:color="auto" w:fill="auto"/>
            <w:noWrap/>
            <w:hideMark/>
          </w:tcPr>
          <w:p w14:paraId="3EE9F52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0.98</w:t>
            </w:r>
          </w:p>
        </w:tc>
      </w:tr>
      <w:tr w:rsidR="007A4CE7" w:rsidRPr="007A4CE7" w14:paraId="30B2D0FD" w14:textId="77777777" w:rsidTr="00357050">
        <w:trPr>
          <w:trHeight w:val="300"/>
        </w:trPr>
        <w:tc>
          <w:tcPr>
            <w:tcW w:w="2380" w:type="dxa"/>
            <w:tcBorders>
              <w:top w:val="single" w:sz="4" w:space="0" w:color="auto"/>
              <w:left w:val="single" w:sz="4" w:space="0" w:color="auto"/>
              <w:bottom w:val="single" w:sz="4" w:space="0" w:color="auto"/>
              <w:right w:val="nil"/>
            </w:tcBorders>
            <w:shd w:val="clear" w:color="auto" w:fill="auto"/>
            <w:noWrap/>
            <w:hideMark/>
          </w:tcPr>
          <w:p w14:paraId="48960718"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Median</w:t>
            </w:r>
          </w:p>
        </w:tc>
        <w:tc>
          <w:tcPr>
            <w:tcW w:w="1080" w:type="dxa"/>
            <w:tcBorders>
              <w:top w:val="nil"/>
              <w:left w:val="single" w:sz="4" w:space="0" w:color="auto"/>
              <w:bottom w:val="single" w:sz="4" w:space="0" w:color="auto"/>
              <w:right w:val="single" w:sz="4" w:space="0" w:color="auto"/>
            </w:tcBorders>
            <w:shd w:val="clear" w:color="auto" w:fill="auto"/>
            <w:noWrap/>
            <w:hideMark/>
          </w:tcPr>
          <w:p w14:paraId="3E9B0820"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0.96</w:t>
            </w:r>
          </w:p>
        </w:tc>
        <w:tc>
          <w:tcPr>
            <w:tcW w:w="1080" w:type="dxa"/>
            <w:tcBorders>
              <w:top w:val="nil"/>
              <w:left w:val="nil"/>
              <w:bottom w:val="single" w:sz="4" w:space="0" w:color="auto"/>
              <w:right w:val="single" w:sz="4" w:space="0" w:color="auto"/>
            </w:tcBorders>
            <w:shd w:val="clear" w:color="auto" w:fill="auto"/>
            <w:noWrap/>
            <w:vAlign w:val="bottom"/>
            <w:hideMark/>
          </w:tcPr>
          <w:p w14:paraId="5C93766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0.95</w:t>
            </w:r>
          </w:p>
        </w:tc>
        <w:tc>
          <w:tcPr>
            <w:tcW w:w="1080" w:type="dxa"/>
            <w:tcBorders>
              <w:top w:val="nil"/>
              <w:left w:val="nil"/>
              <w:bottom w:val="single" w:sz="4" w:space="0" w:color="auto"/>
              <w:right w:val="double" w:sz="6" w:space="0" w:color="auto"/>
            </w:tcBorders>
            <w:shd w:val="clear" w:color="auto" w:fill="auto"/>
            <w:noWrap/>
            <w:hideMark/>
          </w:tcPr>
          <w:p w14:paraId="203187B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0.964</w:t>
            </w:r>
          </w:p>
        </w:tc>
        <w:tc>
          <w:tcPr>
            <w:tcW w:w="1080" w:type="dxa"/>
            <w:tcBorders>
              <w:top w:val="nil"/>
              <w:left w:val="nil"/>
              <w:bottom w:val="single" w:sz="4" w:space="0" w:color="auto"/>
              <w:right w:val="single" w:sz="4" w:space="0" w:color="auto"/>
            </w:tcBorders>
            <w:shd w:val="clear" w:color="auto" w:fill="auto"/>
            <w:noWrap/>
            <w:hideMark/>
          </w:tcPr>
          <w:p w14:paraId="273113FC"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1.00</w:t>
            </w:r>
          </w:p>
        </w:tc>
        <w:tc>
          <w:tcPr>
            <w:tcW w:w="1080" w:type="dxa"/>
            <w:tcBorders>
              <w:top w:val="nil"/>
              <w:left w:val="nil"/>
              <w:bottom w:val="single" w:sz="4" w:space="0" w:color="auto"/>
              <w:right w:val="single" w:sz="4" w:space="0" w:color="auto"/>
            </w:tcBorders>
            <w:shd w:val="clear" w:color="auto" w:fill="auto"/>
            <w:noWrap/>
            <w:hideMark/>
          </w:tcPr>
          <w:p w14:paraId="20D87879"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1.00</w:t>
            </w:r>
          </w:p>
        </w:tc>
        <w:tc>
          <w:tcPr>
            <w:tcW w:w="1080" w:type="dxa"/>
            <w:tcBorders>
              <w:top w:val="nil"/>
              <w:left w:val="nil"/>
              <w:bottom w:val="single" w:sz="4" w:space="0" w:color="auto"/>
              <w:right w:val="single" w:sz="4" w:space="0" w:color="auto"/>
            </w:tcBorders>
            <w:shd w:val="clear" w:color="auto" w:fill="auto"/>
            <w:noWrap/>
            <w:hideMark/>
          </w:tcPr>
          <w:p w14:paraId="2B92903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1.00</w:t>
            </w:r>
          </w:p>
        </w:tc>
      </w:tr>
      <w:tr w:rsidR="007A4CE7" w:rsidRPr="007A4CE7" w14:paraId="6BEC7009" w14:textId="77777777" w:rsidTr="00357050">
        <w:trPr>
          <w:trHeight w:val="300"/>
        </w:trPr>
        <w:tc>
          <w:tcPr>
            <w:tcW w:w="2380" w:type="dxa"/>
            <w:tcBorders>
              <w:top w:val="nil"/>
              <w:left w:val="single" w:sz="4" w:space="0" w:color="auto"/>
              <w:bottom w:val="nil"/>
              <w:right w:val="nil"/>
            </w:tcBorders>
            <w:shd w:val="clear" w:color="auto" w:fill="auto"/>
            <w:noWrap/>
            <w:hideMark/>
          </w:tcPr>
          <w:p w14:paraId="5708594B"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Mean</w:t>
            </w:r>
          </w:p>
        </w:tc>
        <w:tc>
          <w:tcPr>
            <w:tcW w:w="1080" w:type="dxa"/>
            <w:tcBorders>
              <w:top w:val="nil"/>
              <w:left w:val="single" w:sz="4" w:space="0" w:color="auto"/>
              <w:bottom w:val="single" w:sz="4" w:space="0" w:color="auto"/>
              <w:right w:val="single" w:sz="4" w:space="0" w:color="auto"/>
            </w:tcBorders>
            <w:shd w:val="clear" w:color="auto" w:fill="auto"/>
            <w:noWrap/>
            <w:hideMark/>
          </w:tcPr>
          <w:p w14:paraId="765674D9"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0.98</w:t>
            </w:r>
          </w:p>
        </w:tc>
        <w:tc>
          <w:tcPr>
            <w:tcW w:w="1080" w:type="dxa"/>
            <w:tcBorders>
              <w:top w:val="nil"/>
              <w:left w:val="nil"/>
              <w:bottom w:val="single" w:sz="4" w:space="0" w:color="auto"/>
              <w:right w:val="single" w:sz="4" w:space="0" w:color="auto"/>
            </w:tcBorders>
            <w:shd w:val="clear" w:color="auto" w:fill="auto"/>
            <w:noWrap/>
            <w:vAlign w:val="bottom"/>
            <w:hideMark/>
          </w:tcPr>
          <w:p w14:paraId="6DCDAA8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0.97</w:t>
            </w:r>
          </w:p>
        </w:tc>
        <w:tc>
          <w:tcPr>
            <w:tcW w:w="1080" w:type="dxa"/>
            <w:tcBorders>
              <w:top w:val="nil"/>
              <w:left w:val="nil"/>
              <w:bottom w:val="single" w:sz="4" w:space="0" w:color="auto"/>
              <w:right w:val="double" w:sz="6" w:space="0" w:color="auto"/>
            </w:tcBorders>
            <w:shd w:val="clear" w:color="auto" w:fill="auto"/>
            <w:noWrap/>
            <w:hideMark/>
          </w:tcPr>
          <w:p w14:paraId="06140D6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0.98</w:t>
            </w:r>
          </w:p>
        </w:tc>
        <w:tc>
          <w:tcPr>
            <w:tcW w:w="1080" w:type="dxa"/>
            <w:tcBorders>
              <w:top w:val="nil"/>
              <w:left w:val="nil"/>
              <w:bottom w:val="single" w:sz="4" w:space="0" w:color="auto"/>
              <w:right w:val="single" w:sz="4" w:space="0" w:color="auto"/>
            </w:tcBorders>
            <w:shd w:val="clear" w:color="auto" w:fill="auto"/>
            <w:noWrap/>
            <w:hideMark/>
          </w:tcPr>
          <w:p w14:paraId="4A540FB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1.00</w:t>
            </w:r>
          </w:p>
        </w:tc>
        <w:tc>
          <w:tcPr>
            <w:tcW w:w="1080" w:type="dxa"/>
            <w:tcBorders>
              <w:top w:val="nil"/>
              <w:left w:val="nil"/>
              <w:bottom w:val="single" w:sz="4" w:space="0" w:color="auto"/>
              <w:right w:val="single" w:sz="4" w:space="0" w:color="auto"/>
            </w:tcBorders>
            <w:shd w:val="clear" w:color="auto" w:fill="auto"/>
            <w:noWrap/>
            <w:hideMark/>
          </w:tcPr>
          <w:p w14:paraId="15EB1E9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1.00</w:t>
            </w:r>
          </w:p>
        </w:tc>
        <w:tc>
          <w:tcPr>
            <w:tcW w:w="1080" w:type="dxa"/>
            <w:tcBorders>
              <w:top w:val="nil"/>
              <w:left w:val="nil"/>
              <w:bottom w:val="single" w:sz="4" w:space="0" w:color="auto"/>
              <w:right w:val="single" w:sz="4" w:space="0" w:color="auto"/>
            </w:tcBorders>
            <w:shd w:val="clear" w:color="auto" w:fill="auto"/>
            <w:noWrap/>
            <w:hideMark/>
          </w:tcPr>
          <w:p w14:paraId="78017B84"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1.00</w:t>
            </w:r>
          </w:p>
        </w:tc>
      </w:tr>
      <w:tr w:rsidR="007A4CE7" w:rsidRPr="007A4CE7" w14:paraId="07CEEE18" w14:textId="77777777" w:rsidTr="00357050">
        <w:trPr>
          <w:trHeight w:val="300"/>
        </w:trPr>
        <w:tc>
          <w:tcPr>
            <w:tcW w:w="2380" w:type="dxa"/>
            <w:tcBorders>
              <w:top w:val="single" w:sz="4" w:space="0" w:color="auto"/>
              <w:left w:val="single" w:sz="4" w:space="0" w:color="auto"/>
              <w:bottom w:val="single" w:sz="4" w:space="0" w:color="auto"/>
              <w:right w:val="nil"/>
            </w:tcBorders>
            <w:shd w:val="clear" w:color="auto" w:fill="auto"/>
            <w:noWrap/>
            <w:hideMark/>
          </w:tcPr>
          <w:p w14:paraId="6892F77D"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75th Percentile</w:t>
            </w:r>
          </w:p>
        </w:tc>
        <w:tc>
          <w:tcPr>
            <w:tcW w:w="1080" w:type="dxa"/>
            <w:tcBorders>
              <w:top w:val="nil"/>
              <w:left w:val="single" w:sz="4" w:space="0" w:color="auto"/>
              <w:bottom w:val="single" w:sz="4" w:space="0" w:color="auto"/>
              <w:right w:val="single" w:sz="4" w:space="0" w:color="auto"/>
            </w:tcBorders>
            <w:shd w:val="clear" w:color="auto" w:fill="auto"/>
            <w:noWrap/>
            <w:hideMark/>
          </w:tcPr>
          <w:p w14:paraId="692D57B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1.13</w:t>
            </w:r>
          </w:p>
        </w:tc>
        <w:tc>
          <w:tcPr>
            <w:tcW w:w="1080" w:type="dxa"/>
            <w:tcBorders>
              <w:top w:val="nil"/>
              <w:left w:val="nil"/>
              <w:bottom w:val="single" w:sz="4" w:space="0" w:color="auto"/>
              <w:right w:val="single" w:sz="4" w:space="0" w:color="auto"/>
            </w:tcBorders>
            <w:shd w:val="clear" w:color="auto" w:fill="auto"/>
            <w:noWrap/>
            <w:vAlign w:val="bottom"/>
            <w:hideMark/>
          </w:tcPr>
          <w:p w14:paraId="0B8BEBF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1.11</w:t>
            </w:r>
          </w:p>
        </w:tc>
        <w:tc>
          <w:tcPr>
            <w:tcW w:w="1080" w:type="dxa"/>
            <w:tcBorders>
              <w:top w:val="nil"/>
              <w:left w:val="nil"/>
              <w:bottom w:val="single" w:sz="4" w:space="0" w:color="auto"/>
              <w:right w:val="double" w:sz="6" w:space="0" w:color="auto"/>
            </w:tcBorders>
            <w:shd w:val="clear" w:color="auto" w:fill="auto"/>
            <w:noWrap/>
            <w:hideMark/>
          </w:tcPr>
          <w:p w14:paraId="11E92C3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1.11</w:t>
            </w:r>
          </w:p>
        </w:tc>
        <w:tc>
          <w:tcPr>
            <w:tcW w:w="1080" w:type="dxa"/>
            <w:tcBorders>
              <w:top w:val="nil"/>
              <w:left w:val="nil"/>
              <w:bottom w:val="single" w:sz="4" w:space="0" w:color="auto"/>
              <w:right w:val="single" w:sz="4" w:space="0" w:color="auto"/>
            </w:tcBorders>
            <w:shd w:val="clear" w:color="auto" w:fill="auto"/>
            <w:noWrap/>
            <w:hideMark/>
          </w:tcPr>
          <w:p w14:paraId="3951212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1.02</w:t>
            </w:r>
          </w:p>
        </w:tc>
        <w:tc>
          <w:tcPr>
            <w:tcW w:w="1080" w:type="dxa"/>
            <w:tcBorders>
              <w:top w:val="nil"/>
              <w:left w:val="nil"/>
              <w:bottom w:val="single" w:sz="4" w:space="0" w:color="auto"/>
              <w:right w:val="single" w:sz="4" w:space="0" w:color="auto"/>
            </w:tcBorders>
            <w:shd w:val="clear" w:color="auto" w:fill="auto"/>
            <w:noWrap/>
            <w:hideMark/>
          </w:tcPr>
          <w:p w14:paraId="7870B3D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1.02</w:t>
            </w:r>
          </w:p>
        </w:tc>
        <w:tc>
          <w:tcPr>
            <w:tcW w:w="1080" w:type="dxa"/>
            <w:tcBorders>
              <w:top w:val="nil"/>
              <w:left w:val="nil"/>
              <w:bottom w:val="single" w:sz="4" w:space="0" w:color="auto"/>
              <w:right w:val="single" w:sz="4" w:space="0" w:color="auto"/>
            </w:tcBorders>
            <w:shd w:val="clear" w:color="auto" w:fill="auto"/>
            <w:noWrap/>
            <w:hideMark/>
          </w:tcPr>
          <w:p w14:paraId="16B062E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1.01</w:t>
            </w:r>
          </w:p>
        </w:tc>
      </w:tr>
      <w:tr w:rsidR="007A4CE7" w:rsidRPr="007A4CE7" w14:paraId="6BF757AA" w14:textId="77777777" w:rsidTr="00357050">
        <w:trPr>
          <w:trHeight w:val="300"/>
        </w:trPr>
        <w:tc>
          <w:tcPr>
            <w:tcW w:w="2380" w:type="dxa"/>
            <w:tcBorders>
              <w:top w:val="nil"/>
              <w:left w:val="single" w:sz="4" w:space="0" w:color="auto"/>
              <w:bottom w:val="nil"/>
              <w:right w:val="nil"/>
            </w:tcBorders>
            <w:shd w:val="clear" w:color="auto" w:fill="auto"/>
            <w:noWrap/>
            <w:hideMark/>
          </w:tcPr>
          <w:p w14:paraId="2890CEB6"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Max</w:t>
            </w:r>
          </w:p>
        </w:tc>
        <w:tc>
          <w:tcPr>
            <w:tcW w:w="1080" w:type="dxa"/>
            <w:tcBorders>
              <w:top w:val="nil"/>
              <w:left w:val="single" w:sz="4" w:space="0" w:color="auto"/>
              <w:bottom w:val="single" w:sz="4" w:space="0" w:color="auto"/>
              <w:right w:val="single" w:sz="4" w:space="0" w:color="auto"/>
            </w:tcBorders>
            <w:shd w:val="clear" w:color="auto" w:fill="auto"/>
            <w:noWrap/>
            <w:hideMark/>
          </w:tcPr>
          <w:p w14:paraId="5656D43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1.89</w:t>
            </w:r>
          </w:p>
        </w:tc>
        <w:tc>
          <w:tcPr>
            <w:tcW w:w="1080" w:type="dxa"/>
            <w:tcBorders>
              <w:top w:val="nil"/>
              <w:left w:val="nil"/>
              <w:bottom w:val="single" w:sz="4" w:space="0" w:color="auto"/>
              <w:right w:val="single" w:sz="4" w:space="0" w:color="auto"/>
            </w:tcBorders>
            <w:shd w:val="clear" w:color="auto" w:fill="auto"/>
            <w:noWrap/>
            <w:vAlign w:val="bottom"/>
            <w:hideMark/>
          </w:tcPr>
          <w:p w14:paraId="5C1903D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1.89</w:t>
            </w:r>
          </w:p>
        </w:tc>
        <w:tc>
          <w:tcPr>
            <w:tcW w:w="1080" w:type="dxa"/>
            <w:tcBorders>
              <w:top w:val="nil"/>
              <w:left w:val="nil"/>
              <w:bottom w:val="single" w:sz="4" w:space="0" w:color="auto"/>
              <w:right w:val="double" w:sz="6" w:space="0" w:color="auto"/>
            </w:tcBorders>
            <w:shd w:val="clear" w:color="auto" w:fill="auto"/>
            <w:noWrap/>
            <w:hideMark/>
          </w:tcPr>
          <w:p w14:paraId="46B66870"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1.81</w:t>
            </w:r>
          </w:p>
        </w:tc>
        <w:tc>
          <w:tcPr>
            <w:tcW w:w="1080" w:type="dxa"/>
            <w:tcBorders>
              <w:top w:val="nil"/>
              <w:left w:val="nil"/>
              <w:bottom w:val="single" w:sz="4" w:space="0" w:color="auto"/>
              <w:right w:val="single" w:sz="4" w:space="0" w:color="auto"/>
            </w:tcBorders>
            <w:shd w:val="clear" w:color="auto" w:fill="auto"/>
            <w:noWrap/>
            <w:hideMark/>
          </w:tcPr>
          <w:p w14:paraId="5ED17624"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1.20</w:t>
            </w:r>
          </w:p>
        </w:tc>
        <w:tc>
          <w:tcPr>
            <w:tcW w:w="1080" w:type="dxa"/>
            <w:tcBorders>
              <w:top w:val="nil"/>
              <w:left w:val="nil"/>
              <w:bottom w:val="single" w:sz="4" w:space="0" w:color="auto"/>
              <w:right w:val="single" w:sz="4" w:space="0" w:color="auto"/>
            </w:tcBorders>
            <w:shd w:val="clear" w:color="auto" w:fill="auto"/>
            <w:noWrap/>
            <w:hideMark/>
          </w:tcPr>
          <w:p w14:paraId="24AE1AAC"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1.08</w:t>
            </w:r>
          </w:p>
        </w:tc>
        <w:tc>
          <w:tcPr>
            <w:tcW w:w="1080" w:type="dxa"/>
            <w:tcBorders>
              <w:top w:val="nil"/>
              <w:left w:val="nil"/>
              <w:bottom w:val="single" w:sz="4" w:space="0" w:color="auto"/>
              <w:right w:val="single" w:sz="4" w:space="0" w:color="auto"/>
            </w:tcBorders>
            <w:shd w:val="clear" w:color="auto" w:fill="auto"/>
            <w:noWrap/>
            <w:hideMark/>
          </w:tcPr>
          <w:p w14:paraId="4641F8EC"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1.09</w:t>
            </w:r>
          </w:p>
        </w:tc>
      </w:tr>
      <w:tr w:rsidR="007A4CE7" w:rsidRPr="007A4CE7" w14:paraId="1DFBCD05" w14:textId="77777777" w:rsidTr="00357050">
        <w:trPr>
          <w:trHeight w:val="300"/>
        </w:trPr>
        <w:tc>
          <w:tcPr>
            <w:tcW w:w="2380" w:type="dxa"/>
            <w:tcBorders>
              <w:top w:val="single" w:sz="4" w:space="0" w:color="auto"/>
              <w:left w:val="single" w:sz="4" w:space="0" w:color="auto"/>
              <w:bottom w:val="single" w:sz="4" w:space="0" w:color="auto"/>
              <w:right w:val="nil"/>
            </w:tcBorders>
            <w:shd w:val="clear" w:color="auto" w:fill="auto"/>
            <w:noWrap/>
            <w:hideMark/>
          </w:tcPr>
          <w:p w14:paraId="0AEAFE1C"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Std dev</w:t>
            </w:r>
          </w:p>
        </w:tc>
        <w:tc>
          <w:tcPr>
            <w:tcW w:w="1080" w:type="dxa"/>
            <w:tcBorders>
              <w:top w:val="nil"/>
              <w:left w:val="single" w:sz="4" w:space="0" w:color="auto"/>
              <w:bottom w:val="single" w:sz="4" w:space="0" w:color="auto"/>
              <w:right w:val="single" w:sz="4" w:space="0" w:color="auto"/>
            </w:tcBorders>
            <w:shd w:val="clear" w:color="auto" w:fill="auto"/>
            <w:noWrap/>
            <w:hideMark/>
          </w:tcPr>
          <w:p w14:paraId="74233AA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0.30</w:t>
            </w:r>
          </w:p>
        </w:tc>
        <w:tc>
          <w:tcPr>
            <w:tcW w:w="1080" w:type="dxa"/>
            <w:tcBorders>
              <w:top w:val="nil"/>
              <w:left w:val="nil"/>
              <w:bottom w:val="single" w:sz="4" w:space="0" w:color="auto"/>
              <w:right w:val="single" w:sz="4" w:space="0" w:color="auto"/>
            </w:tcBorders>
            <w:shd w:val="clear" w:color="auto" w:fill="auto"/>
            <w:noWrap/>
            <w:vAlign w:val="bottom"/>
            <w:hideMark/>
          </w:tcPr>
          <w:p w14:paraId="068D371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0.31</w:t>
            </w:r>
          </w:p>
        </w:tc>
        <w:tc>
          <w:tcPr>
            <w:tcW w:w="1080" w:type="dxa"/>
            <w:tcBorders>
              <w:top w:val="nil"/>
              <w:left w:val="nil"/>
              <w:bottom w:val="single" w:sz="4" w:space="0" w:color="auto"/>
              <w:right w:val="double" w:sz="6" w:space="0" w:color="auto"/>
            </w:tcBorders>
            <w:shd w:val="clear" w:color="auto" w:fill="auto"/>
            <w:noWrap/>
            <w:hideMark/>
          </w:tcPr>
          <w:p w14:paraId="72881A7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0.30</w:t>
            </w:r>
          </w:p>
        </w:tc>
        <w:tc>
          <w:tcPr>
            <w:tcW w:w="1080" w:type="dxa"/>
            <w:tcBorders>
              <w:top w:val="nil"/>
              <w:left w:val="nil"/>
              <w:bottom w:val="single" w:sz="4" w:space="0" w:color="auto"/>
              <w:right w:val="single" w:sz="4" w:space="0" w:color="auto"/>
            </w:tcBorders>
            <w:shd w:val="clear" w:color="auto" w:fill="auto"/>
            <w:noWrap/>
            <w:hideMark/>
          </w:tcPr>
          <w:p w14:paraId="6A6D2E2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0.05</w:t>
            </w:r>
          </w:p>
        </w:tc>
        <w:tc>
          <w:tcPr>
            <w:tcW w:w="1080" w:type="dxa"/>
            <w:tcBorders>
              <w:top w:val="nil"/>
              <w:left w:val="nil"/>
              <w:bottom w:val="single" w:sz="4" w:space="0" w:color="auto"/>
              <w:right w:val="single" w:sz="4" w:space="0" w:color="auto"/>
            </w:tcBorders>
            <w:shd w:val="clear" w:color="auto" w:fill="auto"/>
            <w:noWrap/>
            <w:hideMark/>
          </w:tcPr>
          <w:p w14:paraId="798FD0F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0.04</w:t>
            </w:r>
          </w:p>
        </w:tc>
        <w:tc>
          <w:tcPr>
            <w:tcW w:w="1080" w:type="dxa"/>
            <w:tcBorders>
              <w:top w:val="nil"/>
              <w:left w:val="nil"/>
              <w:bottom w:val="single" w:sz="4" w:space="0" w:color="auto"/>
              <w:right w:val="single" w:sz="4" w:space="0" w:color="auto"/>
            </w:tcBorders>
            <w:shd w:val="clear" w:color="auto" w:fill="auto"/>
            <w:noWrap/>
            <w:hideMark/>
          </w:tcPr>
          <w:p w14:paraId="1D4FEB1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0.04</w:t>
            </w:r>
          </w:p>
        </w:tc>
      </w:tr>
      <w:tr w:rsidR="007A4CE7" w:rsidRPr="007A4CE7" w14:paraId="7724B8DE" w14:textId="77777777" w:rsidTr="00357050">
        <w:trPr>
          <w:trHeight w:val="300"/>
        </w:trPr>
        <w:tc>
          <w:tcPr>
            <w:tcW w:w="2380" w:type="dxa"/>
            <w:tcBorders>
              <w:top w:val="nil"/>
              <w:left w:val="single" w:sz="4" w:space="0" w:color="auto"/>
              <w:bottom w:val="single" w:sz="4" w:space="0" w:color="auto"/>
              <w:right w:val="nil"/>
            </w:tcBorders>
            <w:shd w:val="clear" w:color="auto" w:fill="auto"/>
            <w:noWrap/>
            <w:hideMark/>
          </w:tcPr>
          <w:p w14:paraId="5FF4FA9A"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Coefficient of Variation</w:t>
            </w:r>
          </w:p>
        </w:tc>
        <w:tc>
          <w:tcPr>
            <w:tcW w:w="1080" w:type="dxa"/>
            <w:tcBorders>
              <w:top w:val="nil"/>
              <w:left w:val="single" w:sz="4" w:space="0" w:color="auto"/>
              <w:bottom w:val="single" w:sz="4" w:space="0" w:color="auto"/>
              <w:right w:val="single" w:sz="4" w:space="0" w:color="auto"/>
            </w:tcBorders>
            <w:shd w:val="clear" w:color="auto" w:fill="auto"/>
            <w:noWrap/>
            <w:hideMark/>
          </w:tcPr>
          <w:p w14:paraId="543ED23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30.9</w:t>
            </w:r>
          </w:p>
        </w:tc>
        <w:tc>
          <w:tcPr>
            <w:tcW w:w="1080" w:type="dxa"/>
            <w:tcBorders>
              <w:top w:val="nil"/>
              <w:left w:val="nil"/>
              <w:bottom w:val="single" w:sz="4" w:space="0" w:color="auto"/>
              <w:right w:val="single" w:sz="4" w:space="0" w:color="auto"/>
            </w:tcBorders>
            <w:shd w:val="clear" w:color="auto" w:fill="auto"/>
            <w:noWrap/>
            <w:vAlign w:val="bottom"/>
            <w:hideMark/>
          </w:tcPr>
          <w:p w14:paraId="091373E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32.0</w:t>
            </w:r>
          </w:p>
        </w:tc>
        <w:tc>
          <w:tcPr>
            <w:tcW w:w="1080" w:type="dxa"/>
            <w:tcBorders>
              <w:top w:val="nil"/>
              <w:left w:val="nil"/>
              <w:bottom w:val="single" w:sz="4" w:space="0" w:color="auto"/>
              <w:right w:val="double" w:sz="6" w:space="0" w:color="auto"/>
            </w:tcBorders>
            <w:shd w:val="clear" w:color="auto" w:fill="auto"/>
            <w:noWrap/>
            <w:hideMark/>
          </w:tcPr>
          <w:p w14:paraId="4A5147CB"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30.6</w:t>
            </w:r>
          </w:p>
        </w:tc>
        <w:tc>
          <w:tcPr>
            <w:tcW w:w="1080" w:type="dxa"/>
            <w:tcBorders>
              <w:top w:val="nil"/>
              <w:left w:val="nil"/>
              <w:bottom w:val="single" w:sz="4" w:space="0" w:color="auto"/>
              <w:right w:val="single" w:sz="4" w:space="0" w:color="auto"/>
            </w:tcBorders>
            <w:shd w:val="clear" w:color="auto" w:fill="auto"/>
            <w:noWrap/>
            <w:hideMark/>
          </w:tcPr>
          <w:p w14:paraId="2B3C146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4.7</w:t>
            </w:r>
          </w:p>
        </w:tc>
        <w:tc>
          <w:tcPr>
            <w:tcW w:w="1080" w:type="dxa"/>
            <w:tcBorders>
              <w:top w:val="nil"/>
              <w:left w:val="nil"/>
              <w:bottom w:val="single" w:sz="4" w:space="0" w:color="auto"/>
              <w:right w:val="single" w:sz="4" w:space="0" w:color="auto"/>
            </w:tcBorders>
            <w:shd w:val="clear" w:color="auto" w:fill="auto"/>
            <w:noWrap/>
            <w:hideMark/>
          </w:tcPr>
          <w:p w14:paraId="3AE7B59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3.7</w:t>
            </w:r>
          </w:p>
        </w:tc>
        <w:tc>
          <w:tcPr>
            <w:tcW w:w="1080" w:type="dxa"/>
            <w:tcBorders>
              <w:top w:val="nil"/>
              <w:left w:val="nil"/>
              <w:bottom w:val="single" w:sz="4" w:space="0" w:color="auto"/>
              <w:right w:val="single" w:sz="4" w:space="0" w:color="auto"/>
            </w:tcBorders>
            <w:shd w:val="clear" w:color="auto" w:fill="auto"/>
            <w:noWrap/>
            <w:hideMark/>
          </w:tcPr>
          <w:p w14:paraId="662D691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3.65</w:t>
            </w:r>
          </w:p>
        </w:tc>
      </w:tr>
    </w:tbl>
    <w:p w14:paraId="56D51AFA" w14:textId="77777777" w:rsidR="007A4CE7" w:rsidRPr="007A4CE7" w:rsidRDefault="007A4CE7" w:rsidP="007A4CE7">
      <w:pPr>
        <w:spacing w:after="0" w:line="240" w:lineRule="auto"/>
        <w:rPr>
          <w:sz w:val="18"/>
          <w:szCs w:val="18"/>
        </w:rPr>
      </w:pPr>
      <w:r w:rsidRPr="007A4CE7">
        <w:rPr>
          <w:sz w:val="18"/>
          <w:szCs w:val="18"/>
        </w:rPr>
        <w:br/>
        <w:t>Notes:</w:t>
      </w:r>
    </w:p>
    <w:p w14:paraId="4878CC40" w14:textId="77777777" w:rsidR="007A4CE7" w:rsidRPr="007A4CE7" w:rsidRDefault="007A4CE7" w:rsidP="007A4CE7">
      <w:pPr>
        <w:spacing w:after="0" w:line="240" w:lineRule="auto"/>
        <w:rPr>
          <w:sz w:val="18"/>
          <w:szCs w:val="18"/>
        </w:rPr>
      </w:pPr>
      <w:r w:rsidRPr="007A4CE7">
        <w:rPr>
          <w:sz w:val="18"/>
          <w:szCs w:val="18"/>
        </w:rPr>
        <w:t>(1) Low threshold: 30 colonoscopies per endoscopist, 100 path reports per pathologist (n=51 pathologists)</w:t>
      </w:r>
    </w:p>
    <w:p w14:paraId="5D408E83" w14:textId="77777777" w:rsidR="007A4CE7" w:rsidRPr="007A4CE7" w:rsidRDefault="007A4CE7" w:rsidP="007A4CE7">
      <w:pPr>
        <w:spacing w:after="0" w:line="240" w:lineRule="auto"/>
        <w:rPr>
          <w:sz w:val="18"/>
          <w:szCs w:val="18"/>
        </w:rPr>
      </w:pPr>
      <w:r w:rsidRPr="007A4CE7">
        <w:rPr>
          <w:sz w:val="18"/>
          <w:szCs w:val="18"/>
        </w:rPr>
        <w:t>(2) Main analysis: 100 colonoscopies per endoscopist, 200 path reports per pathologist (n=48 pathologists)</w:t>
      </w:r>
    </w:p>
    <w:p w14:paraId="10A81A93" w14:textId="77777777" w:rsidR="007A4CE7" w:rsidRPr="007A4CE7" w:rsidRDefault="007A4CE7" w:rsidP="007A4CE7">
      <w:pPr>
        <w:rPr>
          <w:b/>
        </w:rPr>
      </w:pPr>
      <w:r w:rsidRPr="007A4CE7">
        <w:rPr>
          <w:sz w:val="18"/>
          <w:szCs w:val="18"/>
        </w:rPr>
        <w:t>(3) High threshold: 200 colonoscopies per endoscopist, 300 path reports per pathologist (n=45 pathologists)</w:t>
      </w:r>
      <w:r w:rsidRPr="007A4CE7">
        <w:rPr>
          <w:sz w:val="18"/>
          <w:szCs w:val="18"/>
        </w:rPr>
        <w:t> </w:t>
      </w:r>
      <w:r w:rsidRPr="007A4CE7">
        <w:rPr>
          <w:b/>
        </w:rPr>
        <w:br w:type="page"/>
      </w:r>
    </w:p>
    <w:p w14:paraId="1C102ADC" w14:textId="58F844C1" w:rsidR="007A4CE7" w:rsidRPr="007A4CE7" w:rsidRDefault="00A476F6" w:rsidP="007A4CE7">
      <w:pPr>
        <w:rPr>
          <w:b/>
        </w:rPr>
      </w:pPr>
      <w:r>
        <w:rPr>
          <w:b/>
        </w:rPr>
        <w:lastRenderedPageBreak/>
        <w:t>Supplement</w:t>
      </w:r>
      <w:r w:rsidR="007A4CE7" w:rsidRPr="007A4CE7">
        <w:rPr>
          <w:b/>
        </w:rPr>
        <w:t xml:space="preserve"> 2</w:t>
      </w:r>
      <w:r w:rsidR="007A4CE7" w:rsidRPr="007A4CE7">
        <w:t>: Examples of Text from Pathology Reports Describing Serrated Polyps</w:t>
      </w:r>
    </w:p>
    <w:p w14:paraId="3348E8E7" w14:textId="77777777" w:rsidR="007A4CE7" w:rsidRPr="007A4CE7" w:rsidRDefault="007A4CE7" w:rsidP="007A4CE7">
      <w:pPr>
        <w:numPr>
          <w:ilvl w:val="0"/>
          <w:numId w:val="1"/>
        </w:numPr>
        <w:spacing w:after="0" w:line="240" w:lineRule="auto"/>
        <w:contextualSpacing/>
      </w:pPr>
      <w:r w:rsidRPr="007A4CE7">
        <w:t>Sessile serrated polyp</w:t>
      </w:r>
    </w:p>
    <w:p w14:paraId="0F1BBB7D" w14:textId="77777777" w:rsidR="007A4CE7" w:rsidRPr="007A4CE7" w:rsidRDefault="007A4CE7" w:rsidP="007A4CE7">
      <w:pPr>
        <w:numPr>
          <w:ilvl w:val="0"/>
          <w:numId w:val="1"/>
        </w:numPr>
        <w:spacing w:after="0" w:line="240" w:lineRule="auto"/>
        <w:contextualSpacing/>
      </w:pPr>
      <w:r w:rsidRPr="007A4CE7">
        <w:t xml:space="preserve">Sessile serrated polyp without dysplasia </w:t>
      </w:r>
    </w:p>
    <w:p w14:paraId="35F46E85" w14:textId="77777777" w:rsidR="007A4CE7" w:rsidRPr="007A4CE7" w:rsidRDefault="007A4CE7" w:rsidP="007A4CE7">
      <w:pPr>
        <w:numPr>
          <w:ilvl w:val="0"/>
          <w:numId w:val="1"/>
        </w:numPr>
        <w:spacing w:after="0" w:line="240" w:lineRule="auto"/>
        <w:contextualSpacing/>
      </w:pPr>
      <w:r w:rsidRPr="007A4CE7">
        <w:t>Sessile serrated adenoma</w:t>
      </w:r>
    </w:p>
    <w:p w14:paraId="7D40C26C" w14:textId="77777777" w:rsidR="007A4CE7" w:rsidRPr="007A4CE7" w:rsidRDefault="007A4CE7" w:rsidP="007A4CE7">
      <w:pPr>
        <w:numPr>
          <w:ilvl w:val="0"/>
          <w:numId w:val="1"/>
        </w:numPr>
        <w:spacing w:after="0" w:line="240" w:lineRule="auto"/>
        <w:contextualSpacing/>
      </w:pPr>
      <w:r w:rsidRPr="007A4CE7">
        <w:t xml:space="preserve">Serrated polyp with morphologic features suggestive of sessile serrated polyp without dysplasia (2 fragments) </w:t>
      </w:r>
    </w:p>
    <w:p w14:paraId="386FAED5" w14:textId="77777777" w:rsidR="007A4CE7" w:rsidRPr="007A4CE7" w:rsidRDefault="007A4CE7" w:rsidP="007A4CE7">
      <w:pPr>
        <w:numPr>
          <w:ilvl w:val="0"/>
          <w:numId w:val="1"/>
        </w:numPr>
        <w:spacing w:after="0" w:line="240" w:lineRule="auto"/>
        <w:contextualSpacing/>
      </w:pPr>
      <w:r w:rsidRPr="007A4CE7">
        <w:t>Serrated polyp (1 fragment), favor hyperplastic polyp - No cytologic dysplasia identified</w:t>
      </w:r>
    </w:p>
    <w:p w14:paraId="2F92F620" w14:textId="77777777" w:rsidR="007A4CE7" w:rsidRPr="007A4CE7" w:rsidRDefault="007A4CE7" w:rsidP="007A4CE7">
      <w:pPr>
        <w:numPr>
          <w:ilvl w:val="0"/>
          <w:numId w:val="1"/>
        </w:numPr>
        <w:spacing w:after="0" w:line="240" w:lineRule="auto"/>
        <w:contextualSpacing/>
      </w:pPr>
      <w:r w:rsidRPr="007A4CE7">
        <w:t xml:space="preserve">Serrated polyp with minimal crypt architectural abnormalities, suspicious for sessile serrated polyp without dysplasia (multiple fragments) </w:t>
      </w:r>
    </w:p>
    <w:p w14:paraId="33F8EDD0" w14:textId="77777777" w:rsidR="007A4CE7" w:rsidRPr="007A4CE7" w:rsidRDefault="007A4CE7" w:rsidP="007A4CE7">
      <w:pPr>
        <w:numPr>
          <w:ilvl w:val="0"/>
          <w:numId w:val="1"/>
        </w:numPr>
        <w:spacing w:after="0" w:line="240" w:lineRule="auto"/>
        <w:contextualSpacing/>
      </w:pPr>
      <w:r w:rsidRPr="007A4CE7">
        <w:t>Serrated colonic mucosa with features compatible with sessile serrated polyp.</w:t>
      </w:r>
    </w:p>
    <w:p w14:paraId="6FC80346" w14:textId="77777777" w:rsidR="007A4CE7" w:rsidRPr="007A4CE7" w:rsidRDefault="007A4CE7" w:rsidP="007A4CE7">
      <w:pPr>
        <w:numPr>
          <w:ilvl w:val="0"/>
          <w:numId w:val="1"/>
        </w:numPr>
        <w:spacing w:after="0" w:line="240" w:lineRule="auto"/>
        <w:contextualSpacing/>
      </w:pPr>
      <w:r w:rsidRPr="007A4CE7">
        <w:t>Fragments of sessile serrated adenoma</w:t>
      </w:r>
    </w:p>
    <w:p w14:paraId="673295E7" w14:textId="77777777" w:rsidR="007A4CE7" w:rsidRPr="007A4CE7" w:rsidRDefault="007A4CE7" w:rsidP="007A4CE7">
      <w:pPr>
        <w:numPr>
          <w:ilvl w:val="0"/>
          <w:numId w:val="1"/>
        </w:numPr>
        <w:spacing w:after="0" w:line="240" w:lineRule="auto"/>
        <w:contextualSpacing/>
      </w:pPr>
      <w:r w:rsidRPr="007A4CE7">
        <w:t>Colonic mucosa with serrated changes suggestive of sessile serrated adenoma.</w:t>
      </w:r>
    </w:p>
    <w:p w14:paraId="1AADBA54" w14:textId="77777777" w:rsidR="007A4CE7" w:rsidRPr="007A4CE7" w:rsidRDefault="007A4CE7" w:rsidP="007A4CE7">
      <w:pPr>
        <w:numPr>
          <w:ilvl w:val="0"/>
          <w:numId w:val="1"/>
        </w:numPr>
        <w:spacing w:after="0" w:line="240" w:lineRule="auto"/>
        <w:contextualSpacing/>
      </w:pPr>
      <w:r w:rsidRPr="007A4CE7">
        <w:t>Tubular adenoma some with serrated features</w:t>
      </w:r>
    </w:p>
    <w:p w14:paraId="15D1E237" w14:textId="77777777" w:rsidR="007A4CE7" w:rsidRPr="007A4CE7" w:rsidRDefault="007A4CE7" w:rsidP="007A4CE7">
      <w:pPr>
        <w:numPr>
          <w:ilvl w:val="0"/>
          <w:numId w:val="1"/>
        </w:numPr>
        <w:spacing w:after="0" w:line="240" w:lineRule="auto"/>
        <w:contextualSpacing/>
      </w:pPr>
      <w:r w:rsidRPr="007A4CE7">
        <w:t>Fragments of sessile serrated adenoma…multiple fragments of sessile serrated adenoma(s) and hyperplastic</w:t>
      </w:r>
    </w:p>
    <w:p w14:paraId="2FE00636" w14:textId="77777777" w:rsidR="007A4CE7" w:rsidRPr="007A4CE7" w:rsidRDefault="007A4CE7" w:rsidP="007A4CE7">
      <w:pPr>
        <w:numPr>
          <w:ilvl w:val="0"/>
          <w:numId w:val="1"/>
        </w:numPr>
        <w:spacing w:after="0" w:line="240" w:lineRule="auto"/>
        <w:contextualSpacing/>
      </w:pPr>
      <w:r w:rsidRPr="007A4CE7">
        <w:t>Two pieces of serrated polyp with associated low grade cytologic dysplasia</w:t>
      </w:r>
    </w:p>
    <w:p w14:paraId="405B223B" w14:textId="77777777" w:rsidR="007A4CE7" w:rsidRPr="007A4CE7" w:rsidRDefault="007A4CE7" w:rsidP="007A4CE7">
      <w:pPr>
        <w:numPr>
          <w:ilvl w:val="0"/>
          <w:numId w:val="1"/>
        </w:numPr>
        <w:spacing w:after="0" w:line="240" w:lineRule="auto"/>
        <w:contextualSpacing/>
      </w:pPr>
      <w:r w:rsidRPr="007A4CE7">
        <w:t>Sessile serrated adenoma</w:t>
      </w:r>
    </w:p>
    <w:p w14:paraId="033CF865" w14:textId="77777777" w:rsidR="007A4CE7" w:rsidRPr="007A4CE7" w:rsidRDefault="007A4CE7" w:rsidP="007A4CE7">
      <w:pPr>
        <w:numPr>
          <w:ilvl w:val="0"/>
          <w:numId w:val="1"/>
        </w:numPr>
        <w:spacing w:after="0" w:line="240" w:lineRule="auto"/>
        <w:contextualSpacing/>
      </w:pPr>
      <w:r w:rsidRPr="007A4CE7">
        <w:t>Minute sessile serrated polyp, cannot exclude sessile serrated adenoma</w:t>
      </w:r>
    </w:p>
    <w:p w14:paraId="5511EEB1" w14:textId="77777777" w:rsidR="007A4CE7" w:rsidRPr="007A4CE7" w:rsidRDefault="007A4CE7" w:rsidP="007A4CE7">
      <w:r w:rsidRPr="007A4CE7">
        <w:br w:type="page"/>
      </w:r>
    </w:p>
    <w:p w14:paraId="2BFED864" w14:textId="0E9AAD5C" w:rsidR="007A4CE7" w:rsidRPr="007A4CE7" w:rsidRDefault="00A476F6" w:rsidP="007A4CE7">
      <w:pPr>
        <w:rPr>
          <w:b/>
        </w:rPr>
      </w:pPr>
      <w:r>
        <w:rPr>
          <w:b/>
        </w:rPr>
        <w:lastRenderedPageBreak/>
        <w:t>Supplement</w:t>
      </w:r>
      <w:r w:rsidR="007A4CE7" w:rsidRPr="007A4CE7">
        <w:rPr>
          <w:b/>
        </w:rPr>
        <w:t xml:space="preserve"> 3</w:t>
      </w:r>
      <w:r w:rsidR="007A4CE7" w:rsidRPr="007A4CE7">
        <w:t xml:space="preserve">: Comparing Pathologists’ Observed Classification and Standardized Classification Ratios for Adenomas and Serrated Polyps </w:t>
      </w:r>
    </w:p>
    <w:p w14:paraId="6AC047DF" w14:textId="77777777" w:rsidR="007A4CE7" w:rsidRPr="007A4CE7" w:rsidRDefault="007A4CE7" w:rsidP="007A4CE7">
      <w:r w:rsidRPr="007A4CE7">
        <w:t xml:space="preserve">A pathologist’s observed classification ratio is her raw rate of adenoma or serrated polyp classification (i.e. the number of adenomas classified by the pathologist / the number of pathology reports he reviewed). The standardized classification ratio is the ratio of the pathologist’s observed classification ratio to the pathologist’s “expected classification ratio.” We calculate the expected classification ratio as described in the main text, using recycled prediction from logistic regression with endoscopist fixed effects. </w:t>
      </w:r>
    </w:p>
    <w:p w14:paraId="6D922427" w14:textId="77777777" w:rsidR="007A4CE7" w:rsidRPr="007A4CE7" w:rsidRDefault="007A4CE7" w:rsidP="007A4CE7">
      <w:pPr>
        <w:rPr>
          <w:i/>
        </w:rPr>
      </w:pPr>
      <w:r w:rsidRPr="007A4CE7">
        <w:rPr>
          <w:i/>
        </w:rPr>
        <w:t>Figure A3: Histograms of observed classification ratio (left) and standardized classification ratio (right) for adenomas (top) and serrated polyps (bottom).</w:t>
      </w:r>
    </w:p>
    <w:p w14:paraId="1A81ECD3" w14:textId="77777777" w:rsidR="007A4CE7" w:rsidRPr="007A4CE7" w:rsidRDefault="007A4CE7" w:rsidP="007A4CE7">
      <w:r w:rsidRPr="007A4CE7">
        <w:br/>
      </w:r>
    </w:p>
    <w:p w14:paraId="0567097D" w14:textId="77777777" w:rsidR="007A4CE7" w:rsidRPr="007A4CE7" w:rsidRDefault="007A4CE7" w:rsidP="007A4CE7">
      <w:r w:rsidRPr="007A4CE7">
        <w:t>FIGURE SUBMITTED SEPARATELY</w:t>
      </w:r>
    </w:p>
    <w:p w14:paraId="5CE3A1AD" w14:textId="77777777" w:rsidR="007A4CE7" w:rsidRPr="007A4CE7" w:rsidRDefault="007A4CE7" w:rsidP="007A4CE7">
      <w:pPr>
        <w:rPr>
          <w:i/>
        </w:rPr>
      </w:pPr>
    </w:p>
    <w:p w14:paraId="23BE5C91" w14:textId="77777777" w:rsidR="007A4CE7" w:rsidRPr="007A4CE7" w:rsidRDefault="007A4CE7" w:rsidP="007A4CE7">
      <w:pPr>
        <w:rPr>
          <w:i/>
        </w:rPr>
      </w:pPr>
    </w:p>
    <w:p w14:paraId="58F1DDAC" w14:textId="77777777" w:rsidR="007A4CE7" w:rsidRPr="007A4CE7" w:rsidRDefault="007A4CE7" w:rsidP="007A4CE7">
      <w:pPr>
        <w:rPr>
          <w:i/>
        </w:rPr>
      </w:pPr>
    </w:p>
    <w:p w14:paraId="51D1F5C3" w14:textId="77777777" w:rsidR="007A4CE7" w:rsidRPr="007A4CE7" w:rsidRDefault="007A4CE7" w:rsidP="007A4CE7">
      <w:pPr>
        <w:rPr>
          <w:i/>
        </w:rPr>
      </w:pPr>
    </w:p>
    <w:p w14:paraId="7ECE115A" w14:textId="77777777" w:rsidR="007A4CE7" w:rsidRPr="007A4CE7" w:rsidRDefault="007A4CE7" w:rsidP="007A4CE7">
      <w:pPr>
        <w:rPr>
          <w:i/>
        </w:rPr>
      </w:pPr>
    </w:p>
    <w:p w14:paraId="427CAFE4" w14:textId="77777777" w:rsidR="007A4CE7" w:rsidRPr="007A4CE7" w:rsidRDefault="007A4CE7" w:rsidP="007A4CE7">
      <w:pPr>
        <w:rPr>
          <w:i/>
        </w:rPr>
      </w:pPr>
    </w:p>
    <w:p w14:paraId="4474A3F5" w14:textId="77777777" w:rsidR="007A4CE7" w:rsidRPr="007A4CE7" w:rsidRDefault="007A4CE7" w:rsidP="007A4CE7">
      <w:pPr>
        <w:rPr>
          <w:i/>
        </w:rPr>
      </w:pPr>
    </w:p>
    <w:p w14:paraId="49C2B795" w14:textId="77777777" w:rsidR="007A4CE7" w:rsidRPr="007A4CE7" w:rsidRDefault="007A4CE7" w:rsidP="007A4CE7">
      <w:pPr>
        <w:rPr>
          <w:i/>
        </w:rPr>
      </w:pPr>
    </w:p>
    <w:p w14:paraId="4E09B734" w14:textId="77777777" w:rsidR="007A4CE7" w:rsidRPr="007A4CE7" w:rsidRDefault="007A4CE7" w:rsidP="007A4CE7">
      <w:pPr>
        <w:rPr>
          <w:i/>
        </w:rPr>
      </w:pPr>
    </w:p>
    <w:p w14:paraId="65C62B31" w14:textId="77777777" w:rsidR="007A4CE7" w:rsidRPr="007A4CE7" w:rsidRDefault="007A4CE7" w:rsidP="007A4CE7">
      <w:pPr>
        <w:rPr>
          <w:i/>
        </w:rPr>
      </w:pPr>
    </w:p>
    <w:p w14:paraId="7E73E6D1" w14:textId="77777777" w:rsidR="007A4CE7" w:rsidRPr="007A4CE7" w:rsidRDefault="007A4CE7" w:rsidP="007A4CE7">
      <w:pPr>
        <w:rPr>
          <w:i/>
        </w:rPr>
      </w:pPr>
    </w:p>
    <w:p w14:paraId="3F6ACEF8" w14:textId="77777777" w:rsidR="007A4CE7" w:rsidRPr="007A4CE7" w:rsidRDefault="007A4CE7" w:rsidP="007A4CE7">
      <w:pPr>
        <w:rPr>
          <w:i/>
        </w:rPr>
      </w:pPr>
    </w:p>
    <w:p w14:paraId="7F92E16C" w14:textId="77777777" w:rsidR="007A4CE7" w:rsidRPr="007A4CE7" w:rsidRDefault="007A4CE7" w:rsidP="007A4CE7">
      <w:pPr>
        <w:rPr>
          <w:i/>
        </w:rPr>
      </w:pPr>
      <w:r w:rsidRPr="007A4CE7">
        <w:rPr>
          <w:i/>
        </w:rPr>
        <w:br w:type="page"/>
      </w:r>
    </w:p>
    <w:p w14:paraId="40DEEA90" w14:textId="77777777" w:rsidR="007A4CE7" w:rsidRPr="007A4CE7" w:rsidRDefault="007A4CE7" w:rsidP="007A4CE7">
      <w:pPr>
        <w:rPr>
          <w:i/>
        </w:rPr>
      </w:pPr>
      <w:r w:rsidRPr="007A4CE7">
        <w:rPr>
          <w:i/>
        </w:rPr>
        <w:lastRenderedPageBreak/>
        <w:t>Table A3: Descriptive statistics for classification ratios for adenomas and serrated polyps, raw and standardized</w:t>
      </w:r>
    </w:p>
    <w:tbl>
      <w:tblPr>
        <w:tblW w:w="8732" w:type="dxa"/>
        <w:tblInd w:w="93" w:type="dxa"/>
        <w:tblLayout w:type="fixed"/>
        <w:tblLook w:val="04A0" w:firstRow="1" w:lastRow="0" w:firstColumn="1" w:lastColumn="0" w:noHBand="0" w:noVBand="1"/>
      </w:tblPr>
      <w:tblGrid>
        <w:gridCol w:w="2957"/>
        <w:gridCol w:w="1443"/>
        <w:gridCol w:w="1375"/>
        <w:gridCol w:w="1513"/>
        <w:gridCol w:w="1444"/>
      </w:tblGrid>
      <w:tr w:rsidR="007A4CE7" w:rsidRPr="007A4CE7" w14:paraId="6E57FE50" w14:textId="77777777" w:rsidTr="00357050">
        <w:trPr>
          <w:trHeight w:val="207"/>
        </w:trPr>
        <w:tc>
          <w:tcPr>
            <w:tcW w:w="2957" w:type="dxa"/>
            <w:tcBorders>
              <w:top w:val="nil"/>
              <w:left w:val="nil"/>
              <w:bottom w:val="nil"/>
              <w:right w:val="nil"/>
            </w:tcBorders>
            <w:shd w:val="clear" w:color="auto" w:fill="auto"/>
            <w:noWrap/>
            <w:vAlign w:val="bottom"/>
            <w:hideMark/>
          </w:tcPr>
          <w:p w14:paraId="42D979BE" w14:textId="77777777" w:rsidR="007A4CE7" w:rsidRPr="007A4CE7" w:rsidRDefault="007A4CE7" w:rsidP="007A4CE7">
            <w:pPr>
              <w:spacing w:after="0" w:line="240" w:lineRule="auto"/>
              <w:rPr>
                <w:rFonts w:ascii="Calibri" w:eastAsia="Times New Roman" w:hAnsi="Calibri" w:cs="Times New Roman"/>
                <w:color w:val="000000"/>
                <w:sz w:val="20"/>
                <w:szCs w:val="20"/>
              </w:rPr>
            </w:pPr>
          </w:p>
        </w:tc>
        <w:tc>
          <w:tcPr>
            <w:tcW w:w="281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C20494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Unadjusted</w:t>
            </w:r>
          </w:p>
        </w:tc>
        <w:tc>
          <w:tcPr>
            <w:tcW w:w="29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A8587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Standardized</w:t>
            </w:r>
          </w:p>
        </w:tc>
      </w:tr>
      <w:tr w:rsidR="007A4CE7" w:rsidRPr="007A4CE7" w14:paraId="7F5553F0" w14:textId="77777777" w:rsidTr="00357050">
        <w:trPr>
          <w:trHeight w:val="509"/>
        </w:trPr>
        <w:tc>
          <w:tcPr>
            <w:tcW w:w="2957" w:type="dxa"/>
            <w:vMerge w:val="restart"/>
            <w:tcBorders>
              <w:top w:val="single" w:sz="4" w:space="0" w:color="auto"/>
              <w:left w:val="single" w:sz="4" w:space="0" w:color="auto"/>
              <w:bottom w:val="single" w:sz="4" w:space="0" w:color="auto"/>
              <w:right w:val="nil"/>
            </w:tcBorders>
            <w:shd w:val="clear" w:color="auto" w:fill="auto"/>
            <w:noWrap/>
            <w:hideMark/>
          </w:tcPr>
          <w:p w14:paraId="40C43EC5"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p>
        </w:tc>
        <w:tc>
          <w:tcPr>
            <w:tcW w:w="1443" w:type="dxa"/>
            <w:vMerge w:val="restart"/>
            <w:tcBorders>
              <w:top w:val="nil"/>
              <w:left w:val="single" w:sz="4" w:space="0" w:color="auto"/>
              <w:bottom w:val="single" w:sz="4" w:space="0" w:color="000000"/>
              <w:right w:val="single" w:sz="4" w:space="0" w:color="auto"/>
            </w:tcBorders>
            <w:shd w:val="clear" w:color="auto" w:fill="auto"/>
            <w:hideMark/>
          </w:tcPr>
          <w:p w14:paraId="43A8E136"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Serrated Polyps</w:t>
            </w:r>
          </w:p>
        </w:tc>
        <w:tc>
          <w:tcPr>
            <w:tcW w:w="1375" w:type="dxa"/>
            <w:vMerge w:val="restart"/>
            <w:tcBorders>
              <w:top w:val="nil"/>
              <w:left w:val="single" w:sz="4" w:space="0" w:color="auto"/>
              <w:bottom w:val="single" w:sz="4" w:space="0" w:color="000000"/>
              <w:right w:val="single" w:sz="4" w:space="0" w:color="auto"/>
            </w:tcBorders>
            <w:shd w:val="clear" w:color="auto" w:fill="auto"/>
            <w:hideMark/>
          </w:tcPr>
          <w:p w14:paraId="40D49FB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Adenomas</w:t>
            </w:r>
          </w:p>
        </w:tc>
        <w:tc>
          <w:tcPr>
            <w:tcW w:w="1513" w:type="dxa"/>
            <w:vMerge w:val="restart"/>
            <w:tcBorders>
              <w:top w:val="nil"/>
              <w:left w:val="single" w:sz="4" w:space="0" w:color="auto"/>
              <w:bottom w:val="single" w:sz="4" w:space="0" w:color="000000"/>
              <w:right w:val="single" w:sz="4" w:space="0" w:color="auto"/>
            </w:tcBorders>
            <w:shd w:val="clear" w:color="auto" w:fill="auto"/>
            <w:hideMark/>
          </w:tcPr>
          <w:p w14:paraId="37FF49A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Serrated Polyps</w:t>
            </w:r>
          </w:p>
        </w:tc>
        <w:tc>
          <w:tcPr>
            <w:tcW w:w="1444" w:type="dxa"/>
            <w:vMerge w:val="restart"/>
            <w:tcBorders>
              <w:top w:val="nil"/>
              <w:left w:val="single" w:sz="4" w:space="0" w:color="auto"/>
              <w:bottom w:val="single" w:sz="4" w:space="0" w:color="000000"/>
              <w:right w:val="single" w:sz="4" w:space="0" w:color="auto"/>
            </w:tcBorders>
            <w:shd w:val="clear" w:color="auto" w:fill="auto"/>
            <w:hideMark/>
          </w:tcPr>
          <w:p w14:paraId="57B96B46"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Adenomas</w:t>
            </w:r>
          </w:p>
        </w:tc>
      </w:tr>
      <w:tr w:rsidR="007A4CE7" w:rsidRPr="007A4CE7" w14:paraId="767430C1" w14:textId="77777777" w:rsidTr="00357050">
        <w:trPr>
          <w:trHeight w:val="509"/>
        </w:trPr>
        <w:tc>
          <w:tcPr>
            <w:tcW w:w="2957" w:type="dxa"/>
            <w:vMerge/>
            <w:tcBorders>
              <w:top w:val="single" w:sz="4" w:space="0" w:color="auto"/>
              <w:left w:val="single" w:sz="4" w:space="0" w:color="auto"/>
              <w:bottom w:val="single" w:sz="4" w:space="0" w:color="auto"/>
              <w:right w:val="nil"/>
            </w:tcBorders>
            <w:vAlign w:val="center"/>
            <w:hideMark/>
          </w:tcPr>
          <w:p w14:paraId="07821387" w14:textId="77777777" w:rsidR="007A4CE7" w:rsidRPr="007A4CE7" w:rsidRDefault="007A4CE7" w:rsidP="007A4CE7">
            <w:pPr>
              <w:spacing w:after="0" w:line="240" w:lineRule="auto"/>
              <w:rPr>
                <w:rFonts w:ascii="Calibri" w:eastAsia="Times New Roman" w:hAnsi="Calibri" w:cs="Times New Roman"/>
                <w:color w:val="000000"/>
                <w:sz w:val="20"/>
                <w:szCs w:val="20"/>
              </w:rPr>
            </w:pPr>
          </w:p>
        </w:tc>
        <w:tc>
          <w:tcPr>
            <w:tcW w:w="1443" w:type="dxa"/>
            <w:vMerge/>
            <w:tcBorders>
              <w:top w:val="nil"/>
              <w:left w:val="single" w:sz="4" w:space="0" w:color="auto"/>
              <w:bottom w:val="single" w:sz="4" w:space="0" w:color="000000"/>
              <w:right w:val="single" w:sz="4" w:space="0" w:color="auto"/>
            </w:tcBorders>
            <w:vAlign w:val="center"/>
            <w:hideMark/>
          </w:tcPr>
          <w:p w14:paraId="2433E6E7" w14:textId="77777777" w:rsidR="007A4CE7" w:rsidRPr="007A4CE7" w:rsidRDefault="007A4CE7" w:rsidP="007A4CE7">
            <w:pPr>
              <w:spacing w:after="0" w:line="240" w:lineRule="auto"/>
              <w:rPr>
                <w:rFonts w:ascii="Calibri" w:eastAsia="Times New Roman" w:hAnsi="Calibri" w:cs="Times New Roman"/>
                <w:color w:val="000000"/>
                <w:sz w:val="20"/>
                <w:szCs w:val="20"/>
              </w:rPr>
            </w:pPr>
          </w:p>
        </w:tc>
        <w:tc>
          <w:tcPr>
            <w:tcW w:w="1375" w:type="dxa"/>
            <w:vMerge/>
            <w:tcBorders>
              <w:top w:val="nil"/>
              <w:left w:val="single" w:sz="4" w:space="0" w:color="auto"/>
              <w:bottom w:val="single" w:sz="4" w:space="0" w:color="000000"/>
              <w:right w:val="single" w:sz="4" w:space="0" w:color="auto"/>
            </w:tcBorders>
            <w:vAlign w:val="center"/>
            <w:hideMark/>
          </w:tcPr>
          <w:p w14:paraId="762E02FB" w14:textId="77777777" w:rsidR="007A4CE7" w:rsidRPr="007A4CE7" w:rsidRDefault="007A4CE7" w:rsidP="007A4CE7">
            <w:pPr>
              <w:spacing w:after="0" w:line="240" w:lineRule="auto"/>
              <w:rPr>
                <w:rFonts w:ascii="Calibri" w:eastAsia="Times New Roman" w:hAnsi="Calibri" w:cs="Times New Roman"/>
                <w:color w:val="000000"/>
                <w:sz w:val="20"/>
                <w:szCs w:val="20"/>
              </w:rPr>
            </w:pPr>
          </w:p>
        </w:tc>
        <w:tc>
          <w:tcPr>
            <w:tcW w:w="1513" w:type="dxa"/>
            <w:vMerge/>
            <w:tcBorders>
              <w:top w:val="nil"/>
              <w:left w:val="single" w:sz="4" w:space="0" w:color="auto"/>
              <w:bottom w:val="single" w:sz="4" w:space="0" w:color="000000"/>
              <w:right w:val="single" w:sz="4" w:space="0" w:color="auto"/>
            </w:tcBorders>
            <w:vAlign w:val="center"/>
            <w:hideMark/>
          </w:tcPr>
          <w:p w14:paraId="5E3559EF" w14:textId="77777777" w:rsidR="007A4CE7" w:rsidRPr="007A4CE7" w:rsidRDefault="007A4CE7" w:rsidP="007A4CE7">
            <w:pPr>
              <w:spacing w:after="0" w:line="240" w:lineRule="auto"/>
              <w:rPr>
                <w:rFonts w:ascii="Calibri" w:eastAsia="Times New Roman" w:hAnsi="Calibri" w:cs="Times New Roman"/>
                <w:color w:val="000000"/>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14:paraId="3FC7FE51" w14:textId="77777777" w:rsidR="007A4CE7" w:rsidRPr="007A4CE7" w:rsidRDefault="007A4CE7" w:rsidP="007A4CE7">
            <w:pPr>
              <w:spacing w:after="0" w:line="240" w:lineRule="auto"/>
              <w:rPr>
                <w:rFonts w:ascii="Calibri" w:eastAsia="Times New Roman" w:hAnsi="Calibri" w:cs="Times New Roman"/>
                <w:color w:val="000000"/>
                <w:sz w:val="20"/>
                <w:szCs w:val="20"/>
              </w:rPr>
            </w:pPr>
          </w:p>
        </w:tc>
      </w:tr>
      <w:tr w:rsidR="007A4CE7" w:rsidRPr="007A4CE7" w14:paraId="1BC72AFA" w14:textId="77777777" w:rsidTr="00357050">
        <w:trPr>
          <w:trHeight w:val="207"/>
        </w:trPr>
        <w:tc>
          <w:tcPr>
            <w:tcW w:w="2957" w:type="dxa"/>
            <w:tcBorders>
              <w:top w:val="nil"/>
              <w:left w:val="single" w:sz="4" w:space="0" w:color="auto"/>
              <w:bottom w:val="single" w:sz="4" w:space="0" w:color="auto"/>
              <w:right w:val="nil"/>
            </w:tcBorders>
            <w:shd w:val="clear" w:color="auto" w:fill="auto"/>
            <w:noWrap/>
            <w:vAlign w:val="bottom"/>
            <w:hideMark/>
          </w:tcPr>
          <w:p w14:paraId="627F5951"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 xml:space="preserve">Min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4A92665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0.01</w:t>
            </w:r>
          </w:p>
        </w:tc>
        <w:tc>
          <w:tcPr>
            <w:tcW w:w="1375" w:type="dxa"/>
            <w:tcBorders>
              <w:top w:val="nil"/>
              <w:left w:val="nil"/>
              <w:bottom w:val="single" w:sz="4" w:space="0" w:color="auto"/>
              <w:right w:val="single" w:sz="4" w:space="0" w:color="auto"/>
            </w:tcBorders>
            <w:shd w:val="clear" w:color="auto" w:fill="auto"/>
            <w:noWrap/>
            <w:vAlign w:val="bottom"/>
            <w:hideMark/>
          </w:tcPr>
          <w:p w14:paraId="6D6D29B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0.48</w:t>
            </w:r>
          </w:p>
        </w:tc>
        <w:tc>
          <w:tcPr>
            <w:tcW w:w="1513" w:type="dxa"/>
            <w:tcBorders>
              <w:top w:val="nil"/>
              <w:left w:val="nil"/>
              <w:bottom w:val="single" w:sz="4" w:space="0" w:color="auto"/>
              <w:right w:val="single" w:sz="4" w:space="0" w:color="auto"/>
            </w:tcBorders>
            <w:shd w:val="clear" w:color="auto" w:fill="auto"/>
            <w:noWrap/>
            <w:vAlign w:val="bottom"/>
            <w:hideMark/>
          </w:tcPr>
          <w:p w14:paraId="0FE632F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0.36</w:t>
            </w:r>
          </w:p>
        </w:tc>
        <w:tc>
          <w:tcPr>
            <w:tcW w:w="1444" w:type="dxa"/>
            <w:tcBorders>
              <w:top w:val="nil"/>
              <w:left w:val="nil"/>
              <w:bottom w:val="single" w:sz="4" w:space="0" w:color="auto"/>
              <w:right w:val="single" w:sz="4" w:space="0" w:color="auto"/>
            </w:tcBorders>
            <w:shd w:val="clear" w:color="auto" w:fill="auto"/>
            <w:noWrap/>
            <w:vAlign w:val="bottom"/>
            <w:hideMark/>
          </w:tcPr>
          <w:p w14:paraId="0D3DED59"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0.90</w:t>
            </w:r>
          </w:p>
        </w:tc>
      </w:tr>
      <w:tr w:rsidR="007A4CE7" w:rsidRPr="007A4CE7" w14:paraId="1FEE6F4C" w14:textId="77777777" w:rsidTr="00357050">
        <w:trPr>
          <w:trHeight w:val="207"/>
        </w:trPr>
        <w:tc>
          <w:tcPr>
            <w:tcW w:w="2957" w:type="dxa"/>
            <w:tcBorders>
              <w:top w:val="nil"/>
              <w:left w:val="single" w:sz="4" w:space="0" w:color="auto"/>
              <w:bottom w:val="nil"/>
              <w:right w:val="nil"/>
            </w:tcBorders>
            <w:shd w:val="clear" w:color="auto" w:fill="auto"/>
            <w:noWrap/>
            <w:vAlign w:val="bottom"/>
            <w:hideMark/>
          </w:tcPr>
          <w:p w14:paraId="42C882C6"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25th Percentile</w:t>
            </w:r>
          </w:p>
        </w:tc>
        <w:tc>
          <w:tcPr>
            <w:tcW w:w="1443" w:type="dxa"/>
            <w:tcBorders>
              <w:top w:val="nil"/>
              <w:left w:val="single" w:sz="4" w:space="0" w:color="auto"/>
              <w:bottom w:val="nil"/>
              <w:right w:val="single" w:sz="4" w:space="0" w:color="auto"/>
            </w:tcBorders>
            <w:shd w:val="clear" w:color="auto" w:fill="auto"/>
            <w:noWrap/>
            <w:vAlign w:val="bottom"/>
            <w:hideMark/>
          </w:tcPr>
          <w:p w14:paraId="214DCA7C"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0.08</w:t>
            </w:r>
          </w:p>
        </w:tc>
        <w:tc>
          <w:tcPr>
            <w:tcW w:w="1375" w:type="dxa"/>
            <w:tcBorders>
              <w:top w:val="nil"/>
              <w:left w:val="nil"/>
              <w:bottom w:val="nil"/>
              <w:right w:val="single" w:sz="4" w:space="0" w:color="auto"/>
            </w:tcBorders>
            <w:shd w:val="clear" w:color="auto" w:fill="auto"/>
            <w:noWrap/>
            <w:vAlign w:val="bottom"/>
            <w:hideMark/>
          </w:tcPr>
          <w:p w14:paraId="405DC7B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0.53</w:t>
            </w:r>
          </w:p>
        </w:tc>
        <w:tc>
          <w:tcPr>
            <w:tcW w:w="1513" w:type="dxa"/>
            <w:tcBorders>
              <w:top w:val="nil"/>
              <w:left w:val="nil"/>
              <w:bottom w:val="nil"/>
              <w:right w:val="single" w:sz="4" w:space="0" w:color="auto"/>
            </w:tcBorders>
            <w:shd w:val="clear" w:color="auto" w:fill="auto"/>
            <w:noWrap/>
            <w:vAlign w:val="bottom"/>
            <w:hideMark/>
          </w:tcPr>
          <w:p w14:paraId="68C4B5E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0.81</w:t>
            </w:r>
          </w:p>
        </w:tc>
        <w:tc>
          <w:tcPr>
            <w:tcW w:w="1444" w:type="dxa"/>
            <w:tcBorders>
              <w:top w:val="nil"/>
              <w:left w:val="nil"/>
              <w:bottom w:val="nil"/>
              <w:right w:val="single" w:sz="4" w:space="0" w:color="auto"/>
            </w:tcBorders>
            <w:shd w:val="clear" w:color="auto" w:fill="auto"/>
            <w:noWrap/>
            <w:vAlign w:val="bottom"/>
            <w:hideMark/>
          </w:tcPr>
          <w:p w14:paraId="5D83AF7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0.98</w:t>
            </w:r>
          </w:p>
        </w:tc>
      </w:tr>
      <w:tr w:rsidR="007A4CE7" w:rsidRPr="007A4CE7" w14:paraId="567EF347" w14:textId="77777777" w:rsidTr="00357050">
        <w:trPr>
          <w:trHeight w:val="207"/>
        </w:trPr>
        <w:tc>
          <w:tcPr>
            <w:tcW w:w="2957" w:type="dxa"/>
            <w:tcBorders>
              <w:top w:val="single" w:sz="4" w:space="0" w:color="auto"/>
              <w:left w:val="single" w:sz="4" w:space="0" w:color="auto"/>
              <w:bottom w:val="single" w:sz="4" w:space="0" w:color="auto"/>
              <w:right w:val="nil"/>
            </w:tcBorders>
            <w:shd w:val="clear" w:color="auto" w:fill="auto"/>
            <w:noWrap/>
            <w:vAlign w:val="bottom"/>
            <w:hideMark/>
          </w:tcPr>
          <w:p w14:paraId="19308A02"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Median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B289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0.11</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70C04B9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0.60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1C1FF47C"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0.95</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10F307C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1.00</w:t>
            </w:r>
          </w:p>
        </w:tc>
      </w:tr>
      <w:tr w:rsidR="007A4CE7" w:rsidRPr="007A4CE7" w14:paraId="2824CE69" w14:textId="77777777" w:rsidTr="00357050">
        <w:trPr>
          <w:trHeight w:val="207"/>
        </w:trPr>
        <w:tc>
          <w:tcPr>
            <w:tcW w:w="2957" w:type="dxa"/>
            <w:tcBorders>
              <w:top w:val="nil"/>
              <w:left w:val="single" w:sz="4" w:space="0" w:color="auto"/>
              <w:bottom w:val="nil"/>
              <w:right w:val="nil"/>
            </w:tcBorders>
            <w:shd w:val="clear" w:color="auto" w:fill="auto"/>
            <w:noWrap/>
            <w:vAlign w:val="bottom"/>
            <w:hideMark/>
          </w:tcPr>
          <w:p w14:paraId="5F47C049"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Mean</w:t>
            </w:r>
          </w:p>
        </w:tc>
        <w:tc>
          <w:tcPr>
            <w:tcW w:w="1443" w:type="dxa"/>
            <w:tcBorders>
              <w:top w:val="nil"/>
              <w:left w:val="single" w:sz="4" w:space="0" w:color="auto"/>
              <w:bottom w:val="nil"/>
              <w:right w:val="single" w:sz="4" w:space="0" w:color="auto"/>
            </w:tcBorders>
            <w:shd w:val="clear" w:color="auto" w:fill="auto"/>
            <w:noWrap/>
            <w:vAlign w:val="bottom"/>
            <w:hideMark/>
          </w:tcPr>
          <w:p w14:paraId="5EA89406"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0.11</w:t>
            </w:r>
          </w:p>
        </w:tc>
        <w:tc>
          <w:tcPr>
            <w:tcW w:w="1375" w:type="dxa"/>
            <w:tcBorders>
              <w:top w:val="nil"/>
              <w:left w:val="nil"/>
              <w:bottom w:val="nil"/>
              <w:right w:val="single" w:sz="4" w:space="0" w:color="auto"/>
            </w:tcBorders>
            <w:shd w:val="clear" w:color="auto" w:fill="auto"/>
            <w:noWrap/>
            <w:vAlign w:val="bottom"/>
            <w:hideMark/>
          </w:tcPr>
          <w:p w14:paraId="04438C6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0.59</w:t>
            </w:r>
          </w:p>
        </w:tc>
        <w:tc>
          <w:tcPr>
            <w:tcW w:w="1513" w:type="dxa"/>
            <w:tcBorders>
              <w:top w:val="nil"/>
              <w:left w:val="nil"/>
              <w:bottom w:val="nil"/>
              <w:right w:val="single" w:sz="4" w:space="0" w:color="auto"/>
            </w:tcBorders>
            <w:shd w:val="clear" w:color="auto" w:fill="auto"/>
            <w:noWrap/>
            <w:vAlign w:val="bottom"/>
            <w:hideMark/>
          </w:tcPr>
          <w:p w14:paraId="2E6E770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0.97</w:t>
            </w:r>
          </w:p>
        </w:tc>
        <w:tc>
          <w:tcPr>
            <w:tcW w:w="1444" w:type="dxa"/>
            <w:tcBorders>
              <w:top w:val="nil"/>
              <w:left w:val="nil"/>
              <w:bottom w:val="nil"/>
              <w:right w:val="single" w:sz="4" w:space="0" w:color="auto"/>
            </w:tcBorders>
            <w:shd w:val="clear" w:color="auto" w:fill="auto"/>
            <w:noWrap/>
            <w:vAlign w:val="bottom"/>
            <w:hideMark/>
          </w:tcPr>
          <w:p w14:paraId="5ED8398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1.00</w:t>
            </w:r>
          </w:p>
        </w:tc>
      </w:tr>
      <w:tr w:rsidR="007A4CE7" w:rsidRPr="007A4CE7" w14:paraId="5699385D" w14:textId="77777777" w:rsidTr="00357050">
        <w:trPr>
          <w:trHeight w:val="207"/>
        </w:trPr>
        <w:tc>
          <w:tcPr>
            <w:tcW w:w="2957" w:type="dxa"/>
            <w:tcBorders>
              <w:top w:val="single" w:sz="4" w:space="0" w:color="auto"/>
              <w:left w:val="single" w:sz="4" w:space="0" w:color="auto"/>
              <w:bottom w:val="single" w:sz="4" w:space="0" w:color="auto"/>
              <w:right w:val="nil"/>
            </w:tcBorders>
            <w:shd w:val="clear" w:color="auto" w:fill="auto"/>
            <w:noWrap/>
            <w:vAlign w:val="bottom"/>
            <w:hideMark/>
          </w:tcPr>
          <w:p w14:paraId="270F531C"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75th Percentile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41F2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0.15</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D5C0E0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0.64</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2F933434"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1.11</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3D468CE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1.02</w:t>
            </w:r>
          </w:p>
        </w:tc>
      </w:tr>
      <w:tr w:rsidR="007A4CE7" w:rsidRPr="007A4CE7" w14:paraId="60DEAD2E" w14:textId="77777777" w:rsidTr="00357050">
        <w:trPr>
          <w:trHeight w:val="207"/>
        </w:trPr>
        <w:tc>
          <w:tcPr>
            <w:tcW w:w="2957" w:type="dxa"/>
            <w:tcBorders>
              <w:top w:val="nil"/>
              <w:left w:val="single" w:sz="4" w:space="0" w:color="auto"/>
              <w:bottom w:val="nil"/>
              <w:right w:val="nil"/>
            </w:tcBorders>
            <w:shd w:val="clear" w:color="auto" w:fill="auto"/>
            <w:noWrap/>
            <w:vAlign w:val="bottom"/>
            <w:hideMark/>
          </w:tcPr>
          <w:p w14:paraId="4F142093"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Max</w:t>
            </w:r>
          </w:p>
        </w:tc>
        <w:tc>
          <w:tcPr>
            <w:tcW w:w="1443" w:type="dxa"/>
            <w:tcBorders>
              <w:top w:val="nil"/>
              <w:left w:val="single" w:sz="4" w:space="0" w:color="auto"/>
              <w:bottom w:val="nil"/>
              <w:right w:val="single" w:sz="4" w:space="0" w:color="auto"/>
            </w:tcBorders>
            <w:shd w:val="clear" w:color="auto" w:fill="auto"/>
            <w:noWrap/>
            <w:vAlign w:val="bottom"/>
            <w:hideMark/>
          </w:tcPr>
          <w:p w14:paraId="52328A9B"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0.20</w:t>
            </w:r>
          </w:p>
        </w:tc>
        <w:tc>
          <w:tcPr>
            <w:tcW w:w="1375" w:type="dxa"/>
            <w:tcBorders>
              <w:top w:val="nil"/>
              <w:left w:val="nil"/>
              <w:bottom w:val="nil"/>
              <w:right w:val="single" w:sz="4" w:space="0" w:color="auto"/>
            </w:tcBorders>
            <w:shd w:val="clear" w:color="auto" w:fill="auto"/>
            <w:noWrap/>
            <w:vAlign w:val="bottom"/>
            <w:hideMark/>
          </w:tcPr>
          <w:p w14:paraId="77FC490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0.71</w:t>
            </w:r>
          </w:p>
        </w:tc>
        <w:tc>
          <w:tcPr>
            <w:tcW w:w="1513" w:type="dxa"/>
            <w:tcBorders>
              <w:top w:val="nil"/>
              <w:left w:val="nil"/>
              <w:bottom w:val="nil"/>
              <w:right w:val="single" w:sz="4" w:space="0" w:color="auto"/>
            </w:tcBorders>
            <w:shd w:val="clear" w:color="auto" w:fill="auto"/>
            <w:noWrap/>
            <w:vAlign w:val="bottom"/>
            <w:hideMark/>
          </w:tcPr>
          <w:p w14:paraId="248A80E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1.89</w:t>
            </w:r>
          </w:p>
        </w:tc>
        <w:tc>
          <w:tcPr>
            <w:tcW w:w="1444" w:type="dxa"/>
            <w:tcBorders>
              <w:top w:val="nil"/>
              <w:left w:val="nil"/>
              <w:bottom w:val="nil"/>
              <w:right w:val="single" w:sz="4" w:space="0" w:color="auto"/>
            </w:tcBorders>
            <w:shd w:val="clear" w:color="auto" w:fill="auto"/>
            <w:noWrap/>
            <w:vAlign w:val="bottom"/>
            <w:hideMark/>
          </w:tcPr>
          <w:p w14:paraId="707F5B4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1.08</w:t>
            </w:r>
          </w:p>
        </w:tc>
      </w:tr>
      <w:tr w:rsidR="007A4CE7" w:rsidRPr="007A4CE7" w14:paraId="5DD67CB1" w14:textId="77777777" w:rsidTr="00357050">
        <w:trPr>
          <w:trHeight w:val="207"/>
        </w:trPr>
        <w:tc>
          <w:tcPr>
            <w:tcW w:w="2957" w:type="dxa"/>
            <w:tcBorders>
              <w:top w:val="single" w:sz="4" w:space="0" w:color="auto"/>
              <w:left w:val="single" w:sz="4" w:space="0" w:color="auto"/>
              <w:bottom w:val="single" w:sz="4" w:space="0" w:color="auto"/>
              <w:right w:val="nil"/>
            </w:tcBorders>
            <w:shd w:val="clear" w:color="auto" w:fill="auto"/>
            <w:noWrap/>
            <w:vAlign w:val="bottom"/>
            <w:hideMark/>
          </w:tcPr>
          <w:p w14:paraId="59A6A2A3"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Std dev</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3AC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0.05</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B6CDB66"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0.06</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2A29B75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0.31</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1D6C466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0.04</w:t>
            </w:r>
          </w:p>
        </w:tc>
      </w:tr>
      <w:tr w:rsidR="007A4CE7" w:rsidRPr="007A4CE7" w14:paraId="267764B0" w14:textId="77777777" w:rsidTr="00357050">
        <w:trPr>
          <w:trHeight w:val="207"/>
        </w:trPr>
        <w:tc>
          <w:tcPr>
            <w:tcW w:w="2957" w:type="dxa"/>
            <w:tcBorders>
              <w:top w:val="nil"/>
              <w:left w:val="single" w:sz="4" w:space="0" w:color="auto"/>
              <w:bottom w:val="single" w:sz="4" w:space="0" w:color="auto"/>
              <w:right w:val="single" w:sz="4" w:space="0" w:color="auto"/>
            </w:tcBorders>
            <w:shd w:val="clear" w:color="auto" w:fill="auto"/>
            <w:noWrap/>
            <w:vAlign w:val="bottom"/>
            <w:hideMark/>
          </w:tcPr>
          <w:p w14:paraId="087A7BE1"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Coefficient of Variation</w:t>
            </w:r>
          </w:p>
        </w:tc>
        <w:tc>
          <w:tcPr>
            <w:tcW w:w="1443" w:type="dxa"/>
            <w:tcBorders>
              <w:top w:val="nil"/>
              <w:left w:val="nil"/>
              <w:bottom w:val="single" w:sz="4" w:space="0" w:color="auto"/>
              <w:right w:val="single" w:sz="4" w:space="0" w:color="auto"/>
            </w:tcBorders>
            <w:shd w:val="clear" w:color="auto" w:fill="auto"/>
            <w:noWrap/>
            <w:vAlign w:val="bottom"/>
            <w:hideMark/>
          </w:tcPr>
          <w:p w14:paraId="5DEF179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41.7</w:t>
            </w:r>
          </w:p>
        </w:tc>
        <w:tc>
          <w:tcPr>
            <w:tcW w:w="1375" w:type="dxa"/>
            <w:tcBorders>
              <w:top w:val="nil"/>
              <w:left w:val="nil"/>
              <w:bottom w:val="single" w:sz="4" w:space="0" w:color="auto"/>
              <w:right w:val="single" w:sz="4" w:space="0" w:color="auto"/>
            </w:tcBorders>
            <w:shd w:val="clear" w:color="auto" w:fill="auto"/>
            <w:noWrap/>
            <w:vAlign w:val="bottom"/>
            <w:hideMark/>
          </w:tcPr>
          <w:p w14:paraId="3868E62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10.3</w:t>
            </w:r>
          </w:p>
        </w:tc>
        <w:tc>
          <w:tcPr>
            <w:tcW w:w="1513" w:type="dxa"/>
            <w:tcBorders>
              <w:top w:val="nil"/>
              <w:left w:val="nil"/>
              <w:bottom w:val="single" w:sz="4" w:space="0" w:color="auto"/>
              <w:right w:val="single" w:sz="4" w:space="0" w:color="auto"/>
            </w:tcBorders>
            <w:shd w:val="clear" w:color="auto" w:fill="auto"/>
            <w:noWrap/>
            <w:vAlign w:val="bottom"/>
            <w:hideMark/>
          </w:tcPr>
          <w:p w14:paraId="2B5342E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32.0</w:t>
            </w:r>
          </w:p>
        </w:tc>
        <w:tc>
          <w:tcPr>
            <w:tcW w:w="1444" w:type="dxa"/>
            <w:tcBorders>
              <w:top w:val="nil"/>
              <w:left w:val="nil"/>
              <w:bottom w:val="single" w:sz="4" w:space="0" w:color="auto"/>
              <w:right w:val="single" w:sz="4" w:space="0" w:color="auto"/>
            </w:tcBorders>
            <w:shd w:val="clear" w:color="auto" w:fill="auto"/>
            <w:noWrap/>
            <w:vAlign w:val="bottom"/>
            <w:hideMark/>
          </w:tcPr>
          <w:p w14:paraId="3439BF94"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3.7</w:t>
            </w:r>
          </w:p>
        </w:tc>
      </w:tr>
    </w:tbl>
    <w:p w14:paraId="4D5E7832" w14:textId="77777777" w:rsidR="007A4CE7" w:rsidRPr="007A4CE7" w:rsidRDefault="007A4CE7" w:rsidP="007A4CE7">
      <w:pPr>
        <w:ind w:left="-180"/>
        <w:rPr>
          <w:b/>
        </w:rPr>
      </w:pPr>
    </w:p>
    <w:p w14:paraId="3C360236" w14:textId="1CC05CFB" w:rsidR="007A4CE7" w:rsidRPr="007A4CE7" w:rsidRDefault="007A4CE7" w:rsidP="007A4CE7">
      <w:pPr>
        <w:ind w:left="-180"/>
        <w:rPr>
          <w:b/>
        </w:rPr>
      </w:pPr>
      <w:r w:rsidRPr="007A4CE7">
        <w:rPr>
          <w:b/>
        </w:rPr>
        <w:br w:type="column"/>
      </w:r>
      <w:r w:rsidR="00A476F6">
        <w:rPr>
          <w:b/>
        </w:rPr>
        <w:lastRenderedPageBreak/>
        <w:t>Supplement</w:t>
      </w:r>
      <w:r w:rsidRPr="007A4CE7">
        <w:rPr>
          <w:b/>
        </w:rPr>
        <w:t xml:space="preserve"> 4:</w:t>
      </w:r>
      <w:r w:rsidRPr="007A4CE7">
        <w:t xml:space="preserve"> Sensitivity analysis including patient age, gender and colonoscopy indication (in addition to endoscopist) in models assessing the predicted probability of classifying an adenoma or serrated polyp</w:t>
      </w:r>
    </w:p>
    <w:p w14:paraId="7EFFA89B" w14:textId="77777777" w:rsidR="007A4CE7" w:rsidRPr="007A4CE7" w:rsidRDefault="007A4CE7" w:rsidP="007A4CE7">
      <w:pPr>
        <w:spacing w:after="0"/>
        <w:ind w:left="-180"/>
      </w:pPr>
      <w:r w:rsidRPr="007A4CE7">
        <w:t xml:space="preserve">We conducted a sensitivity analysis adjusting for patient age, sex and colonoscopy indication in the calculation of the standardized risk ratios. The correlation between a pathologist’s unadjusted and adjusted standardized risk ratios for adenoma classification was 0.9912, and for serrated polyp classification was 0.9998. </w:t>
      </w:r>
    </w:p>
    <w:p w14:paraId="30F43E17" w14:textId="77777777" w:rsidR="007A4CE7" w:rsidRPr="007A4CE7" w:rsidRDefault="007A4CE7" w:rsidP="007A4CE7">
      <w:pPr>
        <w:spacing w:after="0"/>
        <w:ind w:left="-180"/>
        <w:rPr>
          <w:i/>
        </w:rPr>
      </w:pPr>
    </w:p>
    <w:p w14:paraId="24FED4E5" w14:textId="77777777" w:rsidR="007A4CE7" w:rsidRPr="007A4CE7" w:rsidRDefault="007A4CE7" w:rsidP="007A4CE7">
      <w:pPr>
        <w:spacing w:after="0"/>
        <w:ind w:left="-180"/>
        <w:rPr>
          <w:i/>
        </w:rPr>
      </w:pPr>
      <w:r w:rsidRPr="007A4CE7">
        <w:rPr>
          <w:i/>
        </w:rPr>
        <w:t>Figure A4.1: Pathologist variation in ratio of standardized adenoma classification ratio and standardized serrated polyp classification ratio, including patient characteristics</w:t>
      </w:r>
    </w:p>
    <w:p w14:paraId="5F3A152E" w14:textId="77777777" w:rsidR="007A4CE7" w:rsidRPr="007A4CE7" w:rsidRDefault="007A4CE7" w:rsidP="007A4CE7"/>
    <w:p w14:paraId="524B6432" w14:textId="77777777" w:rsidR="007A4CE7" w:rsidRPr="007A4CE7" w:rsidRDefault="007A4CE7" w:rsidP="007A4CE7"/>
    <w:p w14:paraId="314FADE1" w14:textId="77777777" w:rsidR="007A4CE7" w:rsidRPr="007A4CE7" w:rsidRDefault="007A4CE7" w:rsidP="007A4CE7"/>
    <w:p w14:paraId="58CE50CD" w14:textId="77777777" w:rsidR="007A4CE7" w:rsidRPr="007A4CE7" w:rsidRDefault="007A4CE7" w:rsidP="007A4CE7">
      <w:r w:rsidRPr="007A4CE7">
        <w:t>FIGURE SUBMITTED SEPARATELY</w:t>
      </w:r>
    </w:p>
    <w:p w14:paraId="7DFEADEC" w14:textId="77777777" w:rsidR="007A4CE7" w:rsidRPr="007A4CE7" w:rsidRDefault="007A4CE7" w:rsidP="007A4CE7"/>
    <w:p w14:paraId="2E6334B1" w14:textId="77777777" w:rsidR="007A4CE7" w:rsidRPr="007A4CE7" w:rsidRDefault="007A4CE7" w:rsidP="007A4CE7"/>
    <w:p w14:paraId="2EE92AD1" w14:textId="77777777" w:rsidR="007A4CE7" w:rsidRPr="007A4CE7" w:rsidRDefault="007A4CE7" w:rsidP="007A4CE7"/>
    <w:p w14:paraId="421C5676" w14:textId="77777777" w:rsidR="007A4CE7" w:rsidRPr="007A4CE7" w:rsidRDefault="007A4CE7" w:rsidP="007A4CE7">
      <w:r w:rsidRPr="007A4CE7">
        <w:rPr>
          <w:i/>
        </w:rPr>
        <w:br/>
        <w:t>Figure A4.2: Pathologist variation in ratio of standardized adenoma classification ratio and standardized serrated polyp classification ratio, without adjusting for patient characteristics (primary analysis)</w:t>
      </w:r>
    </w:p>
    <w:p w14:paraId="542DD218" w14:textId="77777777" w:rsidR="007A4CE7" w:rsidRPr="007A4CE7" w:rsidRDefault="007A4CE7" w:rsidP="007A4CE7"/>
    <w:p w14:paraId="7CE1CBC4" w14:textId="77777777" w:rsidR="007A4CE7" w:rsidRPr="007A4CE7" w:rsidRDefault="007A4CE7" w:rsidP="007A4CE7"/>
    <w:p w14:paraId="7D53115D" w14:textId="77777777" w:rsidR="007A4CE7" w:rsidRPr="007A4CE7" w:rsidRDefault="007A4CE7" w:rsidP="007A4CE7">
      <w:r w:rsidRPr="007A4CE7">
        <w:t>FIGURE SUBMITTED SEPARATELY</w:t>
      </w:r>
    </w:p>
    <w:p w14:paraId="76CE2407" w14:textId="77777777" w:rsidR="007A4CE7" w:rsidRPr="007A4CE7" w:rsidRDefault="007A4CE7" w:rsidP="007A4CE7"/>
    <w:p w14:paraId="5D491B80" w14:textId="77777777" w:rsidR="007A4CE7" w:rsidRPr="007A4CE7" w:rsidRDefault="007A4CE7" w:rsidP="007A4CE7"/>
    <w:p w14:paraId="58B0DA2F" w14:textId="77777777" w:rsidR="007A4CE7" w:rsidRPr="007A4CE7" w:rsidRDefault="007A4CE7" w:rsidP="007A4CE7"/>
    <w:p w14:paraId="13AF315E" w14:textId="77777777" w:rsidR="007A4CE7" w:rsidRPr="007A4CE7" w:rsidRDefault="007A4CE7" w:rsidP="007A4CE7"/>
    <w:p w14:paraId="43059307" w14:textId="77777777" w:rsidR="007A4CE7" w:rsidRPr="007A4CE7" w:rsidRDefault="007A4CE7" w:rsidP="007A4CE7">
      <w:pPr>
        <w:spacing w:after="0" w:line="240" w:lineRule="auto"/>
        <w:rPr>
          <w:sz w:val="18"/>
          <w:szCs w:val="18"/>
        </w:rPr>
      </w:pPr>
      <w:r w:rsidRPr="007A4CE7">
        <w:rPr>
          <w:sz w:val="18"/>
          <w:szCs w:val="18"/>
        </w:rPr>
        <w:t>Notes:</w:t>
      </w:r>
    </w:p>
    <w:p w14:paraId="47E65001" w14:textId="77777777" w:rsidR="007A4CE7" w:rsidRPr="007A4CE7" w:rsidRDefault="007A4CE7" w:rsidP="007A4CE7">
      <w:pPr>
        <w:spacing w:after="0" w:line="240" w:lineRule="auto"/>
        <w:rPr>
          <w:sz w:val="18"/>
          <w:szCs w:val="18"/>
        </w:rPr>
      </w:pPr>
      <w:r w:rsidRPr="007A4CE7">
        <w:rPr>
          <w:sz w:val="18"/>
          <w:szCs w:val="18"/>
        </w:rPr>
        <w:t xml:space="preserve">(1) n=48 pathologists with 50,453 pathology reports. </w:t>
      </w:r>
    </w:p>
    <w:p w14:paraId="699815BF" w14:textId="77777777" w:rsidR="007A4CE7" w:rsidRPr="007A4CE7" w:rsidRDefault="007A4CE7" w:rsidP="007A4CE7">
      <w:pPr>
        <w:spacing w:after="0" w:line="240" w:lineRule="auto"/>
        <w:rPr>
          <w:sz w:val="18"/>
          <w:szCs w:val="18"/>
        </w:rPr>
      </w:pPr>
      <w:r w:rsidRPr="007A4CE7">
        <w:rPr>
          <w:sz w:val="18"/>
          <w:szCs w:val="18"/>
        </w:rPr>
        <w:t xml:space="preserve">(2) Path reports from physicians who performed fewer than 100 colonoscopies over the study period were excluded. </w:t>
      </w:r>
    </w:p>
    <w:p w14:paraId="0A8722FF" w14:textId="77777777" w:rsidR="007A4CE7" w:rsidRPr="007A4CE7" w:rsidRDefault="007A4CE7" w:rsidP="007A4CE7">
      <w:pPr>
        <w:spacing w:after="0" w:line="240" w:lineRule="auto"/>
        <w:rPr>
          <w:sz w:val="18"/>
          <w:szCs w:val="18"/>
        </w:rPr>
      </w:pPr>
      <w:r w:rsidRPr="007A4CE7">
        <w:rPr>
          <w:sz w:val="18"/>
          <w:szCs w:val="18"/>
        </w:rPr>
        <w:t>(3) Pathologists who analyze fewer than 200 pathology reports over the study period were excluded.</w:t>
      </w:r>
    </w:p>
    <w:p w14:paraId="7D56459C" w14:textId="77777777" w:rsidR="007A4CE7" w:rsidRPr="007A4CE7" w:rsidRDefault="007A4CE7" w:rsidP="007A4CE7">
      <w:pPr>
        <w:tabs>
          <w:tab w:val="left" w:pos="0"/>
        </w:tabs>
        <w:rPr>
          <w:i/>
        </w:rPr>
      </w:pPr>
    </w:p>
    <w:p w14:paraId="71B95B9E" w14:textId="77777777" w:rsidR="007A4CE7" w:rsidRPr="007A4CE7" w:rsidRDefault="007A4CE7" w:rsidP="007A4CE7">
      <w:pPr>
        <w:rPr>
          <w:i/>
        </w:rPr>
      </w:pPr>
      <w:r w:rsidRPr="007A4CE7">
        <w:rPr>
          <w:i/>
        </w:rPr>
        <w:br w:type="page"/>
      </w:r>
    </w:p>
    <w:p w14:paraId="6EFCB69B" w14:textId="77777777" w:rsidR="007A4CE7" w:rsidRPr="007A4CE7" w:rsidRDefault="007A4CE7" w:rsidP="007A4CE7">
      <w:pPr>
        <w:rPr>
          <w:b/>
        </w:rPr>
        <w:sectPr w:rsidR="007A4CE7" w:rsidRPr="007A4CE7" w:rsidSect="00357050">
          <w:pgSz w:w="12240" w:h="15840"/>
          <w:pgMar w:top="1440" w:right="1440" w:bottom="1440" w:left="1440" w:header="720" w:footer="720" w:gutter="0"/>
          <w:cols w:space="720"/>
          <w:titlePg/>
          <w:docGrid w:linePitch="360"/>
        </w:sectPr>
      </w:pPr>
    </w:p>
    <w:p w14:paraId="6FF63C09" w14:textId="32802BB1" w:rsidR="007A4CE7" w:rsidRPr="007A4CE7" w:rsidRDefault="00A476F6" w:rsidP="007A4CE7">
      <w:pPr>
        <w:rPr>
          <w:b/>
        </w:rPr>
      </w:pPr>
      <w:r>
        <w:rPr>
          <w:b/>
        </w:rPr>
        <w:lastRenderedPageBreak/>
        <w:t>Supplement</w:t>
      </w:r>
      <w:r w:rsidR="007A4CE7" w:rsidRPr="007A4CE7">
        <w:rPr>
          <w:b/>
        </w:rPr>
        <w:t xml:space="preserve"> 5</w:t>
      </w:r>
    </w:p>
    <w:p w14:paraId="546A1C7B" w14:textId="77777777" w:rsidR="007A4CE7" w:rsidRPr="007A4CE7" w:rsidRDefault="007A4CE7" w:rsidP="007A4CE7">
      <w:pPr>
        <w:rPr>
          <w:noProof/>
        </w:rPr>
      </w:pPr>
      <w:r w:rsidRPr="007A4CE7">
        <w:rPr>
          <w:noProof/>
        </w:rPr>
        <w:t>We will use endoscopists’ maximum-bound adenoma detection rate (“high ADR”) as an example to illustrate how these counterfactual adenoma and serrated polyp detection rates were calculated. This calculation represents the adenoma detection rate that the endoscopist would have had if he or she had sent all of his or her colonoscopy specimins to the pathologist in the sample with the maximum adenoma  (AD) classification rate. Each pathologist’s adenoma classification rate is defined as the number of colonoscopies in which an adenoma was detected divided by the number of colonoscopies with a polyp removed and an associated pathology report analyzed by that pathologist. We will describe these calculations using the equation below and the table, which has data for two of the endoscopists in our sample.</w:t>
      </w:r>
    </w:p>
    <w:p w14:paraId="05D3743A" w14:textId="77777777" w:rsidR="007A4CE7" w:rsidRPr="007A4CE7" w:rsidRDefault="007A4CE7" w:rsidP="007A4CE7">
      <w:pPr>
        <w:rPr>
          <w:noProof/>
        </w:rPr>
      </w:pPr>
      <w:r w:rsidRPr="007A4CE7">
        <w:rPr>
          <w:noProof/>
        </w:rPr>
        <w:t>For each endoscopist we observe the total number of colonoscopies they performed (column A), the number of colonoscopies in which a polyp was removed and an associated pathology report was identified (B), the total number of adenomas detected (C), and their observed adenoma detection rate (D, calculated as total number of colonoscopies with an adenoma divided by the total number of colonoscopies).</w:t>
      </w:r>
    </w:p>
    <w:p w14:paraId="1C1E8ADF" w14:textId="77777777" w:rsidR="007A4CE7" w:rsidRPr="007A4CE7" w:rsidRDefault="007A4CE7" w:rsidP="007A4CE7">
      <w:pPr>
        <w:rPr>
          <w:noProof/>
        </w:rPr>
      </w:pPr>
      <w:r w:rsidRPr="007A4CE7">
        <w:rPr>
          <w:noProof/>
        </w:rPr>
        <w:t xml:space="preserve">We also observe which pathologists the endoscopists sent their specimens to. Both Provider 1 and Provider 2 from the table below sent their specimens to three pathologists (Patho1 Patho2 and Patho3). Colums E-J report the classification rate for each of the three pathologists as well as the volume of that endoscopist’s specimens that each pathologist analyzed. We then take the volume-weighted average of the endoscopist’s pathologists’ adenoma classification rates (K). We also calculate the endoscopist’s adenoma classification rate (L, calculated as the number of colonoscopies with an adenoma detected/number of colonoscopies with a polyp removed and an associated pathology report). </w:t>
      </w:r>
    </w:p>
    <w:p w14:paraId="5AC25085" w14:textId="77777777" w:rsidR="007A4CE7" w:rsidRPr="007A4CE7" w:rsidRDefault="007A4CE7" w:rsidP="007A4CE7">
      <w:pPr>
        <w:rPr>
          <w:noProof/>
        </w:rPr>
      </w:pPr>
      <w:r w:rsidRPr="007A4CE7">
        <w:rPr>
          <w:noProof/>
        </w:rPr>
        <w:t>Finally, we take the ratio of the maximum pathologist adenoma classification rate (71%) to the volume-weighted average of that endoscopist’s classification rate (column K) and multiply it by the number of adenomas detected by the endoscopist. We then take that product and divide it by the total number of colonoscopies performed by the endoscopist to get the endoscopists’ counterfactual “high ADR.”</w:t>
      </w:r>
    </w:p>
    <w:p w14:paraId="6B97F167" w14:textId="77777777" w:rsidR="007A4CE7" w:rsidRDefault="00B32399" w:rsidP="007A4CE7">
      <w:pPr>
        <w:rPr>
          <w:noProof/>
        </w:rPr>
      </w:pPr>
      <w:r>
        <w:rPr>
          <w:noProof/>
        </w:rPr>
        <w:t>We performed this calculation using the highest-classif</w:t>
      </w:r>
      <w:r w:rsidR="00781D36">
        <w:rPr>
          <w:noProof/>
        </w:rPr>
        <w:t>y</w:t>
      </w:r>
      <w:r>
        <w:rPr>
          <w:noProof/>
        </w:rPr>
        <w:t xml:space="preserve">ing pathologist, as described above, as well as the lowest-classifying </w:t>
      </w:r>
      <w:r w:rsidR="00781D36">
        <w:rPr>
          <w:noProof/>
        </w:rPr>
        <w:t>pathologist</w:t>
      </w:r>
      <w:r>
        <w:rPr>
          <w:noProof/>
        </w:rPr>
        <w:t>, the pathologist at the 25</w:t>
      </w:r>
      <w:r w:rsidRPr="005D3D71">
        <w:rPr>
          <w:noProof/>
          <w:vertAlign w:val="superscript"/>
        </w:rPr>
        <w:t>th</w:t>
      </w:r>
      <w:r>
        <w:rPr>
          <w:noProof/>
        </w:rPr>
        <w:t xml:space="preserve"> percentile of classification, and the pathologist at the 75</w:t>
      </w:r>
      <w:r w:rsidRPr="005D3D71">
        <w:rPr>
          <w:noProof/>
          <w:vertAlign w:val="superscript"/>
        </w:rPr>
        <w:t>th</w:t>
      </w:r>
      <w:r>
        <w:rPr>
          <w:noProof/>
        </w:rPr>
        <w:t xml:space="preserve"> percentile of classification.  In the manuscript, we report a series of numbers based on these calculations, including the range of their counterfactual “low ADR” and “high ADR” (and SPDR) across </w:t>
      </w:r>
      <w:r w:rsidR="00781D36">
        <w:rPr>
          <w:noProof/>
        </w:rPr>
        <w:t>endoscopists</w:t>
      </w:r>
      <w:r>
        <w:rPr>
          <w:noProof/>
        </w:rPr>
        <w:t>. We only present these using the high</w:t>
      </w:r>
      <w:r w:rsidR="00781D36">
        <w:rPr>
          <w:noProof/>
        </w:rPr>
        <w:t>e</w:t>
      </w:r>
      <w:r>
        <w:rPr>
          <w:noProof/>
        </w:rPr>
        <w:t>st- and lowest-classifying pathologists (e.g. we do not present this range or include a corresponding figure when discussing the range of the impact on endoscopist outcomes from sending their specimens to a pathologist at the 25</w:t>
      </w:r>
      <w:r w:rsidRPr="005D3D71">
        <w:rPr>
          <w:noProof/>
          <w:vertAlign w:val="superscript"/>
        </w:rPr>
        <w:t>th</w:t>
      </w:r>
      <w:r>
        <w:rPr>
          <w:noProof/>
        </w:rPr>
        <w:t xml:space="preserve"> or 75</w:t>
      </w:r>
      <w:r w:rsidRPr="005D3D71">
        <w:rPr>
          <w:noProof/>
          <w:vertAlign w:val="superscript"/>
        </w:rPr>
        <w:t>th</w:t>
      </w:r>
      <w:r>
        <w:rPr>
          <w:noProof/>
        </w:rPr>
        <w:t xml:space="preserve"> percentile of classification). </w:t>
      </w:r>
      <w:r w:rsidR="00D52123">
        <w:rPr>
          <w:noProof/>
        </w:rPr>
        <w:t>This is because the calculations using the 25</w:t>
      </w:r>
      <w:r w:rsidR="00D52123" w:rsidRPr="005D3D71">
        <w:rPr>
          <w:noProof/>
          <w:vertAlign w:val="superscript"/>
        </w:rPr>
        <w:t>th</w:t>
      </w:r>
      <w:r w:rsidR="00D52123">
        <w:rPr>
          <w:noProof/>
        </w:rPr>
        <w:t xml:space="preserve"> and 75</w:t>
      </w:r>
      <w:r w:rsidR="00D52123" w:rsidRPr="005D3D71">
        <w:rPr>
          <w:noProof/>
          <w:vertAlign w:val="superscript"/>
        </w:rPr>
        <w:t>th</w:t>
      </w:r>
      <w:r w:rsidR="00D52123">
        <w:rPr>
          <w:noProof/>
        </w:rPr>
        <w:t xml:space="preserve"> percentile produce some non-intuitive results.</w:t>
      </w:r>
      <w:r w:rsidR="005D3D71">
        <w:rPr>
          <w:noProof/>
        </w:rPr>
        <w:t xml:space="preserve"> For example, by definition, some endoscopists in our sample do actually send their </w:t>
      </w:r>
      <w:r w:rsidR="00781D36">
        <w:rPr>
          <w:noProof/>
        </w:rPr>
        <w:t>specimens</w:t>
      </w:r>
      <w:r w:rsidR="005D3D71">
        <w:rPr>
          <w:noProof/>
        </w:rPr>
        <w:t xml:space="preserve"> to be analyzed by pathologists above the 75</w:t>
      </w:r>
      <w:r w:rsidR="005D3D71" w:rsidRPr="005D3D71">
        <w:rPr>
          <w:noProof/>
          <w:vertAlign w:val="superscript"/>
        </w:rPr>
        <w:t>th</w:t>
      </w:r>
      <w:r w:rsidR="005D3D71">
        <w:rPr>
          <w:noProof/>
        </w:rPr>
        <w:t xml:space="preserve"> percentile of adenoma classification. For those </w:t>
      </w:r>
      <w:r w:rsidR="00781D36">
        <w:rPr>
          <w:noProof/>
        </w:rPr>
        <w:t>endoscopists</w:t>
      </w:r>
      <w:r w:rsidR="005D3D71">
        <w:rPr>
          <w:noProof/>
        </w:rPr>
        <w:t>, the counterfactual ADR based on pathologists at the 75</w:t>
      </w:r>
      <w:r w:rsidR="005D3D71" w:rsidRPr="005D3D71">
        <w:rPr>
          <w:noProof/>
          <w:vertAlign w:val="superscript"/>
        </w:rPr>
        <w:t>th</w:t>
      </w:r>
      <w:r w:rsidR="005D3D71">
        <w:rPr>
          <w:noProof/>
        </w:rPr>
        <w:t xml:space="preserve"> percentile is </w:t>
      </w:r>
      <w:r w:rsidR="005D3D71">
        <w:rPr>
          <w:i/>
          <w:noProof/>
        </w:rPr>
        <w:t xml:space="preserve">lower </w:t>
      </w:r>
      <w:r w:rsidR="005D3D71">
        <w:rPr>
          <w:noProof/>
        </w:rPr>
        <w:t xml:space="preserve">than their observed ADR.  In addition, </w:t>
      </w:r>
      <w:r w:rsidR="00781D36">
        <w:rPr>
          <w:noProof/>
        </w:rPr>
        <w:t xml:space="preserve">endoscopists </w:t>
      </w:r>
      <w:r w:rsidR="005D3D71">
        <w:rPr>
          <w:noProof/>
        </w:rPr>
        <w:t xml:space="preserve">who actually their </w:t>
      </w:r>
      <w:r w:rsidR="00781D36">
        <w:rPr>
          <w:noProof/>
        </w:rPr>
        <w:t xml:space="preserve">specimens </w:t>
      </w:r>
      <w:r w:rsidR="005D3D71">
        <w:rPr>
          <w:noProof/>
        </w:rPr>
        <w:t>to pathologists below the 25</w:t>
      </w:r>
      <w:r w:rsidR="005D3D71" w:rsidRPr="005D3D71">
        <w:rPr>
          <w:noProof/>
          <w:vertAlign w:val="superscript"/>
        </w:rPr>
        <w:t>th</w:t>
      </w:r>
      <w:r w:rsidR="005D3D71">
        <w:rPr>
          <w:noProof/>
        </w:rPr>
        <w:t xml:space="preserve"> percentile of adenoma classification </w:t>
      </w:r>
      <w:r w:rsidR="005D3D71">
        <w:rPr>
          <w:noProof/>
        </w:rPr>
        <w:lastRenderedPageBreak/>
        <w:t>could have their counterfactual ADR based on the pathologist at the 25</w:t>
      </w:r>
      <w:r w:rsidR="005D3D71" w:rsidRPr="005D3D71">
        <w:rPr>
          <w:noProof/>
          <w:vertAlign w:val="superscript"/>
        </w:rPr>
        <w:t>th</w:t>
      </w:r>
      <w:r w:rsidR="005D3D71">
        <w:rPr>
          <w:noProof/>
        </w:rPr>
        <w:t xml:space="preserve"> percentile deflated to an ADR below 0%. Given the non-intuitive interpretation of these ranges, we chose only to present the average increase and decrease in ADR and SPDR when </w:t>
      </w:r>
      <w:r w:rsidR="00781D36">
        <w:rPr>
          <w:noProof/>
        </w:rPr>
        <w:t>considering</w:t>
      </w:r>
      <w:r w:rsidR="005D3D71">
        <w:rPr>
          <w:noProof/>
        </w:rPr>
        <w:t xml:space="preserve"> the impact of sending specimens to the pathologists at the 25</w:t>
      </w:r>
      <w:r w:rsidR="005D3D71" w:rsidRPr="005D3D71">
        <w:rPr>
          <w:noProof/>
          <w:vertAlign w:val="superscript"/>
        </w:rPr>
        <w:t>th</w:t>
      </w:r>
      <w:r w:rsidR="005D3D71">
        <w:rPr>
          <w:noProof/>
        </w:rPr>
        <w:t xml:space="preserve"> and 75</w:t>
      </w:r>
      <w:r w:rsidR="005D3D71" w:rsidRPr="005D3D71">
        <w:rPr>
          <w:noProof/>
          <w:vertAlign w:val="superscript"/>
        </w:rPr>
        <w:t>th</w:t>
      </w:r>
      <w:r w:rsidR="005D3D71">
        <w:rPr>
          <w:noProof/>
        </w:rPr>
        <w:t xml:space="preserve"> percentiles of classification. Finally, it’s important to emphasize that this analytical exercise is meant to demonstrate the </w:t>
      </w:r>
      <w:r w:rsidR="00781D36">
        <w:rPr>
          <w:noProof/>
        </w:rPr>
        <w:t>substantial</w:t>
      </w:r>
      <w:r w:rsidR="005D3D71">
        <w:rPr>
          <w:noProof/>
        </w:rPr>
        <w:t xml:space="preserve"> impact that pathologist classification rates can have on endoscopist quality outcomes, and does not imply any particular “optimal” pathologist classification rate f</w:t>
      </w:r>
      <w:r w:rsidR="005F39CA">
        <w:rPr>
          <w:noProof/>
        </w:rPr>
        <w:t>or adenomas or serrated polyps.</w:t>
      </w:r>
    </w:p>
    <w:p w14:paraId="3F14FC9F" w14:textId="2BAD7D81" w:rsidR="005F39CA" w:rsidRPr="005F39CA" w:rsidRDefault="005F39CA" w:rsidP="005F39CA">
      <w:pPr>
        <w:ind w:left="-90"/>
        <w:rPr>
          <w:b/>
          <w:noProof/>
        </w:rPr>
      </w:pPr>
      <w:r>
        <w:rPr>
          <w:i/>
          <w:noProof/>
        </w:rPr>
        <w:br w:type="column"/>
      </w:r>
      <w:r w:rsidR="00A476F6">
        <w:rPr>
          <w:b/>
          <w:noProof/>
        </w:rPr>
        <w:lastRenderedPageBreak/>
        <w:t>Supplement</w:t>
      </w:r>
      <w:r>
        <w:rPr>
          <w:b/>
          <w:noProof/>
        </w:rPr>
        <w:t xml:space="preserve"> 5, cont'd</w:t>
      </w:r>
    </w:p>
    <w:p w14:paraId="232C3183" w14:textId="77777777" w:rsidR="005F39CA" w:rsidRPr="005F39CA" w:rsidRDefault="005F39CA" w:rsidP="005F39CA">
      <w:pPr>
        <w:ind w:left="-90"/>
        <w:rPr>
          <w:i/>
          <w:noProof/>
        </w:rPr>
      </w:pPr>
      <w:r w:rsidRPr="005F39CA">
        <w:rPr>
          <w:i/>
          <w:noProof/>
        </w:rPr>
        <w:t>Equation A5.1</w:t>
      </w:r>
      <w:r>
        <w:rPr>
          <w:i/>
          <w:noProof/>
        </w:rPr>
        <w:t>: Formula for “High ADR”</w:t>
      </w:r>
    </w:p>
    <w:p w14:paraId="71742895" w14:textId="77777777" w:rsidR="007A4CE7" w:rsidRPr="007A4CE7" w:rsidRDefault="007A4CE7" w:rsidP="007A4CE7">
      <w:pPr>
        <w:rPr>
          <w:rFonts w:eastAsiaTheme="minorEastAsia"/>
          <w:sz w:val="20"/>
        </w:rPr>
      </w:pPr>
      <m:oMathPara>
        <m:oMath>
          <m:r>
            <w:rPr>
              <w:rFonts w:ascii="Cambria Math" w:hAnsi="Cambria Math"/>
              <w:sz w:val="20"/>
            </w:rPr>
            <m:t>High ADR=</m:t>
          </m:r>
          <m:f>
            <m:fPr>
              <m:ctrlPr>
                <w:rPr>
                  <w:rFonts w:ascii="Cambria Math" w:hAnsi="Cambria Math"/>
                  <w:i/>
                  <w:sz w:val="20"/>
                </w:rPr>
              </m:ctrlPr>
            </m:fPr>
            <m:num>
              <m:f>
                <m:fPr>
                  <m:ctrlPr>
                    <w:rPr>
                      <w:rFonts w:ascii="Cambria Math" w:hAnsi="Cambria Math"/>
                      <w:i/>
                      <w:sz w:val="20"/>
                    </w:rPr>
                  </m:ctrlPr>
                </m:fPr>
                <m:num>
                  <m:r>
                    <w:rPr>
                      <w:rFonts w:ascii="Cambria Math" w:hAnsi="Cambria Math"/>
                      <w:sz w:val="20"/>
                    </w:rPr>
                    <m:t>maximum pathologist AD classification rate</m:t>
                  </m:r>
                </m:num>
                <m:den>
                  <m:r>
                    <w:rPr>
                      <w:rFonts w:ascii="Cambria Math" w:hAnsi="Cambria Math"/>
                      <w:sz w:val="20"/>
                    </w:rPr>
                    <m:t>volume weighted average of endoscopis</m:t>
                  </m:r>
                  <m:sSup>
                    <m:sSupPr>
                      <m:ctrlPr>
                        <w:rPr>
                          <w:rFonts w:ascii="Cambria Math" w:hAnsi="Cambria Math"/>
                          <w:i/>
                          <w:sz w:val="20"/>
                        </w:rPr>
                      </m:ctrlPr>
                    </m:sSupPr>
                    <m:e>
                      <m:r>
                        <w:rPr>
                          <w:rFonts w:ascii="Cambria Math" w:hAnsi="Cambria Math"/>
                          <w:sz w:val="20"/>
                        </w:rPr>
                        <m:t>t</m:t>
                      </m:r>
                    </m:e>
                    <m:sup>
                      <m:r>
                        <w:rPr>
                          <w:rFonts w:ascii="Cambria Math" w:hAnsi="Cambria Math"/>
                          <w:sz w:val="20"/>
                        </w:rPr>
                        <m:t>'</m:t>
                      </m:r>
                    </m:sup>
                  </m:sSup>
                  <m:r>
                    <w:rPr>
                      <w:rFonts w:ascii="Cambria Math" w:hAnsi="Cambria Math"/>
                      <w:sz w:val="20"/>
                    </w:rPr>
                    <m:t>spathologist</m:t>
                  </m:r>
                  <m:sSup>
                    <m:sSupPr>
                      <m:ctrlPr>
                        <w:rPr>
                          <w:rFonts w:ascii="Cambria Math" w:hAnsi="Cambria Math"/>
                          <w:i/>
                          <w:sz w:val="20"/>
                        </w:rPr>
                      </m:ctrlPr>
                    </m:sSupPr>
                    <m:e>
                      <m:r>
                        <w:rPr>
                          <w:rFonts w:ascii="Cambria Math" w:hAnsi="Cambria Math"/>
                          <w:sz w:val="20"/>
                        </w:rPr>
                        <m:t>s</m:t>
                      </m:r>
                    </m:e>
                    <m:sup>
                      <m:r>
                        <w:rPr>
                          <w:rFonts w:ascii="Cambria Math" w:hAnsi="Cambria Math"/>
                          <w:sz w:val="20"/>
                        </w:rPr>
                        <m:t>'</m:t>
                      </m:r>
                    </m:sup>
                  </m:sSup>
                  <m:r>
                    <w:rPr>
                      <w:rFonts w:ascii="Cambria Math" w:hAnsi="Cambria Math"/>
                      <w:sz w:val="20"/>
                    </w:rPr>
                    <m:t>AD classification rates</m:t>
                  </m:r>
                </m:den>
              </m:f>
              <m:r>
                <w:rPr>
                  <w:rFonts w:ascii="Cambria Math" w:hAnsi="Cambria Math"/>
                  <w:sz w:val="20"/>
                </w:rPr>
                <m:t>*number of adenomas detected by endoscopist</m:t>
              </m:r>
            </m:num>
            <m:den>
              <m:r>
                <w:rPr>
                  <w:rFonts w:ascii="Cambria Math" w:hAnsi="Cambria Math"/>
                  <w:sz w:val="20"/>
                </w:rPr>
                <m:t>total number of colonoscopies performed by the endoscopist</m:t>
              </m:r>
            </m:den>
          </m:f>
        </m:oMath>
      </m:oMathPara>
    </w:p>
    <w:p w14:paraId="1045CC99" w14:textId="77777777" w:rsidR="007A4CE7" w:rsidRPr="005F39CA" w:rsidRDefault="005F39CA" w:rsidP="005F39CA">
      <w:pPr>
        <w:spacing w:after="0"/>
        <w:ind w:left="-90"/>
        <w:rPr>
          <w:i/>
          <w:noProof/>
        </w:rPr>
      </w:pPr>
      <w:r w:rsidRPr="005F39CA">
        <w:rPr>
          <w:i/>
          <w:noProof/>
        </w:rPr>
        <w:t>Table A5.1</w:t>
      </w:r>
      <w:r>
        <w:rPr>
          <w:i/>
          <w:noProof/>
        </w:rPr>
        <w:t xml:space="preserve">: Example calculations </w:t>
      </w:r>
    </w:p>
    <w:tbl>
      <w:tblPr>
        <w:tblStyle w:val="TableGrid"/>
        <w:tblW w:w="12978" w:type="dxa"/>
        <w:tblLayout w:type="fixed"/>
        <w:tblLook w:val="04A0" w:firstRow="1" w:lastRow="0" w:firstColumn="1" w:lastColumn="0" w:noHBand="0" w:noVBand="1"/>
      </w:tblPr>
      <w:tblGrid>
        <w:gridCol w:w="1098"/>
        <w:gridCol w:w="538"/>
        <w:gridCol w:w="985"/>
        <w:gridCol w:w="628"/>
        <w:gridCol w:w="1021"/>
        <w:gridCol w:w="878"/>
        <w:gridCol w:w="990"/>
        <w:gridCol w:w="876"/>
        <w:gridCol w:w="994"/>
        <w:gridCol w:w="876"/>
        <w:gridCol w:w="994"/>
        <w:gridCol w:w="1030"/>
        <w:gridCol w:w="900"/>
        <w:gridCol w:w="586"/>
        <w:gridCol w:w="584"/>
      </w:tblGrid>
      <w:tr w:rsidR="007A4CE7" w:rsidRPr="007A4CE7" w14:paraId="355B50B7" w14:textId="77777777" w:rsidTr="00357050">
        <w:trPr>
          <w:trHeight w:val="255"/>
        </w:trPr>
        <w:tc>
          <w:tcPr>
            <w:tcW w:w="1098" w:type="dxa"/>
            <w:noWrap/>
            <w:hideMark/>
          </w:tcPr>
          <w:p w14:paraId="60C6D5C8" w14:textId="77777777" w:rsidR="007A4CE7" w:rsidRPr="007A4CE7" w:rsidRDefault="007A4CE7" w:rsidP="007A4CE7">
            <w:pPr>
              <w:rPr>
                <w:rFonts w:eastAsiaTheme="minorEastAsia"/>
                <w:sz w:val="20"/>
              </w:rPr>
            </w:pPr>
          </w:p>
        </w:tc>
        <w:tc>
          <w:tcPr>
            <w:tcW w:w="3172" w:type="dxa"/>
            <w:gridSpan w:val="4"/>
            <w:noWrap/>
            <w:hideMark/>
          </w:tcPr>
          <w:p w14:paraId="47044F72" w14:textId="77777777" w:rsidR="007A4CE7" w:rsidRPr="007A4CE7" w:rsidRDefault="007A4CE7" w:rsidP="007A4CE7">
            <w:pPr>
              <w:jc w:val="center"/>
              <w:rPr>
                <w:rFonts w:eastAsiaTheme="minorEastAsia"/>
                <w:sz w:val="20"/>
              </w:rPr>
            </w:pPr>
            <w:r w:rsidRPr="007A4CE7">
              <w:rPr>
                <w:rFonts w:eastAsiaTheme="minorEastAsia"/>
                <w:sz w:val="20"/>
              </w:rPr>
              <w:t>Endoscopist Observed Characteristics</w:t>
            </w:r>
          </w:p>
        </w:tc>
        <w:tc>
          <w:tcPr>
            <w:tcW w:w="6638" w:type="dxa"/>
            <w:gridSpan w:val="7"/>
            <w:noWrap/>
            <w:hideMark/>
          </w:tcPr>
          <w:p w14:paraId="0B689093" w14:textId="77777777" w:rsidR="007A4CE7" w:rsidRPr="007A4CE7" w:rsidRDefault="007A4CE7" w:rsidP="007A4CE7">
            <w:pPr>
              <w:jc w:val="center"/>
              <w:rPr>
                <w:rFonts w:eastAsiaTheme="minorEastAsia"/>
                <w:sz w:val="20"/>
              </w:rPr>
            </w:pPr>
            <w:r w:rsidRPr="007A4CE7">
              <w:rPr>
                <w:rFonts w:eastAsiaTheme="minorEastAsia"/>
                <w:sz w:val="20"/>
              </w:rPr>
              <w:t>Endoscopist’s Pathologists’ Characteristics</w:t>
            </w:r>
          </w:p>
        </w:tc>
        <w:tc>
          <w:tcPr>
            <w:tcW w:w="2070" w:type="dxa"/>
            <w:gridSpan w:val="3"/>
            <w:noWrap/>
            <w:hideMark/>
          </w:tcPr>
          <w:p w14:paraId="457F07CE" w14:textId="77777777" w:rsidR="007A4CE7" w:rsidRPr="007A4CE7" w:rsidRDefault="007A4CE7" w:rsidP="007A4CE7">
            <w:pPr>
              <w:jc w:val="center"/>
              <w:rPr>
                <w:rFonts w:eastAsiaTheme="minorEastAsia"/>
                <w:sz w:val="20"/>
              </w:rPr>
            </w:pPr>
            <w:r w:rsidRPr="007A4CE7">
              <w:rPr>
                <w:rFonts w:eastAsiaTheme="minorEastAsia"/>
                <w:sz w:val="20"/>
              </w:rPr>
              <w:t>Endoscopist Calculated Outcomes</w:t>
            </w:r>
          </w:p>
        </w:tc>
      </w:tr>
      <w:tr w:rsidR="007A4CE7" w:rsidRPr="007A4CE7" w14:paraId="435E63E6" w14:textId="77777777" w:rsidTr="00357050">
        <w:trPr>
          <w:trHeight w:val="278"/>
        </w:trPr>
        <w:tc>
          <w:tcPr>
            <w:tcW w:w="1098" w:type="dxa"/>
          </w:tcPr>
          <w:p w14:paraId="0B343F05" w14:textId="77777777" w:rsidR="007A4CE7" w:rsidRPr="007A4CE7" w:rsidRDefault="007A4CE7" w:rsidP="007A4CE7">
            <w:pPr>
              <w:rPr>
                <w:rFonts w:eastAsiaTheme="minorEastAsia"/>
                <w:sz w:val="20"/>
              </w:rPr>
            </w:pPr>
            <w:r w:rsidRPr="007A4CE7">
              <w:rPr>
                <w:rFonts w:eastAsiaTheme="minorEastAsia"/>
                <w:sz w:val="20"/>
              </w:rPr>
              <w:t>Label</w:t>
            </w:r>
          </w:p>
        </w:tc>
        <w:tc>
          <w:tcPr>
            <w:tcW w:w="538" w:type="dxa"/>
          </w:tcPr>
          <w:p w14:paraId="6E6261AE" w14:textId="77777777" w:rsidR="007A4CE7" w:rsidRPr="007A4CE7" w:rsidRDefault="007A4CE7" w:rsidP="007A4CE7">
            <w:pPr>
              <w:jc w:val="center"/>
              <w:rPr>
                <w:rFonts w:eastAsiaTheme="minorEastAsia"/>
                <w:sz w:val="20"/>
              </w:rPr>
            </w:pPr>
            <w:r w:rsidRPr="007A4CE7">
              <w:rPr>
                <w:rFonts w:eastAsiaTheme="minorEastAsia"/>
                <w:sz w:val="20"/>
              </w:rPr>
              <w:t>A</w:t>
            </w:r>
          </w:p>
        </w:tc>
        <w:tc>
          <w:tcPr>
            <w:tcW w:w="985" w:type="dxa"/>
          </w:tcPr>
          <w:p w14:paraId="4F4A3943" w14:textId="77777777" w:rsidR="007A4CE7" w:rsidRPr="007A4CE7" w:rsidRDefault="007A4CE7" w:rsidP="007A4CE7">
            <w:pPr>
              <w:jc w:val="center"/>
              <w:rPr>
                <w:rFonts w:eastAsiaTheme="minorEastAsia"/>
                <w:sz w:val="20"/>
              </w:rPr>
            </w:pPr>
            <w:r w:rsidRPr="007A4CE7">
              <w:rPr>
                <w:rFonts w:eastAsiaTheme="minorEastAsia"/>
                <w:sz w:val="20"/>
              </w:rPr>
              <w:t>B</w:t>
            </w:r>
          </w:p>
        </w:tc>
        <w:tc>
          <w:tcPr>
            <w:tcW w:w="628" w:type="dxa"/>
          </w:tcPr>
          <w:p w14:paraId="6D838C4A" w14:textId="77777777" w:rsidR="007A4CE7" w:rsidRPr="007A4CE7" w:rsidRDefault="007A4CE7" w:rsidP="007A4CE7">
            <w:pPr>
              <w:jc w:val="center"/>
              <w:rPr>
                <w:rFonts w:eastAsiaTheme="minorEastAsia"/>
                <w:sz w:val="20"/>
              </w:rPr>
            </w:pPr>
            <w:r w:rsidRPr="007A4CE7">
              <w:rPr>
                <w:rFonts w:eastAsiaTheme="minorEastAsia"/>
                <w:sz w:val="20"/>
              </w:rPr>
              <w:t>C</w:t>
            </w:r>
          </w:p>
        </w:tc>
        <w:tc>
          <w:tcPr>
            <w:tcW w:w="1021" w:type="dxa"/>
          </w:tcPr>
          <w:p w14:paraId="6AA9E1A0" w14:textId="77777777" w:rsidR="007A4CE7" w:rsidRPr="007A4CE7" w:rsidRDefault="007A4CE7" w:rsidP="007A4CE7">
            <w:pPr>
              <w:jc w:val="center"/>
              <w:rPr>
                <w:rFonts w:eastAsiaTheme="minorEastAsia"/>
                <w:sz w:val="20"/>
              </w:rPr>
            </w:pPr>
            <w:r w:rsidRPr="007A4CE7">
              <w:rPr>
                <w:rFonts w:eastAsiaTheme="minorEastAsia"/>
                <w:sz w:val="20"/>
              </w:rPr>
              <w:t>D</w:t>
            </w:r>
          </w:p>
        </w:tc>
        <w:tc>
          <w:tcPr>
            <w:tcW w:w="878" w:type="dxa"/>
          </w:tcPr>
          <w:p w14:paraId="1241A2F3" w14:textId="77777777" w:rsidR="007A4CE7" w:rsidRPr="007A4CE7" w:rsidRDefault="007A4CE7" w:rsidP="007A4CE7">
            <w:pPr>
              <w:jc w:val="center"/>
              <w:rPr>
                <w:rFonts w:eastAsiaTheme="minorEastAsia"/>
                <w:sz w:val="20"/>
              </w:rPr>
            </w:pPr>
            <w:r w:rsidRPr="007A4CE7">
              <w:rPr>
                <w:rFonts w:eastAsiaTheme="minorEastAsia"/>
                <w:sz w:val="20"/>
              </w:rPr>
              <w:t>E</w:t>
            </w:r>
          </w:p>
        </w:tc>
        <w:tc>
          <w:tcPr>
            <w:tcW w:w="990" w:type="dxa"/>
          </w:tcPr>
          <w:p w14:paraId="7B15065C" w14:textId="77777777" w:rsidR="007A4CE7" w:rsidRPr="007A4CE7" w:rsidRDefault="007A4CE7" w:rsidP="007A4CE7">
            <w:pPr>
              <w:jc w:val="center"/>
              <w:rPr>
                <w:rFonts w:eastAsiaTheme="minorEastAsia"/>
                <w:sz w:val="20"/>
              </w:rPr>
            </w:pPr>
            <w:r w:rsidRPr="007A4CE7">
              <w:rPr>
                <w:rFonts w:eastAsiaTheme="minorEastAsia"/>
                <w:sz w:val="20"/>
              </w:rPr>
              <w:t>F</w:t>
            </w:r>
          </w:p>
        </w:tc>
        <w:tc>
          <w:tcPr>
            <w:tcW w:w="876" w:type="dxa"/>
          </w:tcPr>
          <w:p w14:paraId="70A1FF90" w14:textId="77777777" w:rsidR="007A4CE7" w:rsidRPr="007A4CE7" w:rsidRDefault="007A4CE7" w:rsidP="007A4CE7">
            <w:pPr>
              <w:jc w:val="center"/>
              <w:rPr>
                <w:rFonts w:eastAsiaTheme="minorEastAsia"/>
                <w:sz w:val="20"/>
              </w:rPr>
            </w:pPr>
            <w:r w:rsidRPr="007A4CE7">
              <w:rPr>
                <w:rFonts w:eastAsiaTheme="minorEastAsia"/>
                <w:sz w:val="20"/>
              </w:rPr>
              <w:t>G</w:t>
            </w:r>
          </w:p>
        </w:tc>
        <w:tc>
          <w:tcPr>
            <w:tcW w:w="994" w:type="dxa"/>
          </w:tcPr>
          <w:p w14:paraId="11D6392B" w14:textId="77777777" w:rsidR="007A4CE7" w:rsidRPr="007A4CE7" w:rsidRDefault="007A4CE7" w:rsidP="007A4CE7">
            <w:pPr>
              <w:jc w:val="center"/>
              <w:rPr>
                <w:rFonts w:eastAsiaTheme="minorEastAsia"/>
                <w:sz w:val="20"/>
              </w:rPr>
            </w:pPr>
            <w:r w:rsidRPr="007A4CE7">
              <w:rPr>
                <w:rFonts w:eastAsiaTheme="minorEastAsia"/>
                <w:sz w:val="20"/>
              </w:rPr>
              <w:t>H</w:t>
            </w:r>
          </w:p>
        </w:tc>
        <w:tc>
          <w:tcPr>
            <w:tcW w:w="876" w:type="dxa"/>
          </w:tcPr>
          <w:p w14:paraId="625BD1DA" w14:textId="77777777" w:rsidR="007A4CE7" w:rsidRPr="007A4CE7" w:rsidRDefault="007A4CE7" w:rsidP="007A4CE7">
            <w:pPr>
              <w:jc w:val="center"/>
              <w:rPr>
                <w:rFonts w:eastAsiaTheme="minorEastAsia"/>
                <w:sz w:val="20"/>
              </w:rPr>
            </w:pPr>
            <w:r w:rsidRPr="007A4CE7">
              <w:rPr>
                <w:rFonts w:eastAsiaTheme="minorEastAsia"/>
                <w:sz w:val="20"/>
              </w:rPr>
              <w:t>I</w:t>
            </w:r>
          </w:p>
        </w:tc>
        <w:tc>
          <w:tcPr>
            <w:tcW w:w="994" w:type="dxa"/>
          </w:tcPr>
          <w:p w14:paraId="778E90FA" w14:textId="77777777" w:rsidR="007A4CE7" w:rsidRPr="007A4CE7" w:rsidRDefault="007A4CE7" w:rsidP="007A4CE7">
            <w:pPr>
              <w:jc w:val="center"/>
              <w:rPr>
                <w:rFonts w:eastAsiaTheme="minorEastAsia"/>
                <w:sz w:val="20"/>
              </w:rPr>
            </w:pPr>
            <w:r w:rsidRPr="007A4CE7">
              <w:rPr>
                <w:rFonts w:eastAsiaTheme="minorEastAsia"/>
                <w:sz w:val="20"/>
              </w:rPr>
              <w:t>J</w:t>
            </w:r>
          </w:p>
        </w:tc>
        <w:tc>
          <w:tcPr>
            <w:tcW w:w="1030" w:type="dxa"/>
          </w:tcPr>
          <w:p w14:paraId="335CBF88" w14:textId="77777777" w:rsidR="007A4CE7" w:rsidRPr="007A4CE7" w:rsidRDefault="007A4CE7" w:rsidP="007A4CE7">
            <w:pPr>
              <w:jc w:val="center"/>
              <w:rPr>
                <w:rFonts w:eastAsiaTheme="minorEastAsia"/>
                <w:sz w:val="20"/>
              </w:rPr>
            </w:pPr>
            <w:r w:rsidRPr="007A4CE7">
              <w:rPr>
                <w:rFonts w:eastAsiaTheme="minorEastAsia"/>
                <w:sz w:val="20"/>
              </w:rPr>
              <w:t>K</w:t>
            </w:r>
          </w:p>
        </w:tc>
        <w:tc>
          <w:tcPr>
            <w:tcW w:w="900" w:type="dxa"/>
          </w:tcPr>
          <w:p w14:paraId="082C8FDD" w14:textId="77777777" w:rsidR="007A4CE7" w:rsidRPr="007A4CE7" w:rsidRDefault="007A4CE7" w:rsidP="007A4CE7">
            <w:pPr>
              <w:jc w:val="center"/>
              <w:rPr>
                <w:rFonts w:eastAsiaTheme="minorEastAsia"/>
                <w:sz w:val="20"/>
              </w:rPr>
            </w:pPr>
            <w:r w:rsidRPr="007A4CE7">
              <w:rPr>
                <w:rFonts w:eastAsiaTheme="minorEastAsia"/>
                <w:sz w:val="20"/>
              </w:rPr>
              <w:t>L</w:t>
            </w:r>
          </w:p>
        </w:tc>
        <w:tc>
          <w:tcPr>
            <w:tcW w:w="586" w:type="dxa"/>
          </w:tcPr>
          <w:p w14:paraId="3097C164" w14:textId="77777777" w:rsidR="007A4CE7" w:rsidRPr="007A4CE7" w:rsidRDefault="007A4CE7" w:rsidP="007A4CE7">
            <w:pPr>
              <w:jc w:val="center"/>
              <w:rPr>
                <w:rFonts w:eastAsiaTheme="minorEastAsia"/>
                <w:sz w:val="20"/>
              </w:rPr>
            </w:pPr>
            <w:r w:rsidRPr="007A4CE7">
              <w:rPr>
                <w:rFonts w:eastAsiaTheme="minorEastAsia"/>
                <w:sz w:val="20"/>
              </w:rPr>
              <w:t>M</w:t>
            </w:r>
          </w:p>
        </w:tc>
        <w:tc>
          <w:tcPr>
            <w:tcW w:w="584" w:type="dxa"/>
          </w:tcPr>
          <w:p w14:paraId="48E2E455" w14:textId="77777777" w:rsidR="007A4CE7" w:rsidRPr="007A4CE7" w:rsidRDefault="007A4CE7" w:rsidP="007A4CE7">
            <w:pPr>
              <w:jc w:val="center"/>
              <w:rPr>
                <w:rFonts w:eastAsiaTheme="minorEastAsia"/>
                <w:sz w:val="20"/>
              </w:rPr>
            </w:pPr>
            <w:r w:rsidRPr="007A4CE7">
              <w:rPr>
                <w:rFonts w:eastAsiaTheme="minorEastAsia"/>
                <w:sz w:val="20"/>
              </w:rPr>
              <w:t>N</w:t>
            </w:r>
          </w:p>
        </w:tc>
      </w:tr>
      <w:tr w:rsidR="007A4CE7" w:rsidRPr="007A4CE7" w14:paraId="2634830A" w14:textId="77777777" w:rsidTr="00357050">
        <w:trPr>
          <w:trHeight w:val="1448"/>
        </w:trPr>
        <w:tc>
          <w:tcPr>
            <w:tcW w:w="1098" w:type="dxa"/>
            <w:hideMark/>
          </w:tcPr>
          <w:p w14:paraId="172B5249" w14:textId="77777777" w:rsidR="007A4CE7" w:rsidRPr="007A4CE7" w:rsidRDefault="007A4CE7" w:rsidP="007A4CE7">
            <w:pPr>
              <w:rPr>
                <w:rFonts w:eastAsiaTheme="minorEastAsia"/>
                <w:sz w:val="20"/>
              </w:rPr>
            </w:pPr>
          </w:p>
        </w:tc>
        <w:tc>
          <w:tcPr>
            <w:tcW w:w="538" w:type="dxa"/>
            <w:hideMark/>
          </w:tcPr>
          <w:p w14:paraId="74008B4A" w14:textId="77777777" w:rsidR="007A4CE7" w:rsidRPr="007A4CE7" w:rsidRDefault="007A4CE7" w:rsidP="007A4CE7">
            <w:pPr>
              <w:jc w:val="center"/>
              <w:rPr>
                <w:rFonts w:eastAsiaTheme="minorEastAsia"/>
                <w:sz w:val="20"/>
              </w:rPr>
            </w:pPr>
            <w:r w:rsidRPr="007A4CE7">
              <w:rPr>
                <w:rFonts w:eastAsiaTheme="minorEastAsia"/>
                <w:sz w:val="20"/>
              </w:rPr>
              <w:t>To</w:t>
            </w:r>
            <w:r w:rsidR="00AE0EC7">
              <w:rPr>
                <w:rFonts w:eastAsiaTheme="minorEastAsia"/>
                <w:sz w:val="20"/>
              </w:rPr>
              <w:t>-</w:t>
            </w:r>
            <w:r w:rsidRPr="007A4CE7">
              <w:rPr>
                <w:rFonts w:eastAsiaTheme="minorEastAsia"/>
                <w:sz w:val="20"/>
              </w:rPr>
              <w:t>tal # Col.</w:t>
            </w:r>
          </w:p>
        </w:tc>
        <w:tc>
          <w:tcPr>
            <w:tcW w:w="985" w:type="dxa"/>
            <w:hideMark/>
          </w:tcPr>
          <w:p w14:paraId="53EC8EBE" w14:textId="77777777" w:rsidR="007A4CE7" w:rsidRPr="007A4CE7" w:rsidRDefault="007A4CE7" w:rsidP="007A4CE7">
            <w:pPr>
              <w:jc w:val="center"/>
              <w:rPr>
                <w:rFonts w:eastAsiaTheme="minorEastAsia"/>
                <w:sz w:val="20"/>
              </w:rPr>
            </w:pPr>
            <w:r w:rsidRPr="007A4CE7">
              <w:rPr>
                <w:rFonts w:eastAsiaTheme="minorEastAsia"/>
                <w:sz w:val="20"/>
              </w:rPr>
              <w:t>Total # Polyps Removed w/ Path Report</w:t>
            </w:r>
          </w:p>
        </w:tc>
        <w:tc>
          <w:tcPr>
            <w:tcW w:w="628" w:type="dxa"/>
            <w:hideMark/>
          </w:tcPr>
          <w:p w14:paraId="352CE86A" w14:textId="77777777" w:rsidR="007A4CE7" w:rsidRPr="007A4CE7" w:rsidRDefault="007A4CE7" w:rsidP="007A4CE7">
            <w:pPr>
              <w:jc w:val="center"/>
              <w:rPr>
                <w:rFonts w:eastAsiaTheme="minorEastAsia"/>
                <w:sz w:val="20"/>
              </w:rPr>
            </w:pPr>
            <w:r w:rsidRPr="007A4CE7">
              <w:rPr>
                <w:rFonts w:eastAsiaTheme="minorEastAsia"/>
                <w:sz w:val="20"/>
              </w:rPr>
              <w:t>Total # Ad.</w:t>
            </w:r>
          </w:p>
        </w:tc>
        <w:tc>
          <w:tcPr>
            <w:tcW w:w="1021" w:type="dxa"/>
            <w:hideMark/>
          </w:tcPr>
          <w:p w14:paraId="16DCF8BC" w14:textId="77777777" w:rsidR="007A4CE7" w:rsidRPr="007A4CE7" w:rsidRDefault="007A4CE7" w:rsidP="007A4CE7">
            <w:pPr>
              <w:jc w:val="center"/>
              <w:rPr>
                <w:rFonts w:eastAsiaTheme="minorEastAsia"/>
                <w:sz w:val="20"/>
              </w:rPr>
            </w:pPr>
            <w:r w:rsidRPr="007A4CE7">
              <w:rPr>
                <w:rFonts w:eastAsiaTheme="minorEastAsia"/>
                <w:sz w:val="20"/>
              </w:rPr>
              <w:t>Obse-rved ADR</w:t>
            </w:r>
          </w:p>
        </w:tc>
        <w:tc>
          <w:tcPr>
            <w:tcW w:w="878" w:type="dxa"/>
            <w:hideMark/>
          </w:tcPr>
          <w:p w14:paraId="363F100D" w14:textId="77777777" w:rsidR="007A4CE7" w:rsidRPr="007A4CE7" w:rsidRDefault="007A4CE7" w:rsidP="007A4CE7">
            <w:pPr>
              <w:jc w:val="center"/>
              <w:rPr>
                <w:rFonts w:eastAsiaTheme="minorEastAsia"/>
                <w:sz w:val="20"/>
              </w:rPr>
            </w:pPr>
            <w:r w:rsidRPr="007A4CE7">
              <w:rPr>
                <w:rFonts w:eastAsiaTheme="minorEastAsia"/>
                <w:sz w:val="20"/>
              </w:rPr>
              <w:t>Patho1 Class. Rate</w:t>
            </w:r>
          </w:p>
        </w:tc>
        <w:tc>
          <w:tcPr>
            <w:tcW w:w="990" w:type="dxa"/>
            <w:hideMark/>
          </w:tcPr>
          <w:p w14:paraId="2C578EB4" w14:textId="77777777" w:rsidR="007A4CE7" w:rsidRPr="007A4CE7" w:rsidRDefault="007A4CE7" w:rsidP="007A4CE7">
            <w:pPr>
              <w:jc w:val="center"/>
              <w:rPr>
                <w:rFonts w:eastAsiaTheme="minorEastAsia"/>
                <w:sz w:val="20"/>
              </w:rPr>
            </w:pPr>
            <w:r w:rsidRPr="007A4CE7">
              <w:rPr>
                <w:rFonts w:eastAsiaTheme="minorEastAsia"/>
                <w:sz w:val="20"/>
              </w:rPr>
              <w:t>Patho1 Vol Analyzed</w:t>
            </w:r>
          </w:p>
        </w:tc>
        <w:tc>
          <w:tcPr>
            <w:tcW w:w="876" w:type="dxa"/>
            <w:hideMark/>
          </w:tcPr>
          <w:p w14:paraId="360A49E9" w14:textId="77777777" w:rsidR="007A4CE7" w:rsidRPr="007A4CE7" w:rsidRDefault="007A4CE7" w:rsidP="007A4CE7">
            <w:pPr>
              <w:jc w:val="center"/>
              <w:rPr>
                <w:rFonts w:eastAsiaTheme="minorEastAsia"/>
                <w:sz w:val="20"/>
              </w:rPr>
            </w:pPr>
            <w:r w:rsidRPr="007A4CE7">
              <w:rPr>
                <w:rFonts w:eastAsiaTheme="minorEastAsia"/>
                <w:sz w:val="20"/>
              </w:rPr>
              <w:t>Patho2 Class. Rate</w:t>
            </w:r>
          </w:p>
        </w:tc>
        <w:tc>
          <w:tcPr>
            <w:tcW w:w="994" w:type="dxa"/>
            <w:hideMark/>
          </w:tcPr>
          <w:p w14:paraId="43C2442A" w14:textId="77777777" w:rsidR="007A4CE7" w:rsidRPr="007A4CE7" w:rsidRDefault="007A4CE7" w:rsidP="007A4CE7">
            <w:pPr>
              <w:jc w:val="center"/>
              <w:rPr>
                <w:rFonts w:eastAsiaTheme="minorEastAsia"/>
                <w:sz w:val="20"/>
              </w:rPr>
            </w:pPr>
            <w:r w:rsidRPr="007A4CE7">
              <w:rPr>
                <w:rFonts w:eastAsiaTheme="minorEastAsia"/>
                <w:sz w:val="20"/>
              </w:rPr>
              <w:t>Patho2 Vol Analyzed</w:t>
            </w:r>
          </w:p>
        </w:tc>
        <w:tc>
          <w:tcPr>
            <w:tcW w:w="876" w:type="dxa"/>
            <w:hideMark/>
          </w:tcPr>
          <w:p w14:paraId="0EBDD4E7" w14:textId="77777777" w:rsidR="007A4CE7" w:rsidRPr="007A4CE7" w:rsidRDefault="007A4CE7" w:rsidP="007A4CE7">
            <w:pPr>
              <w:jc w:val="center"/>
              <w:rPr>
                <w:rFonts w:eastAsiaTheme="minorEastAsia"/>
                <w:sz w:val="20"/>
              </w:rPr>
            </w:pPr>
            <w:r w:rsidRPr="007A4CE7">
              <w:rPr>
                <w:rFonts w:eastAsiaTheme="minorEastAsia"/>
                <w:sz w:val="20"/>
              </w:rPr>
              <w:t>Patho3 Class. Rate</w:t>
            </w:r>
          </w:p>
        </w:tc>
        <w:tc>
          <w:tcPr>
            <w:tcW w:w="994" w:type="dxa"/>
            <w:hideMark/>
          </w:tcPr>
          <w:p w14:paraId="239D6D00" w14:textId="77777777" w:rsidR="007A4CE7" w:rsidRPr="007A4CE7" w:rsidRDefault="007A4CE7" w:rsidP="007A4CE7">
            <w:pPr>
              <w:jc w:val="center"/>
              <w:rPr>
                <w:rFonts w:eastAsiaTheme="minorEastAsia"/>
                <w:sz w:val="20"/>
              </w:rPr>
            </w:pPr>
            <w:r w:rsidRPr="007A4CE7">
              <w:rPr>
                <w:rFonts w:eastAsiaTheme="minorEastAsia"/>
                <w:sz w:val="20"/>
              </w:rPr>
              <w:t>Patho3 Vol Analyzed</w:t>
            </w:r>
          </w:p>
        </w:tc>
        <w:tc>
          <w:tcPr>
            <w:tcW w:w="1030" w:type="dxa"/>
            <w:hideMark/>
          </w:tcPr>
          <w:p w14:paraId="696B4CA0" w14:textId="77777777" w:rsidR="007A4CE7" w:rsidRPr="007A4CE7" w:rsidRDefault="007A4CE7" w:rsidP="007A4CE7">
            <w:pPr>
              <w:jc w:val="center"/>
              <w:rPr>
                <w:rFonts w:eastAsiaTheme="minorEastAsia"/>
                <w:sz w:val="20"/>
              </w:rPr>
            </w:pPr>
            <w:r w:rsidRPr="007A4CE7">
              <w:rPr>
                <w:rFonts w:eastAsiaTheme="minorEastAsia"/>
                <w:sz w:val="20"/>
              </w:rPr>
              <w:t>Volume-Weighted Avg of Patho Class. Rate</w:t>
            </w:r>
          </w:p>
        </w:tc>
        <w:tc>
          <w:tcPr>
            <w:tcW w:w="900" w:type="dxa"/>
            <w:hideMark/>
          </w:tcPr>
          <w:p w14:paraId="546775BC" w14:textId="77777777" w:rsidR="007A4CE7" w:rsidRPr="007A4CE7" w:rsidRDefault="007A4CE7" w:rsidP="007A4CE7">
            <w:pPr>
              <w:jc w:val="center"/>
              <w:rPr>
                <w:rFonts w:eastAsiaTheme="minorEastAsia"/>
                <w:sz w:val="20"/>
              </w:rPr>
            </w:pPr>
            <w:r w:rsidRPr="007A4CE7">
              <w:rPr>
                <w:rFonts w:eastAsiaTheme="minorEastAsia"/>
                <w:sz w:val="20"/>
              </w:rPr>
              <w:t>Endosc-opist Ad. Class. Rate</w:t>
            </w:r>
          </w:p>
        </w:tc>
        <w:tc>
          <w:tcPr>
            <w:tcW w:w="586" w:type="dxa"/>
            <w:hideMark/>
          </w:tcPr>
          <w:p w14:paraId="201C7E72" w14:textId="77777777" w:rsidR="007A4CE7" w:rsidRPr="007A4CE7" w:rsidRDefault="007A4CE7" w:rsidP="007A4CE7">
            <w:pPr>
              <w:jc w:val="center"/>
              <w:rPr>
                <w:rFonts w:eastAsiaTheme="minorEastAsia"/>
                <w:sz w:val="20"/>
              </w:rPr>
            </w:pPr>
            <w:r w:rsidRPr="007A4CE7">
              <w:rPr>
                <w:rFonts w:eastAsiaTheme="minorEastAsia"/>
                <w:sz w:val="20"/>
              </w:rPr>
              <w:t>High ADR</w:t>
            </w:r>
          </w:p>
        </w:tc>
        <w:tc>
          <w:tcPr>
            <w:tcW w:w="584" w:type="dxa"/>
            <w:hideMark/>
          </w:tcPr>
          <w:p w14:paraId="002BAA65" w14:textId="77777777" w:rsidR="007A4CE7" w:rsidRPr="007A4CE7" w:rsidRDefault="007A4CE7" w:rsidP="007A4CE7">
            <w:pPr>
              <w:jc w:val="center"/>
              <w:rPr>
                <w:rFonts w:eastAsiaTheme="minorEastAsia"/>
                <w:sz w:val="20"/>
              </w:rPr>
            </w:pPr>
            <w:r w:rsidRPr="007A4CE7">
              <w:rPr>
                <w:rFonts w:eastAsiaTheme="minorEastAsia"/>
                <w:sz w:val="20"/>
              </w:rPr>
              <w:t>Low ADR</w:t>
            </w:r>
          </w:p>
        </w:tc>
      </w:tr>
      <w:tr w:rsidR="007A4CE7" w:rsidRPr="007A4CE7" w14:paraId="3CD2B199" w14:textId="77777777" w:rsidTr="00357050">
        <w:trPr>
          <w:trHeight w:val="255"/>
        </w:trPr>
        <w:tc>
          <w:tcPr>
            <w:tcW w:w="1098" w:type="dxa"/>
            <w:noWrap/>
            <w:hideMark/>
          </w:tcPr>
          <w:p w14:paraId="4793DFC4" w14:textId="77777777" w:rsidR="007A4CE7" w:rsidRPr="007A4CE7" w:rsidRDefault="007A4CE7" w:rsidP="007A4CE7">
            <w:pPr>
              <w:rPr>
                <w:rFonts w:eastAsiaTheme="minorEastAsia"/>
                <w:sz w:val="20"/>
              </w:rPr>
            </w:pPr>
            <w:r w:rsidRPr="007A4CE7">
              <w:rPr>
                <w:rFonts w:eastAsiaTheme="minorEastAsia"/>
                <w:sz w:val="20"/>
              </w:rPr>
              <w:t>Provider 1</w:t>
            </w:r>
          </w:p>
        </w:tc>
        <w:tc>
          <w:tcPr>
            <w:tcW w:w="538" w:type="dxa"/>
            <w:noWrap/>
            <w:hideMark/>
          </w:tcPr>
          <w:p w14:paraId="0EFC2EDC" w14:textId="77777777" w:rsidR="007A4CE7" w:rsidRPr="007A4CE7" w:rsidRDefault="007A4CE7" w:rsidP="007A4CE7">
            <w:pPr>
              <w:jc w:val="center"/>
              <w:rPr>
                <w:rFonts w:eastAsiaTheme="minorEastAsia"/>
                <w:sz w:val="20"/>
              </w:rPr>
            </w:pPr>
            <w:r w:rsidRPr="007A4CE7">
              <w:rPr>
                <w:rFonts w:eastAsiaTheme="minorEastAsia"/>
                <w:sz w:val="20"/>
              </w:rPr>
              <w:t>693</w:t>
            </w:r>
          </w:p>
        </w:tc>
        <w:tc>
          <w:tcPr>
            <w:tcW w:w="985" w:type="dxa"/>
            <w:noWrap/>
            <w:hideMark/>
          </w:tcPr>
          <w:p w14:paraId="7B9E5A6D" w14:textId="77777777" w:rsidR="007A4CE7" w:rsidRPr="007A4CE7" w:rsidRDefault="007A4CE7" w:rsidP="007A4CE7">
            <w:pPr>
              <w:jc w:val="center"/>
              <w:rPr>
                <w:rFonts w:eastAsiaTheme="minorEastAsia"/>
                <w:sz w:val="20"/>
              </w:rPr>
            </w:pPr>
            <w:r w:rsidRPr="007A4CE7">
              <w:rPr>
                <w:rFonts w:eastAsiaTheme="minorEastAsia"/>
                <w:sz w:val="20"/>
              </w:rPr>
              <w:t>472</w:t>
            </w:r>
          </w:p>
        </w:tc>
        <w:tc>
          <w:tcPr>
            <w:tcW w:w="628" w:type="dxa"/>
            <w:noWrap/>
            <w:hideMark/>
          </w:tcPr>
          <w:p w14:paraId="050003C2" w14:textId="77777777" w:rsidR="007A4CE7" w:rsidRPr="007A4CE7" w:rsidRDefault="007A4CE7" w:rsidP="007A4CE7">
            <w:pPr>
              <w:jc w:val="center"/>
              <w:rPr>
                <w:rFonts w:eastAsiaTheme="minorEastAsia"/>
                <w:sz w:val="20"/>
              </w:rPr>
            </w:pPr>
            <w:r w:rsidRPr="007A4CE7">
              <w:rPr>
                <w:rFonts w:eastAsiaTheme="minorEastAsia"/>
                <w:sz w:val="20"/>
              </w:rPr>
              <w:t>310</w:t>
            </w:r>
          </w:p>
        </w:tc>
        <w:tc>
          <w:tcPr>
            <w:tcW w:w="1021" w:type="dxa"/>
            <w:noWrap/>
            <w:hideMark/>
          </w:tcPr>
          <w:p w14:paraId="6C9CDC33" w14:textId="77777777" w:rsidR="007A4CE7" w:rsidRPr="007A4CE7" w:rsidRDefault="007A4CE7" w:rsidP="007A4CE7">
            <w:pPr>
              <w:jc w:val="center"/>
              <w:rPr>
                <w:rFonts w:eastAsiaTheme="minorEastAsia"/>
                <w:sz w:val="20"/>
              </w:rPr>
            </w:pPr>
            <w:r w:rsidRPr="007A4CE7">
              <w:rPr>
                <w:rFonts w:eastAsiaTheme="minorEastAsia"/>
                <w:sz w:val="20"/>
              </w:rPr>
              <w:t>0.45</w:t>
            </w:r>
          </w:p>
        </w:tc>
        <w:tc>
          <w:tcPr>
            <w:tcW w:w="878" w:type="dxa"/>
            <w:noWrap/>
            <w:hideMark/>
          </w:tcPr>
          <w:p w14:paraId="58B88F9B" w14:textId="77777777" w:rsidR="007A4CE7" w:rsidRPr="007A4CE7" w:rsidRDefault="007A4CE7" w:rsidP="007A4CE7">
            <w:pPr>
              <w:jc w:val="center"/>
              <w:rPr>
                <w:rFonts w:eastAsiaTheme="minorEastAsia"/>
                <w:sz w:val="20"/>
              </w:rPr>
            </w:pPr>
            <w:r w:rsidRPr="007A4CE7">
              <w:rPr>
                <w:rFonts w:eastAsiaTheme="minorEastAsia"/>
                <w:sz w:val="20"/>
              </w:rPr>
              <w:t>0.62</w:t>
            </w:r>
          </w:p>
        </w:tc>
        <w:tc>
          <w:tcPr>
            <w:tcW w:w="990" w:type="dxa"/>
            <w:noWrap/>
            <w:hideMark/>
          </w:tcPr>
          <w:p w14:paraId="3B6A098C" w14:textId="77777777" w:rsidR="007A4CE7" w:rsidRPr="007A4CE7" w:rsidRDefault="007A4CE7" w:rsidP="007A4CE7">
            <w:pPr>
              <w:jc w:val="center"/>
              <w:rPr>
                <w:rFonts w:eastAsiaTheme="minorEastAsia"/>
                <w:sz w:val="20"/>
              </w:rPr>
            </w:pPr>
            <w:r w:rsidRPr="007A4CE7">
              <w:rPr>
                <w:rFonts w:eastAsiaTheme="minorEastAsia"/>
                <w:sz w:val="20"/>
              </w:rPr>
              <w:t>46</w:t>
            </w:r>
          </w:p>
        </w:tc>
        <w:tc>
          <w:tcPr>
            <w:tcW w:w="876" w:type="dxa"/>
            <w:noWrap/>
            <w:hideMark/>
          </w:tcPr>
          <w:p w14:paraId="6DFD0A56" w14:textId="77777777" w:rsidR="007A4CE7" w:rsidRPr="007A4CE7" w:rsidRDefault="007A4CE7" w:rsidP="007A4CE7">
            <w:pPr>
              <w:jc w:val="center"/>
              <w:rPr>
                <w:rFonts w:eastAsiaTheme="minorEastAsia"/>
                <w:sz w:val="20"/>
              </w:rPr>
            </w:pPr>
            <w:r w:rsidRPr="007A4CE7">
              <w:rPr>
                <w:rFonts w:eastAsiaTheme="minorEastAsia"/>
                <w:sz w:val="20"/>
              </w:rPr>
              <w:t>0.66</w:t>
            </w:r>
          </w:p>
        </w:tc>
        <w:tc>
          <w:tcPr>
            <w:tcW w:w="994" w:type="dxa"/>
            <w:noWrap/>
            <w:hideMark/>
          </w:tcPr>
          <w:p w14:paraId="1F827437" w14:textId="77777777" w:rsidR="007A4CE7" w:rsidRPr="007A4CE7" w:rsidRDefault="007A4CE7" w:rsidP="007A4CE7">
            <w:pPr>
              <w:jc w:val="center"/>
              <w:rPr>
                <w:rFonts w:eastAsiaTheme="minorEastAsia"/>
                <w:sz w:val="20"/>
              </w:rPr>
            </w:pPr>
            <w:r w:rsidRPr="007A4CE7">
              <w:rPr>
                <w:rFonts w:eastAsiaTheme="minorEastAsia"/>
                <w:sz w:val="20"/>
              </w:rPr>
              <w:t>99</w:t>
            </w:r>
          </w:p>
        </w:tc>
        <w:tc>
          <w:tcPr>
            <w:tcW w:w="876" w:type="dxa"/>
            <w:noWrap/>
            <w:hideMark/>
          </w:tcPr>
          <w:p w14:paraId="6AB115E7" w14:textId="77777777" w:rsidR="007A4CE7" w:rsidRPr="007A4CE7" w:rsidRDefault="007A4CE7" w:rsidP="007A4CE7">
            <w:pPr>
              <w:jc w:val="center"/>
              <w:rPr>
                <w:rFonts w:eastAsiaTheme="minorEastAsia"/>
                <w:sz w:val="20"/>
              </w:rPr>
            </w:pPr>
            <w:r w:rsidRPr="007A4CE7">
              <w:rPr>
                <w:rFonts w:eastAsiaTheme="minorEastAsia"/>
                <w:sz w:val="20"/>
              </w:rPr>
              <w:t>0.66</w:t>
            </w:r>
          </w:p>
        </w:tc>
        <w:tc>
          <w:tcPr>
            <w:tcW w:w="994" w:type="dxa"/>
            <w:noWrap/>
            <w:hideMark/>
          </w:tcPr>
          <w:p w14:paraId="26A23A67" w14:textId="77777777" w:rsidR="007A4CE7" w:rsidRPr="007A4CE7" w:rsidRDefault="007A4CE7" w:rsidP="007A4CE7">
            <w:pPr>
              <w:jc w:val="center"/>
              <w:rPr>
                <w:rFonts w:eastAsiaTheme="minorEastAsia"/>
                <w:sz w:val="20"/>
              </w:rPr>
            </w:pPr>
            <w:r w:rsidRPr="007A4CE7">
              <w:rPr>
                <w:rFonts w:eastAsiaTheme="minorEastAsia"/>
                <w:sz w:val="20"/>
              </w:rPr>
              <w:t>327</w:t>
            </w:r>
          </w:p>
        </w:tc>
        <w:tc>
          <w:tcPr>
            <w:tcW w:w="1030" w:type="dxa"/>
            <w:noWrap/>
            <w:hideMark/>
          </w:tcPr>
          <w:p w14:paraId="38A74215" w14:textId="77777777" w:rsidR="007A4CE7" w:rsidRPr="007A4CE7" w:rsidRDefault="007A4CE7" w:rsidP="007A4CE7">
            <w:pPr>
              <w:jc w:val="center"/>
              <w:rPr>
                <w:rFonts w:eastAsiaTheme="minorEastAsia"/>
                <w:sz w:val="20"/>
              </w:rPr>
            </w:pPr>
            <w:r w:rsidRPr="007A4CE7">
              <w:rPr>
                <w:rFonts w:eastAsiaTheme="minorEastAsia"/>
                <w:sz w:val="20"/>
              </w:rPr>
              <w:t>0.66</w:t>
            </w:r>
          </w:p>
        </w:tc>
        <w:tc>
          <w:tcPr>
            <w:tcW w:w="900" w:type="dxa"/>
            <w:noWrap/>
            <w:hideMark/>
          </w:tcPr>
          <w:p w14:paraId="039EF01B" w14:textId="77777777" w:rsidR="007A4CE7" w:rsidRPr="007A4CE7" w:rsidRDefault="007A4CE7" w:rsidP="007A4CE7">
            <w:pPr>
              <w:jc w:val="center"/>
              <w:rPr>
                <w:rFonts w:eastAsiaTheme="minorEastAsia"/>
                <w:sz w:val="20"/>
              </w:rPr>
            </w:pPr>
            <w:r w:rsidRPr="007A4CE7">
              <w:rPr>
                <w:rFonts w:eastAsiaTheme="minorEastAsia"/>
                <w:sz w:val="20"/>
              </w:rPr>
              <w:t>0.66</w:t>
            </w:r>
          </w:p>
        </w:tc>
        <w:tc>
          <w:tcPr>
            <w:tcW w:w="586" w:type="dxa"/>
            <w:noWrap/>
            <w:hideMark/>
          </w:tcPr>
          <w:p w14:paraId="036DF26F" w14:textId="77777777" w:rsidR="007A4CE7" w:rsidRPr="007A4CE7" w:rsidRDefault="007A4CE7" w:rsidP="007A4CE7">
            <w:pPr>
              <w:jc w:val="center"/>
              <w:rPr>
                <w:rFonts w:eastAsiaTheme="minorEastAsia"/>
                <w:sz w:val="20"/>
              </w:rPr>
            </w:pPr>
            <w:r w:rsidRPr="007A4CE7">
              <w:rPr>
                <w:rFonts w:eastAsiaTheme="minorEastAsia"/>
                <w:sz w:val="20"/>
              </w:rPr>
              <w:t>0.48</w:t>
            </w:r>
          </w:p>
        </w:tc>
        <w:tc>
          <w:tcPr>
            <w:tcW w:w="584" w:type="dxa"/>
            <w:noWrap/>
            <w:hideMark/>
          </w:tcPr>
          <w:p w14:paraId="2BFA4FC3" w14:textId="77777777" w:rsidR="007A4CE7" w:rsidRPr="007A4CE7" w:rsidRDefault="007A4CE7" w:rsidP="007A4CE7">
            <w:pPr>
              <w:jc w:val="center"/>
              <w:rPr>
                <w:rFonts w:eastAsiaTheme="minorEastAsia"/>
                <w:sz w:val="20"/>
              </w:rPr>
            </w:pPr>
            <w:r w:rsidRPr="007A4CE7">
              <w:rPr>
                <w:rFonts w:eastAsiaTheme="minorEastAsia"/>
                <w:sz w:val="20"/>
              </w:rPr>
              <w:t>0.32</w:t>
            </w:r>
          </w:p>
        </w:tc>
      </w:tr>
      <w:tr w:rsidR="007A4CE7" w:rsidRPr="007A4CE7" w14:paraId="1A699056" w14:textId="77777777" w:rsidTr="00357050">
        <w:trPr>
          <w:trHeight w:val="255"/>
        </w:trPr>
        <w:tc>
          <w:tcPr>
            <w:tcW w:w="1098" w:type="dxa"/>
            <w:noWrap/>
            <w:hideMark/>
          </w:tcPr>
          <w:p w14:paraId="79F4188A" w14:textId="77777777" w:rsidR="007A4CE7" w:rsidRPr="007A4CE7" w:rsidRDefault="007A4CE7" w:rsidP="007A4CE7">
            <w:pPr>
              <w:rPr>
                <w:rFonts w:eastAsiaTheme="minorEastAsia"/>
                <w:sz w:val="20"/>
              </w:rPr>
            </w:pPr>
            <w:r w:rsidRPr="007A4CE7">
              <w:rPr>
                <w:rFonts w:eastAsiaTheme="minorEastAsia"/>
                <w:sz w:val="20"/>
              </w:rPr>
              <w:t>Provider 2</w:t>
            </w:r>
          </w:p>
        </w:tc>
        <w:tc>
          <w:tcPr>
            <w:tcW w:w="538" w:type="dxa"/>
            <w:noWrap/>
            <w:hideMark/>
          </w:tcPr>
          <w:p w14:paraId="245E5DCC" w14:textId="77777777" w:rsidR="007A4CE7" w:rsidRPr="007A4CE7" w:rsidRDefault="007A4CE7" w:rsidP="007A4CE7">
            <w:pPr>
              <w:jc w:val="center"/>
              <w:rPr>
                <w:rFonts w:eastAsiaTheme="minorEastAsia"/>
                <w:sz w:val="20"/>
              </w:rPr>
            </w:pPr>
            <w:r w:rsidRPr="007A4CE7">
              <w:rPr>
                <w:rFonts w:eastAsiaTheme="minorEastAsia"/>
                <w:sz w:val="20"/>
              </w:rPr>
              <w:t>457</w:t>
            </w:r>
          </w:p>
        </w:tc>
        <w:tc>
          <w:tcPr>
            <w:tcW w:w="985" w:type="dxa"/>
            <w:noWrap/>
            <w:hideMark/>
          </w:tcPr>
          <w:p w14:paraId="534111BB" w14:textId="77777777" w:rsidR="007A4CE7" w:rsidRPr="007A4CE7" w:rsidRDefault="007A4CE7" w:rsidP="007A4CE7">
            <w:pPr>
              <w:jc w:val="center"/>
              <w:rPr>
                <w:rFonts w:eastAsiaTheme="minorEastAsia"/>
                <w:sz w:val="20"/>
              </w:rPr>
            </w:pPr>
            <w:r w:rsidRPr="007A4CE7">
              <w:rPr>
                <w:rFonts w:eastAsiaTheme="minorEastAsia"/>
                <w:sz w:val="20"/>
              </w:rPr>
              <w:t>240</w:t>
            </w:r>
          </w:p>
        </w:tc>
        <w:tc>
          <w:tcPr>
            <w:tcW w:w="628" w:type="dxa"/>
            <w:noWrap/>
            <w:hideMark/>
          </w:tcPr>
          <w:p w14:paraId="02521CBD" w14:textId="77777777" w:rsidR="007A4CE7" w:rsidRPr="007A4CE7" w:rsidRDefault="007A4CE7" w:rsidP="007A4CE7">
            <w:pPr>
              <w:jc w:val="center"/>
              <w:rPr>
                <w:rFonts w:eastAsiaTheme="minorEastAsia"/>
                <w:sz w:val="20"/>
              </w:rPr>
            </w:pPr>
            <w:r w:rsidRPr="007A4CE7">
              <w:rPr>
                <w:rFonts w:eastAsiaTheme="minorEastAsia"/>
                <w:sz w:val="20"/>
              </w:rPr>
              <w:t>169</w:t>
            </w:r>
          </w:p>
        </w:tc>
        <w:tc>
          <w:tcPr>
            <w:tcW w:w="1021" w:type="dxa"/>
            <w:noWrap/>
            <w:hideMark/>
          </w:tcPr>
          <w:p w14:paraId="23251E0F" w14:textId="77777777" w:rsidR="007A4CE7" w:rsidRPr="007A4CE7" w:rsidRDefault="007A4CE7" w:rsidP="007A4CE7">
            <w:pPr>
              <w:jc w:val="center"/>
              <w:rPr>
                <w:rFonts w:eastAsiaTheme="minorEastAsia"/>
                <w:sz w:val="20"/>
              </w:rPr>
            </w:pPr>
            <w:r w:rsidRPr="007A4CE7">
              <w:rPr>
                <w:rFonts w:eastAsiaTheme="minorEastAsia"/>
                <w:sz w:val="20"/>
              </w:rPr>
              <w:t>0.37</w:t>
            </w:r>
          </w:p>
        </w:tc>
        <w:tc>
          <w:tcPr>
            <w:tcW w:w="878" w:type="dxa"/>
            <w:noWrap/>
            <w:hideMark/>
          </w:tcPr>
          <w:p w14:paraId="61FEDD0C" w14:textId="77777777" w:rsidR="007A4CE7" w:rsidRPr="007A4CE7" w:rsidRDefault="007A4CE7" w:rsidP="007A4CE7">
            <w:pPr>
              <w:jc w:val="center"/>
              <w:rPr>
                <w:rFonts w:eastAsiaTheme="minorEastAsia"/>
                <w:sz w:val="20"/>
              </w:rPr>
            </w:pPr>
            <w:r w:rsidRPr="007A4CE7">
              <w:rPr>
                <w:rFonts w:eastAsiaTheme="minorEastAsia"/>
                <w:sz w:val="20"/>
              </w:rPr>
              <w:t>0.62</w:t>
            </w:r>
          </w:p>
        </w:tc>
        <w:tc>
          <w:tcPr>
            <w:tcW w:w="990" w:type="dxa"/>
            <w:noWrap/>
            <w:hideMark/>
          </w:tcPr>
          <w:p w14:paraId="0972FDAA" w14:textId="77777777" w:rsidR="007A4CE7" w:rsidRPr="007A4CE7" w:rsidRDefault="007A4CE7" w:rsidP="007A4CE7">
            <w:pPr>
              <w:jc w:val="center"/>
              <w:rPr>
                <w:rFonts w:eastAsiaTheme="minorEastAsia"/>
                <w:sz w:val="20"/>
              </w:rPr>
            </w:pPr>
            <w:r w:rsidRPr="007A4CE7">
              <w:rPr>
                <w:rFonts w:eastAsiaTheme="minorEastAsia"/>
                <w:sz w:val="20"/>
              </w:rPr>
              <w:t>46</w:t>
            </w:r>
          </w:p>
        </w:tc>
        <w:tc>
          <w:tcPr>
            <w:tcW w:w="876" w:type="dxa"/>
            <w:noWrap/>
            <w:hideMark/>
          </w:tcPr>
          <w:p w14:paraId="1B7A103E" w14:textId="77777777" w:rsidR="007A4CE7" w:rsidRPr="007A4CE7" w:rsidRDefault="007A4CE7" w:rsidP="007A4CE7">
            <w:pPr>
              <w:jc w:val="center"/>
              <w:rPr>
                <w:rFonts w:eastAsiaTheme="minorEastAsia"/>
                <w:sz w:val="20"/>
              </w:rPr>
            </w:pPr>
            <w:r w:rsidRPr="007A4CE7">
              <w:rPr>
                <w:rFonts w:eastAsiaTheme="minorEastAsia"/>
                <w:sz w:val="20"/>
              </w:rPr>
              <w:t>0.66</w:t>
            </w:r>
          </w:p>
        </w:tc>
        <w:tc>
          <w:tcPr>
            <w:tcW w:w="994" w:type="dxa"/>
            <w:noWrap/>
            <w:hideMark/>
          </w:tcPr>
          <w:p w14:paraId="34CDD7D1" w14:textId="77777777" w:rsidR="007A4CE7" w:rsidRPr="007A4CE7" w:rsidRDefault="007A4CE7" w:rsidP="007A4CE7">
            <w:pPr>
              <w:jc w:val="center"/>
              <w:rPr>
                <w:rFonts w:eastAsiaTheme="minorEastAsia"/>
                <w:sz w:val="20"/>
              </w:rPr>
            </w:pPr>
            <w:r w:rsidRPr="007A4CE7">
              <w:rPr>
                <w:rFonts w:eastAsiaTheme="minorEastAsia"/>
                <w:sz w:val="20"/>
              </w:rPr>
              <w:t>17</w:t>
            </w:r>
          </w:p>
        </w:tc>
        <w:tc>
          <w:tcPr>
            <w:tcW w:w="876" w:type="dxa"/>
            <w:noWrap/>
            <w:hideMark/>
          </w:tcPr>
          <w:p w14:paraId="57DD36BB" w14:textId="77777777" w:rsidR="007A4CE7" w:rsidRPr="007A4CE7" w:rsidRDefault="007A4CE7" w:rsidP="007A4CE7">
            <w:pPr>
              <w:jc w:val="center"/>
              <w:rPr>
                <w:rFonts w:eastAsiaTheme="minorEastAsia"/>
                <w:sz w:val="20"/>
              </w:rPr>
            </w:pPr>
            <w:r w:rsidRPr="007A4CE7">
              <w:rPr>
                <w:rFonts w:eastAsiaTheme="minorEastAsia"/>
                <w:sz w:val="20"/>
              </w:rPr>
              <w:t>0.66</w:t>
            </w:r>
          </w:p>
        </w:tc>
        <w:tc>
          <w:tcPr>
            <w:tcW w:w="994" w:type="dxa"/>
            <w:noWrap/>
            <w:hideMark/>
          </w:tcPr>
          <w:p w14:paraId="5C897A8D" w14:textId="77777777" w:rsidR="007A4CE7" w:rsidRPr="007A4CE7" w:rsidRDefault="007A4CE7" w:rsidP="007A4CE7">
            <w:pPr>
              <w:jc w:val="center"/>
              <w:rPr>
                <w:rFonts w:eastAsiaTheme="minorEastAsia"/>
                <w:sz w:val="20"/>
              </w:rPr>
            </w:pPr>
            <w:r w:rsidRPr="007A4CE7">
              <w:rPr>
                <w:rFonts w:eastAsiaTheme="minorEastAsia"/>
                <w:sz w:val="20"/>
              </w:rPr>
              <w:t>177</w:t>
            </w:r>
          </w:p>
        </w:tc>
        <w:tc>
          <w:tcPr>
            <w:tcW w:w="1030" w:type="dxa"/>
            <w:noWrap/>
            <w:hideMark/>
          </w:tcPr>
          <w:p w14:paraId="212F4C2A" w14:textId="77777777" w:rsidR="007A4CE7" w:rsidRPr="007A4CE7" w:rsidRDefault="007A4CE7" w:rsidP="007A4CE7">
            <w:pPr>
              <w:jc w:val="center"/>
              <w:rPr>
                <w:rFonts w:eastAsiaTheme="minorEastAsia"/>
                <w:sz w:val="20"/>
              </w:rPr>
            </w:pPr>
            <w:r w:rsidRPr="007A4CE7">
              <w:rPr>
                <w:rFonts w:eastAsiaTheme="minorEastAsia"/>
                <w:sz w:val="20"/>
              </w:rPr>
              <w:t>0.65</w:t>
            </w:r>
          </w:p>
        </w:tc>
        <w:tc>
          <w:tcPr>
            <w:tcW w:w="900" w:type="dxa"/>
            <w:noWrap/>
            <w:hideMark/>
          </w:tcPr>
          <w:p w14:paraId="2E89B20A" w14:textId="77777777" w:rsidR="007A4CE7" w:rsidRPr="007A4CE7" w:rsidRDefault="007A4CE7" w:rsidP="007A4CE7">
            <w:pPr>
              <w:jc w:val="center"/>
              <w:rPr>
                <w:rFonts w:eastAsiaTheme="minorEastAsia"/>
                <w:sz w:val="20"/>
              </w:rPr>
            </w:pPr>
            <w:r w:rsidRPr="007A4CE7">
              <w:rPr>
                <w:rFonts w:eastAsiaTheme="minorEastAsia"/>
                <w:sz w:val="20"/>
              </w:rPr>
              <w:t>0.70</w:t>
            </w:r>
          </w:p>
        </w:tc>
        <w:tc>
          <w:tcPr>
            <w:tcW w:w="586" w:type="dxa"/>
            <w:noWrap/>
            <w:hideMark/>
          </w:tcPr>
          <w:p w14:paraId="737FE7BF" w14:textId="77777777" w:rsidR="007A4CE7" w:rsidRPr="007A4CE7" w:rsidRDefault="007A4CE7" w:rsidP="007A4CE7">
            <w:pPr>
              <w:jc w:val="center"/>
              <w:rPr>
                <w:rFonts w:eastAsiaTheme="minorEastAsia"/>
                <w:sz w:val="20"/>
              </w:rPr>
            </w:pPr>
            <w:r w:rsidRPr="007A4CE7">
              <w:rPr>
                <w:rFonts w:eastAsiaTheme="minorEastAsia"/>
                <w:sz w:val="20"/>
              </w:rPr>
              <w:t>0.40</w:t>
            </w:r>
          </w:p>
        </w:tc>
        <w:tc>
          <w:tcPr>
            <w:tcW w:w="584" w:type="dxa"/>
            <w:noWrap/>
            <w:hideMark/>
          </w:tcPr>
          <w:p w14:paraId="0CEA7A7C" w14:textId="77777777" w:rsidR="007A4CE7" w:rsidRPr="007A4CE7" w:rsidRDefault="007A4CE7" w:rsidP="007A4CE7">
            <w:pPr>
              <w:jc w:val="center"/>
              <w:rPr>
                <w:rFonts w:eastAsiaTheme="minorEastAsia"/>
                <w:sz w:val="20"/>
              </w:rPr>
            </w:pPr>
            <w:r w:rsidRPr="007A4CE7">
              <w:rPr>
                <w:rFonts w:eastAsiaTheme="minorEastAsia"/>
                <w:sz w:val="20"/>
              </w:rPr>
              <w:t>0.27</w:t>
            </w:r>
          </w:p>
        </w:tc>
      </w:tr>
    </w:tbl>
    <w:p w14:paraId="5ED2E9F0" w14:textId="77777777" w:rsidR="007A4CE7" w:rsidRDefault="007A4CE7" w:rsidP="007A4CE7">
      <w:pPr>
        <w:rPr>
          <w:rFonts w:eastAsiaTheme="minorEastAsia"/>
          <w:sz w:val="20"/>
        </w:rPr>
      </w:pPr>
    </w:p>
    <w:p w14:paraId="5C658CF4" w14:textId="77777777" w:rsidR="005F39CA" w:rsidRPr="005F39CA" w:rsidRDefault="005F39CA" w:rsidP="005F39CA">
      <w:pPr>
        <w:spacing w:after="0"/>
        <w:rPr>
          <w:rFonts w:eastAsiaTheme="minorEastAsia"/>
          <w:i/>
        </w:rPr>
      </w:pPr>
      <w:r w:rsidRPr="005F39CA">
        <w:rPr>
          <w:rFonts w:eastAsiaTheme="minorEastAsia"/>
          <w:i/>
        </w:rPr>
        <w:t xml:space="preserve">Table A5.2: Classification Rates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619"/>
      </w:tblGrid>
      <w:tr w:rsidR="00781D36" w:rsidRPr="007A4CE7" w14:paraId="4C04F5EA" w14:textId="77777777" w:rsidTr="00357050">
        <w:trPr>
          <w:trHeight w:val="256"/>
        </w:trPr>
        <w:tc>
          <w:tcPr>
            <w:tcW w:w="6379" w:type="dxa"/>
            <w:gridSpan w:val="2"/>
            <w:tcBorders>
              <w:top w:val="single" w:sz="4" w:space="0" w:color="auto"/>
              <w:left w:val="single" w:sz="4" w:space="0" w:color="auto"/>
              <w:right w:val="single" w:sz="4" w:space="0" w:color="auto"/>
            </w:tcBorders>
            <w:noWrap/>
          </w:tcPr>
          <w:p w14:paraId="3EDD54A4" w14:textId="77777777" w:rsidR="00781D36" w:rsidRPr="007A4CE7" w:rsidRDefault="00781D36" w:rsidP="00357050">
            <w:r>
              <w:rPr>
                <w:i/>
              </w:rPr>
              <w:t>Adenoma classification rates among pathologists in the sample</w:t>
            </w:r>
          </w:p>
        </w:tc>
      </w:tr>
      <w:tr w:rsidR="00781D36" w:rsidRPr="007A4CE7" w14:paraId="73F556EE" w14:textId="77777777" w:rsidTr="00357050">
        <w:trPr>
          <w:trHeight w:val="256"/>
        </w:trPr>
        <w:tc>
          <w:tcPr>
            <w:tcW w:w="5760" w:type="dxa"/>
            <w:tcBorders>
              <w:top w:val="single" w:sz="4" w:space="0" w:color="auto"/>
              <w:left w:val="single" w:sz="4" w:space="0" w:color="auto"/>
            </w:tcBorders>
            <w:noWrap/>
            <w:hideMark/>
          </w:tcPr>
          <w:p w14:paraId="755ADFC8" w14:textId="77777777" w:rsidR="00781D36" w:rsidRPr="007A4CE7" w:rsidRDefault="00781D36" w:rsidP="00357050">
            <w:r w:rsidRPr="007A4CE7">
              <w:t xml:space="preserve">Highest </w:t>
            </w:r>
          </w:p>
        </w:tc>
        <w:tc>
          <w:tcPr>
            <w:tcW w:w="619" w:type="dxa"/>
            <w:tcBorders>
              <w:top w:val="single" w:sz="4" w:space="0" w:color="auto"/>
              <w:right w:val="single" w:sz="4" w:space="0" w:color="auto"/>
            </w:tcBorders>
            <w:noWrap/>
            <w:hideMark/>
          </w:tcPr>
          <w:p w14:paraId="3A47EA53" w14:textId="77777777" w:rsidR="00781D36" w:rsidRPr="007A4CE7" w:rsidRDefault="00781D36" w:rsidP="00357050">
            <w:pPr>
              <w:jc w:val="right"/>
            </w:pPr>
            <w:r w:rsidRPr="007A4CE7">
              <w:t>71%</w:t>
            </w:r>
          </w:p>
        </w:tc>
      </w:tr>
      <w:tr w:rsidR="00781D36" w:rsidRPr="007A4CE7" w14:paraId="2935E52B" w14:textId="77777777" w:rsidTr="00357050">
        <w:trPr>
          <w:trHeight w:val="256"/>
        </w:trPr>
        <w:tc>
          <w:tcPr>
            <w:tcW w:w="5760" w:type="dxa"/>
            <w:tcBorders>
              <w:left w:val="single" w:sz="4" w:space="0" w:color="auto"/>
            </w:tcBorders>
            <w:noWrap/>
          </w:tcPr>
          <w:p w14:paraId="2614CE11" w14:textId="77777777" w:rsidR="00781D36" w:rsidRPr="007A4CE7" w:rsidRDefault="00781D36" w:rsidP="00357050">
            <w:r>
              <w:t>75</w:t>
            </w:r>
            <w:r w:rsidRPr="00DB1DB7">
              <w:rPr>
                <w:vertAlign w:val="superscript"/>
              </w:rPr>
              <w:t>th</w:t>
            </w:r>
            <w:r>
              <w:t xml:space="preserve"> percentile </w:t>
            </w:r>
            <w:r w:rsidRPr="007A4CE7">
              <w:t xml:space="preserve"> </w:t>
            </w:r>
          </w:p>
        </w:tc>
        <w:tc>
          <w:tcPr>
            <w:tcW w:w="619" w:type="dxa"/>
            <w:tcBorders>
              <w:right w:val="single" w:sz="4" w:space="0" w:color="auto"/>
            </w:tcBorders>
            <w:noWrap/>
          </w:tcPr>
          <w:p w14:paraId="07322158" w14:textId="77777777" w:rsidR="00781D36" w:rsidRPr="007A4CE7" w:rsidRDefault="00781D36" w:rsidP="00357050">
            <w:pPr>
              <w:jc w:val="right"/>
            </w:pPr>
            <w:r>
              <w:t>64%</w:t>
            </w:r>
          </w:p>
        </w:tc>
      </w:tr>
      <w:tr w:rsidR="00781D36" w:rsidRPr="007A4CE7" w14:paraId="61516A99" w14:textId="77777777" w:rsidTr="00357050">
        <w:trPr>
          <w:trHeight w:val="83"/>
        </w:trPr>
        <w:tc>
          <w:tcPr>
            <w:tcW w:w="5760" w:type="dxa"/>
            <w:tcBorders>
              <w:left w:val="single" w:sz="4" w:space="0" w:color="auto"/>
            </w:tcBorders>
            <w:noWrap/>
          </w:tcPr>
          <w:p w14:paraId="13A55EF1" w14:textId="77777777" w:rsidR="00781D36" w:rsidRPr="007A4CE7" w:rsidRDefault="00781D36" w:rsidP="00357050">
            <w:r>
              <w:t>25</w:t>
            </w:r>
            <w:r w:rsidRPr="00DB1DB7">
              <w:rPr>
                <w:vertAlign w:val="superscript"/>
              </w:rPr>
              <w:t>th</w:t>
            </w:r>
            <w:r>
              <w:t xml:space="preserve"> percentile </w:t>
            </w:r>
            <w:r w:rsidRPr="007A4CE7">
              <w:t xml:space="preserve"> </w:t>
            </w:r>
          </w:p>
        </w:tc>
        <w:tc>
          <w:tcPr>
            <w:tcW w:w="619" w:type="dxa"/>
            <w:tcBorders>
              <w:right w:val="single" w:sz="4" w:space="0" w:color="auto"/>
            </w:tcBorders>
            <w:noWrap/>
          </w:tcPr>
          <w:p w14:paraId="4A37FF7E" w14:textId="77777777" w:rsidR="00781D36" w:rsidRPr="007A4CE7" w:rsidRDefault="00781D36" w:rsidP="00357050">
            <w:pPr>
              <w:jc w:val="right"/>
            </w:pPr>
            <w:r>
              <w:t>53%</w:t>
            </w:r>
          </w:p>
        </w:tc>
      </w:tr>
      <w:tr w:rsidR="00781D36" w:rsidRPr="007A4CE7" w14:paraId="35C7DD1C" w14:textId="77777777" w:rsidTr="00357050">
        <w:trPr>
          <w:trHeight w:val="256"/>
        </w:trPr>
        <w:tc>
          <w:tcPr>
            <w:tcW w:w="5760" w:type="dxa"/>
            <w:tcBorders>
              <w:left w:val="single" w:sz="4" w:space="0" w:color="auto"/>
              <w:bottom w:val="single" w:sz="4" w:space="0" w:color="auto"/>
            </w:tcBorders>
            <w:noWrap/>
            <w:hideMark/>
          </w:tcPr>
          <w:p w14:paraId="0B736A05" w14:textId="77777777" w:rsidR="00781D36" w:rsidRPr="007A4CE7" w:rsidRDefault="00781D36" w:rsidP="00357050">
            <w:r w:rsidRPr="007A4CE7">
              <w:t xml:space="preserve">Lowest </w:t>
            </w:r>
          </w:p>
        </w:tc>
        <w:tc>
          <w:tcPr>
            <w:tcW w:w="619" w:type="dxa"/>
            <w:tcBorders>
              <w:bottom w:val="single" w:sz="4" w:space="0" w:color="auto"/>
              <w:right w:val="single" w:sz="4" w:space="0" w:color="auto"/>
            </w:tcBorders>
            <w:noWrap/>
            <w:hideMark/>
          </w:tcPr>
          <w:p w14:paraId="65B6EDA6" w14:textId="77777777" w:rsidR="00781D36" w:rsidRPr="007A4CE7" w:rsidRDefault="00781D36" w:rsidP="00357050">
            <w:pPr>
              <w:jc w:val="right"/>
            </w:pPr>
            <w:r w:rsidRPr="007A4CE7">
              <w:t>48%</w:t>
            </w:r>
          </w:p>
        </w:tc>
      </w:tr>
      <w:tr w:rsidR="00781D36" w:rsidRPr="007A4CE7" w14:paraId="22CBA963" w14:textId="77777777" w:rsidTr="00357050">
        <w:trPr>
          <w:trHeight w:val="256"/>
        </w:trPr>
        <w:tc>
          <w:tcPr>
            <w:tcW w:w="6379" w:type="dxa"/>
            <w:gridSpan w:val="2"/>
            <w:tcBorders>
              <w:top w:val="single" w:sz="4" w:space="0" w:color="auto"/>
              <w:left w:val="single" w:sz="4" w:space="0" w:color="auto"/>
              <w:right w:val="single" w:sz="4" w:space="0" w:color="auto"/>
            </w:tcBorders>
            <w:noWrap/>
          </w:tcPr>
          <w:p w14:paraId="4F7A52EA" w14:textId="77777777" w:rsidR="00781D36" w:rsidRPr="007A4CE7" w:rsidRDefault="00781D36" w:rsidP="00357050">
            <w:r>
              <w:rPr>
                <w:i/>
              </w:rPr>
              <w:t>Serrated polyp classification rates among pathologists in the sample</w:t>
            </w:r>
          </w:p>
        </w:tc>
      </w:tr>
      <w:tr w:rsidR="00781D36" w:rsidRPr="007A4CE7" w14:paraId="6BB05CD0" w14:textId="77777777" w:rsidTr="00357050">
        <w:trPr>
          <w:trHeight w:val="256"/>
        </w:trPr>
        <w:tc>
          <w:tcPr>
            <w:tcW w:w="5760" w:type="dxa"/>
            <w:tcBorders>
              <w:top w:val="single" w:sz="4" w:space="0" w:color="auto"/>
              <w:left w:val="single" w:sz="4" w:space="0" w:color="auto"/>
            </w:tcBorders>
            <w:noWrap/>
            <w:hideMark/>
          </w:tcPr>
          <w:p w14:paraId="7A2DEE4A" w14:textId="77777777" w:rsidR="00781D36" w:rsidRPr="007A4CE7" w:rsidRDefault="00781D36" w:rsidP="00357050">
            <w:r w:rsidRPr="007A4CE7">
              <w:t xml:space="preserve">Highest </w:t>
            </w:r>
          </w:p>
        </w:tc>
        <w:tc>
          <w:tcPr>
            <w:tcW w:w="619" w:type="dxa"/>
            <w:tcBorders>
              <w:top w:val="single" w:sz="4" w:space="0" w:color="auto"/>
              <w:right w:val="single" w:sz="4" w:space="0" w:color="auto"/>
            </w:tcBorders>
            <w:noWrap/>
            <w:hideMark/>
          </w:tcPr>
          <w:p w14:paraId="4F1B76FB" w14:textId="77777777" w:rsidR="00781D36" w:rsidRPr="007A4CE7" w:rsidRDefault="00781D36" w:rsidP="00357050">
            <w:pPr>
              <w:jc w:val="right"/>
            </w:pPr>
            <w:r w:rsidRPr="007A4CE7">
              <w:t>20%</w:t>
            </w:r>
          </w:p>
        </w:tc>
      </w:tr>
      <w:tr w:rsidR="00781D36" w:rsidRPr="007A4CE7" w14:paraId="6603E98B" w14:textId="77777777" w:rsidTr="00357050">
        <w:trPr>
          <w:trHeight w:val="256"/>
        </w:trPr>
        <w:tc>
          <w:tcPr>
            <w:tcW w:w="5760" w:type="dxa"/>
            <w:tcBorders>
              <w:left w:val="single" w:sz="4" w:space="0" w:color="auto"/>
            </w:tcBorders>
            <w:noWrap/>
          </w:tcPr>
          <w:p w14:paraId="67E58B66" w14:textId="77777777" w:rsidR="00781D36" w:rsidRPr="007A4CE7" w:rsidRDefault="00781D36" w:rsidP="00357050">
            <w:r>
              <w:t>75</w:t>
            </w:r>
            <w:r w:rsidRPr="00DB1DB7">
              <w:rPr>
                <w:vertAlign w:val="superscript"/>
              </w:rPr>
              <w:t>th</w:t>
            </w:r>
            <w:r>
              <w:t xml:space="preserve"> percentile </w:t>
            </w:r>
            <w:r w:rsidRPr="007A4CE7">
              <w:t xml:space="preserve"> </w:t>
            </w:r>
          </w:p>
        </w:tc>
        <w:tc>
          <w:tcPr>
            <w:tcW w:w="619" w:type="dxa"/>
            <w:tcBorders>
              <w:right w:val="single" w:sz="4" w:space="0" w:color="auto"/>
            </w:tcBorders>
            <w:noWrap/>
          </w:tcPr>
          <w:p w14:paraId="6C21C15C" w14:textId="77777777" w:rsidR="00781D36" w:rsidRPr="007A4CE7" w:rsidRDefault="00781D36" w:rsidP="00357050">
            <w:pPr>
              <w:jc w:val="right"/>
            </w:pPr>
            <w:r>
              <w:t>15%</w:t>
            </w:r>
          </w:p>
        </w:tc>
      </w:tr>
      <w:tr w:rsidR="00781D36" w:rsidRPr="007A4CE7" w14:paraId="537AC86A" w14:textId="77777777" w:rsidTr="00357050">
        <w:trPr>
          <w:trHeight w:val="256"/>
        </w:trPr>
        <w:tc>
          <w:tcPr>
            <w:tcW w:w="5760" w:type="dxa"/>
            <w:tcBorders>
              <w:left w:val="single" w:sz="4" w:space="0" w:color="auto"/>
            </w:tcBorders>
            <w:noWrap/>
          </w:tcPr>
          <w:p w14:paraId="3F2374E7" w14:textId="77777777" w:rsidR="00781D36" w:rsidRPr="007A4CE7" w:rsidRDefault="00781D36" w:rsidP="00357050">
            <w:r>
              <w:t>25</w:t>
            </w:r>
            <w:r w:rsidRPr="00DB1DB7">
              <w:rPr>
                <w:vertAlign w:val="superscript"/>
              </w:rPr>
              <w:t>th</w:t>
            </w:r>
            <w:r>
              <w:t xml:space="preserve"> percentile </w:t>
            </w:r>
            <w:r w:rsidRPr="007A4CE7">
              <w:t xml:space="preserve"> </w:t>
            </w:r>
          </w:p>
        </w:tc>
        <w:tc>
          <w:tcPr>
            <w:tcW w:w="619" w:type="dxa"/>
            <w:tcBorders>
              <w:right w:val="single" w:sz="4" w:space="0" w:color="auto"/>
            </w:tcBorders>
            <w:noWrap/>
          </w:tcPr>
          <w:p w14:paraId="4E48A1FA" w14:textId="77777777" w:rsidR="00781D36" w:rsidRPr="007A4CE7" w:rsidRDefault="00781D36" w:rsidP="00357050">
            <w:pPr>
              <w:jc w:val="right"/>
            </w:pPr>
            <w:r>
              <w:t>8%</w:t>
            </w:r>
          </w:p>
        </w:tc>
      </w:tr>
      <w:tr w:rsidR="00781D36" w:rsidRPr="007A4CE7" w14:paraId="6FAC59B4" w14:textId="77777777" w:rsidTr="00357050">
        <w:trPr>
          <w:trHeight w:val="256"/>
        </w:trPr>
        <w:tc>
          <w:tcPr>
            <w:tcW w:w="5760" w:type="dxa"/>
            <w:tcBorders>
              <w:left w:val="single" w:sz="4" w:space="0" w:color="auto"/>
              <w:bottom w:val="single" w:sz="4" w:space="0" w:color="auto"/>
            </w:tcBorders>
            <w:noWrap/>
            <w:hideMark/>
          </w:tcPr>
          <w:p w14:paraId="2867671F" w14:textId="77777777" w:rsidR="00781D36" w:rsidRPr="007A4CE7" w:rsidRDefault="00781D36" w:rsidP="00357050">
            <w:r w:rsidRPr="007A4CE7">
              <w:t xml:space="preserve">Lowest </w:t>
            </w:r>
          </w:p>
        </w:tc>
        <w:tc>
          <w:tcPr>
            <w:tcW w:w="619" w:type="dxa"/>
            <w:tcBorders>
              <w:bottom w:val="single" w:sz="4" w:space="0" w:color="auto"/>
              <w:right w:val="single" w:sz="4" w:space="0" w:color="auto"/>
            </w:tcBorders>
            <w:noWrap/>
            <w:hideMark/>
          </w:tcPr>
          <w:p w14:paraId="21EBD739" w14:textId="77777777" w:rsidR="00781D36" w:rsidRPr="007A4CE7" w:rsidRDefault="00781D36" w:rsidP="00357050">
            <w:pPr>
              <w:jc w:val="right"/>
            </w:pPr>
            <w:r w:rsidRPr="007A4CE7">
              <w:t>1%</w:t>
            </w:r>
          </w:p>
        </w:tc>
      </w:tr>
    </w:tbl>
    <w:p w14:paraId="41FA50D7" w14:textId="77777777" w:rsidR="007A4CE7" w:rsidRPr="00AE0EC7" w:rsidRDefault="007A4CE7" w:rsidP="007A4CE7">
      <w:pPr>
        <w:rPr>
          <w:sz w:val="20"/>
        </w:rPr>
      </w:pPr>
      <w:r w:rsidRPr="00AE0EC7">
        <w:rPr>
          <w:sz w:val="20"/>
        </w:rPr>
        <w:t xml:space="preserve">Note: a pathologist’s adenoma classification rate </w:t>
      </w:r>
      <w:r w:rsidRPr="00AE0EC7">
        <w:rPr>
          <w:noProof/>
          <w:sz w:val="20"/>
        </w:rPr>
        <w:t>is defined as the number of colonoscopies in which an adenoma was detected divided by the number of colonoscopies with a polyp removed and an associated pathology report analyzed by that pathologist</w:t>
      </w:r>
    </w:p>
    <w:p w14:paraId="3AFC2B16" w14:textId="77777777" w:rsidR="007A4CE7" w:rsidRDefault="007A4CE7" w:rsidP="007A4CE7">
      <w:pPr>
        <w:rPr>
          <w:b/>
        </w:rPr>
        <w:sectPr w:rsidR="007A4CE7" w:rsidSect="00357050">
          <w:pgSz w:w="15840" w:h="12240" w:orient="landscape"/>
          <w:pgMar w:top="1440" w:right="1440" w:bottom="1440" w:left="1440" w:header="720" w:footer="720" w:gutter="0"/>
          <w:cols w:space="720"/>
          <w:titlePg/>
          <w:docGrid w:linePitch="360"/>
        </w:sectPr>
      </w:pPr>
    </w:p>
    <w:p w14:paraId="770DC2CE" w14:textId="5B08214B" w:rsidR="007A4CE7" w:rsidRPr="007A4CE7" w:rsidRDefault="00A476F6" w:rsidP="007A4CE7">
      <w:r>
        <w:rPr>
          <w:b/>
        </w:rPr>
        <w:lastRenderedPageBreak/>
        <w:t>Supplement</w:t>
      </w:r>
      <w:r w:rsidR="007A4CE7" w:rsidRPr="007A4CE7">
        <w:rPr>
          <w:b/>
        </w:rPr>
        <w:t xml:space="preserve"> 6</w:t>
      </w:r>
      <w:r w:rsidR="007A4CE7" w:rsidRPr="007A4CE7">
        <w:t xml:space="preserve">: Comparison of Pathologist Sample to National Pathologist Characteristics </w:t>
      </w:r>
    </w:p>
    <w:tbl>
      <w:tblPr>
        <w:tblW w:w="5603" w:type="dxa"/>
        <w:tblInd w:w="93" w:type="dxa"/>
        <w:tblLook w:val="04A0" w:firstRow="1" w:lastRow="0" w:firstColumn="1" w:lastColumn="0" w:noHBand="0" w:noVBand="1"/>
      </w:tblPr>
      <w:tblGrid>
        <w:gridCol w:w="1694"/>
        <w:gridCol w:w="1772"/>
        <w:gridCol w:w="2137"/>
      </w:tblGrid>
      <w:tr w:rsidR="007A4CE7" w:rsidRPr="007A4CE7" w14:paraId="15336686" w14:textId="77777777" w:rsidTr="00357050">
        <w:trPr>
          <w:trHeight w:val="144"/>
        </w:trPr>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7548A" w14:textId="77777777" w:rsidR="007A4CE7" w:rsidRPr="007A4CE7" w:rsidRDefault="007A4CE7" w:rsidP="007A4CE7">
            <w:pPr>
              <w:spacing w:after="0" w:line="240" w:lineRule="auto"/>
              <w:rPr>
                <w:rFonts w:ascii="Calibri" w:eastAsia="Times New Roman" w:hAnsi="Calibri" w:cs="Times New Roman"/>
                <w:sz w:val="20"/>
                <w:szCs w:val="20"/>
              </w:rPr>
            </w:pPr>
            <w:r w:rsidRPr="007A4CE7">
              <w:rPr>
                <w:rFonts w:ascii="Calibri" w:eastAsia="Times New Roman" w:hAnsi="Calibri" w:cs="Times New Roman"/>
                <w:sz w:val="20"/>
                <w:szCs w:val="20"/>
              </w:rPr>
              <w:t> </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32E23" w14:textId="77777777" w:rsidR="007A4CE7" w:rsidRPr="007A4CE7" w:rsidRDefault="007A4CE7" w:rsidP="007A4CE7">
            <w:pPr>
              <w:spacing w:after="0" w:line="240" w:lineRule="auto"/>
              <w:jc w:val="center"/>
              <w:rPr>
                <w:rFonts w:ascii="Calibri" w:eastAsia="Times New Roman" w:hAnsi="Calibri" w:cs="Times New Roman"/>
                <w:sz w:val="20"/>
                <w:szCs w:val="20"/>
              </w:rPr>
            </w:pPr>
            <w:r w:rsidRPr="007A4CE7">
              <w:rPr>
                <w:rFonts w:ascii="Calibri" w:eastAsia="Times New Roman" w:hAnsi="Calibri" w:cs="Times New Roman"/>
                <w:sz w:val="20"/>
                <w:szCs w:val="20"/>
              </w:rPr>
              <w:t>Study Sample</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DE628" w14:textId="77777777" w:rsidR="007A4CE7" w:rsidRPr="007A4CE7" w:rsidRDefault="007A4CE7" w:rsidP="007A4CE7">
            <w:pPr>
              <w:spacing w:after="0" w:line="240" w:lineRule="auto"/>
              <w:jc w:val="center"/>
              <w:rPr>
                <w:rFonts w:ascii="Calibri" w:eastAsia="Times New Roman" w:hAnsi="Calibri" w:cs="Times New Roman"/>
                <w:sz w:val="20"/>
                <w:szCs w:val="20"/>
              </w:rPr>
            </w:pPr>
            <w:r w:rsidRPr="007A4CE7">
              <w:rPr>
                <w:rFonts w:ascii="Calibri" w:eastAsia="Times New Roman" w:hAnsi="Calibri" w:cs="Times New Roman"/>
                <w:sz w:val="20"/>
                <w:szCs w:val="20"/>
              </w:rPr>
              <w:t>National Population</w:t>
            </w:r>
          </w:p>
        </w:tc>
      </w:tr>
      <w:tr w:rsidR="007A4CE7" w:rsidRPr="007A4CE7" w14:paraId="0E1FA9DE" w14:textId="77777777" w:rsidTr="00357050">
        <w:trPr>
          <w:trHeight w:val="144"/>
        </w:trPr>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6FF0DBEC" w14:textId="77777777" w:rsidR="007A4CE7" w:rsidRPr="007A4CE7" w:rsidRDefault="007A4CE7" w:rsidP="007A4CE7">
            <w:pPr>
              <w:spacing w:after="0" w:line="240" w:lineRule="auto"/>
              <w:rPr>
                <w:rFonts w:ascii="Calibri" w:eastAsia="Times New Roman" w:hAnsi="Calibri" w:cs="Times New Roman"/>
                <w:sz w:val="20"/>
                <w:szCs w:val="20"/>
              </w:rPr>
            </w:pPr>
            <w:r w:rsidRPr="007A4CE7">
              <w:rPr>
                <w:rFonts w:ascii="Calibri" w:eastAsia="Times New Roman" w:hAnsi="Calibri" w:cs="Times New Roman"/>
                <w:sz w:val="20"/>
                <w:szCs w:val="20"/>
              </w:rPr>
              <w:t>Total</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14:paraId="0631E440" w14:textId="77777777" w:rsidR="007A4CE7" w:rsidRPr="007A4CE7" w:rsidRDefault="007A4CE7" w:rsidP="007A4CE7">
            <w:pPr>
              <w:spacing w:after="0" w:line="240" w:lineRule="auto"/>
              <w:jc w:val="center"/>
              <w:rPr>
                <w:rFonts w:ascii="Calibri" w:eastAsia="Times New Roman" w:hAnsi="Calibri" w:cs="Times New Roman"/>
                <w:sz w:val="20"/>
                <w:szCs w:val="20"/>
              </w:rPr>
            </w:pPr>
            <w:r w:rsidRPr="007A4CE7">
              <w:rPr>
                <w:rFonts w:ascii="Calibri" w:eastAsia="Times New Roman" w:hAnsi="Calibri" w:cs="Times New Roman"/>
                <w:sz w:val="20"/>
                <w:szCs w:val="20"/>
              </w:rPr>
              <w:t>n=48</w:t>
            </w:r>
          </w:p>
        </w:tc>
        <w:tc>
          <w:tcPr>
            <w:tcW w:w="2137" w:type="dxa"/>
            <w:tcBorders>
              <w:top w:val="single" w:sz="4" w:space="0" w:color="auto"/>
              <w:left w:val="single" w:sz="4" w:space="0" w:color="auto"/>
              <w:bottom w:val="single" w:sz="4" w:space="0" w:color="auto"/>
              <w:right w:val="single" w:sz="4" w:space="0" w:color="auto"/>
            </w:tcBorders>
            <w:shd w:val="clear" w:color="auto" w:fill="auto"/>
            <w:noWrap/>
            <w:hideMark/>
          </w:tcPr>
          <w:p w14:paraId="430E13F0" w14:textId="77777777" w:rsidR="007A4CE7" w:rsidRPr="007A4CE7" w:rsidRDefault="007A4CE7" w:rsidP="007A4CE7">
            <w:pPr>
              <w:spacing w:after="0" w:line="240" w:lineRule="auto"/>
              <w:jc w:val="center"/>
              <w:rPr>
                <w:rFonts w:ascii="Calibri" w:eastAsia="Times New Roman" w:hAnsi="Calibri" w:cs="Times New Roman"/>
                <w:sz w:val="20"/>
                <w:szCs w:val="20"/>
              </w:rPr>
            </w:pPr>
            <w:r w:rsidRPr="007A4CE7">
              <w:rPr>
                <w:rFonts w:ascii="Calibri" w:eastAsia="Times New Roman" w:hAnsi="Calibri" w:cs="Times New Roman"/>
                <w:sz w:val="20"/>
                <w:szCs w:val="20"/>
              </w:rPr>
              <w:t>n=18,093</w:t>
            </w:r>
          </w:p>
        </w:tc>
      </w:tr>
      <w:tr w:rsidR="007A4CE7" w:rsidRPr="007A4CE7" w14:paraId="32E55CAC" w14:textId="77777777" w:rsidTr="00357050">
        <w:trPr>
          <w:trHeight w:val="144"/>
        </w:trPr>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6FC46EA8" w14:textId="77777777" w:rsidR="007A4CE7" w:rsidRPr="007A4CE7" w:rsidRDefault="007A4CE7" w:rsidP="007A4CE7">
            <w:pPr>
              <w:spacing w:after="0" w:line="240" w:lineRule="auto"/>
              <w:rPr>
                <w:rFonts w:ascii="Calibri" w:eastAsia="Times New Roman" w:hAnsi="Calibri" w:cs="Times New Roman"/>
                <w:sz w:val="20"/>
                <w:szCs w:val="20"/>
              </w:rPr>
            </w:pPr>
            <w:r w:rsidRPr="007A4CE7">
              <w:rPr>
                <w:rFonts w:ascii="Calibri" w:eastAsia="Times New Roman" w:hAnsi="Calibri" w:cs="Times New Roman"/>
                <w:sz w:val="20"/>
                <w:szCs w:val="20"/>
              </w:rPr>
              <w:t> </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14:paraId="5DD60808" w14:textId="77777777" w:rsidR="007A4CE7" w:rsidRPr="007A4CE7" w:rsidRDefault="007A4CE7" w:rsidP="007A4CE7">
            <w:pPr>
              <w:spacing w:after="0" w:line="240" w:lineRule="auto"/>
              <w:jc w:val="center"/>
              <w:rPr>
                <w:rFonts w:ascii="Calibri" w:eastAsia="Times New Roman" w:hAnsi="Calibri" w:cs="Times New Roman"/>
                <w:sz w:val="20"/>
                <w:szCs w:val="20"/>
              </w:rPr>
            </w:pPr>
            <w:r w:rsidRPr="007A4CE7">
              <w:rPr>
                <w:rFonts w:ascii="Calibri" w:eastAsia="Times New Roman" w:hAnsi="Calibri" w:cs="Times New Roman"/>
                <w:sz w:val="20"/>
                <w:szCs w:val="20"/>
              </w:rPr>
              <w:t>%</w:t>
            </w:r>
          </w:p>
        </w:tc>
        <w:tc>
          <w:tcPr>
            <w:tcW w:w="2137" w:type="dxa"/>
            <w:tcBorders>
              <w:top w:val="single" w:sz="4" w:space="0" w:color="auto"/>
              <w:left w:val="single" w:sz="4" w:space="0" w:color="auto"/>
              <w:bottom w:val="single" w:sz="4" w:space="0" w:color="auto"/>
              <w:right w:val="single" w:sz="4" w:space="0" w:color="auto"/>
            </w:tcBorders>
            <w:shd w:val="clear" w:color="auto" w:fill="auto"/>
            <w:noWrap/>
            <w:hideMark/>
          </w:tcPr>
          <w:p w14:paraId="76FF1569" w14:textId="77777777" w:rsidR="007A4CE7" w:rsidRPr="007A4CE7" w:rsidRDefault="007A4CE7" w:rsidP="007A4CE7">
            <w:pPr>
              <w:spacing w:after="0" w:line="240" w:lineRule="auto"/>
              <w:jc w:val="center"/>
              <w:rPr>
                <w:rFonts w:ascii="Calibri" w:eastAsia="Times New Roman" w:hAnsi="Calibri" w:cs="Times New Roman"/>
                <w:sz w:val="20"/>
                <w:szCs w:val="20"/>
              </w:rPr>
            </w:pPr>
            <w:r w:rsidRPr="007A4CE7">
              <w:rPr>
                <w:rFonts w:ascii="Calibri" w:eastAsia="Times New Roman" w:hAnsi="Calibri" w:cs="Times New Roman"/>
                <w:sz w:val="20"/>
                <w:szCs w:val="20"/>
              </w:rPr>
              <w:t>%</w:t>
            </w:r>
          </w:p>
        </w:tc>
      </w:tr>
      <w:tr w:rsidR="007A4CE7" w:rsidRPr="007A4CE7" w14:paraId="23C8937B" w14:textId="77777777" w:rsidTr="00357050">
        <w:trPr>
          <w:trHeight w:val="144"/>
        </w:trPr>
        <w:tc>
          <w:tcPr>
            <w:tcW w:w="560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4211252" w14:textId="77777777" w:rsidR="007A4CE7" w:rsidRPr="007A4CE7" w:rsidRDefault="007A4CE7" w:rsidP="007A4CE7">
            <w:pPr>
              <w:spacing w:after="0" w:line="240" w:lineRule="auto"/>
              <w:rPr>
                <w:rFonts w:ascii="Calibri" w:eastAsia="Times New Roman" w:hAnsi="Calibri" w:cs="Times New Roman"/>
                <w:sz w:val="20"/>
                <w:szCs w:val="20"/>
              </w:rPr>
            </w:pPr>
            <w:r w:rsidRPr="007A4CE7">
              <w:rPr>
                <w:rFonts w:ascii="Calibri" w:eastAsia="Times New Roman" w:hAnsi="Calibri" w:cs="Times New Roman"/>
                <w:sz w:val="20"/>
                <w:szCs w:val="20"/>
              </w:rPr>
              <w:t>Sex</w:t>
            </w:r>
          </w:p>
        </w:tc>
      </w:tr>
      <w:tr w:rsidR="007A4CE7" w:rsidRPr="007A4CE7" w14:paraId="28603A70" w14:textId="77777777" w:rsidTr="00357050">
        <w:trPr>
          <w:trHeight w:val="144"/>
        </w:trPr>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60CE984B" w14:textId="77777777" w:rsidR="007A4CE7" w:rsidRPr="007A4CE7" w:rsidRDefault="007A4CE7" w:rsidP="007A4CE7">
            <w:pPr>
              <w:spacing w:after="0" w:line="240" w:lineRule="auto"/>
              <w:ind w:firstLineChars="100" w:firstLine="200"/>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Male</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14:paraId="70B5617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63.5</w:t>
            </w:r>
          </w:p>
        </w:tc>
        <w:tc>
          <w:tcPr>
            <w:tcW w:w="2137" w:type="dxa"/>
            <w:tcBorders>
              <w:top w:val="single" w:sz="4" w:space="0" w:color="auto"/>
              <w:left w:val="single" w:sz="4" w:space="0" w:color="auto"/>
              <w:bottom w:val="single" w:sz="4" w:space="0" w:color="auto"/>
              <w:right w:val="single" w:sz="4" w:space="0" w:color="auto"/>
            </w:tcBorders>
            <w:shd w:val="clear" w:color="auto" w:fill="auto"/>
            <w:noWrap/>
            <w:hideMark/>
          </w:tcPr>
          <w:p w14:paraId="796810F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63.8</w:t>
            </w:r>
          </w:p>
        </w:tc>
      </w:tr>
      <w:tr w:rsidR="007A4CE7" w:rsidRPr="007A4CE7" w14:paraId="7100AECE" w14:textId="77777777" w:rsidTr="00357050">
        <w:trPr>
          <w:trHeight w:val="144"/>
        </w:trPr>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0EAE98A8" w14:textId="77777777" w:rsidR="007A4CE7" w:rsidRPr="007A4CE7" w:rsidRDefault="007A4CE7" w:rsidP="007A4CE7">
            <w:pPr>
              <w:spacing w:after="0" w:line="240" w:lineRule="auto"/>
              <w:ind w:firstLineChars="100" w:firstLine="200"/>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Female</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14:paraId="5B2320D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37.5</w:t>
            </w:r>
          </w:p>
        </w:tc>
        <w:tc>
          <w:tcPr>
            <w:tcW w:w="2137" w:type="dxa"/>
            <w:tcBorders>
              <w:top w:val="single" w:sz="4" w:space="0" w:color="auto"/>
              <w:left w:val="single" w:sz="4" w:space="0" w:color="auto"/>
              <w:bottom w:val="single" w:sz="4" w:space="0" w:color="auto"/>
              <w:right w:val="single" w:sz="4" w:space="0" w:color="auto"/>
            </w:tcBorders>
            <w:shd w:val="clear" w:color="auto" w:fill="auto"/>
            <w:noWrap/>
            <w:hideMark/>
          </w:tcPr>
          <w:p w14:paraId="6DAF168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36.2</w:t>
            </w:r>
          </w:p>
        </w:tc>
      </w:tr>
      <w:tr w:rsidR="007A4CE7" w:rsidRPr="007A4CE7" w14:paraId="07D500DE" w14:textId="77777777" w:rsidTr="00357050">
        <w:trPr>
          <w:trHeight w:val="144"/>
        </w:trPr>
        <w:tc>
          <w:tcPr>
            <w:tcW w:w="560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23F0CA5" w14:textId="77777777" w:rsidR="007A4CE7" w:rsidRPr="007A4CE7" w:rsidRDefault="007A4CE7" w:rsidP="007A4CE7">
            <w:pPr>
              <w:spacing w:after="0" w:line="240" w:lineRule="auto"/>
              <w:rPr>
                <w:rFonts w:ascii="Calibri" w:eastAsia="Times New Roman" w:hAnsi="Calibri" w:cs="Times New Roman"/>
                <w:color w:val="000000"/>
                <w:sz w:val="20"/>
                <w:szCs w:val="20"/>
              </w:rPr>
            </w:pPr>
            <w:r w:rsidRPr="007A4CE7">
              <w:rPr>
                <w:rFonts w:ascii="Calibri" w:eastAsia="Times New Roman" w:hAnsi="Calibri" w:cs="Times New Roman"/>
                <w:sz w:val="20"/>
                <w:szCs w:val="20"/>
              </w:rPr>
              <w:t>Years in practice</w:t>
            </w:r>
          </w:p>
        </w:tc>
      </w:tr>
      <w:tr w:rsidR="007A4CE7" w:rsidRPr="007A4CE7" w14:paraId="35E5591C" w14:textId="77777777" w:rsidTr="00357050">
        <w:trPr>
          <w:trHeight w:val="144"/>
        </w:trPr>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118EFFD8" w14:textId="77777777" w:rsidR="007A4CE7" w:rsidRPr="007A4CE7" w:rsidRDefault="007A4CE7" w:rsidP="007A4CE7">
            <w:pPr>
              <w:spacing w:after="0" w:line="240" w:lineRule="auto"/>
              <w:ind w:firstLineChars="100" w:firstLine="200"/>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&lt;8</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14:paraId="35F9C7F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33.3</w:t>
            </w:r>
          </w:p>
        </w:tc>
        <w:tc>
          <w:tcPr>
            <w:tcW w:w="2137" w:type="dxa"/>
            <w:tcBorders>
              <w:top w:val="single" w:sz="4" w:space="0" w:color="auto"/>
              <w:left w:val="single" w:sz="4" w:space="0" w:color="auto"/>
              <w:bottom w:val="single" w:sz="4" w:space="0" w:color="auto"/>
              <w:right w:val="single" w:sz="4" w:space="0" w:color="auto"/>
            </w:tcBorders>
            <w:shd w:val="clear" w:color="auto" w:fill="auto"/>
            <w:noWrap/>
            <w:hideMark/>
          </w:tcPr>
          <w:p w14:paraId="4A7998B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20.2</w:t>
            </w:r>
          </w:p>
        </w:tc>
      </w:tr>
      <w:tr w:rsidR="007A4CE7" w:rsidRPr="007A4CE7" w14:paraId="4C8AFB1C" w14:textId="77777777" w:rsidTr="00357050">
        <w:trPr>
          <w:trHeight w:val="144"/>
        </w:trPr>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3A9867D4" w14:textId="77777777" w:rsidR="007A4CE7" w:rsidRPr="007A4CE7" w:rsidRDefault="007A4CE7" w:rsidP="007A4CE7">
            <w:pPr>
              <w:spacing w:after="0" w:line="240" w:lineRule="auto"/>
              <w:ind w:firstLineChars="100" w:firstLine="200"/>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8-17</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14:paraId="03D415F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35.4</w:t>
            </w:r>
          </w:p>
        </w:tc>
        <w:tc>
          <w:tcPr>
            <w:tcW w:w="2137" w:type="dxa"/>
            <w:tcBorders>
              <w:top w:val="single" w:sz="4" w:space="0" w:color="auto"/>
              <w:left w:val="single" w:sz="4" w:space="0" w:color="auto"/>
              <w:bottom w:val="single" w:sz="4" w:space="0" w:color="auto"/>
              <w:right w:val="single" w:sz="4" w:space="0" w:color="auto"/>
            </w:tcBorders>
            <w:shd w:val="clear" w:color="auto" w:fill="auto"/>
            <w:noWrap/>
            <w:hideMark/>
          </w:tcPr>
          <w:p w14:paraId="7A5C934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23.7</w:t>
            </w:r>
          </w:p>
        </w:tc>
      </w:tr>
      <w:tr w:rsidR="007A4CE7" w:rsidRPr="007A4CE7" w14:paraId="5CBED7EE" w14:textId="77777777" w:rsidTr="00357050">
        <w:trPr>
          <w:trHeight w:val="144"/>
        </w:trPr>
        <w:tc>
          <w:tcPr>
            <w:tcW w:w="1694" w:type="dxa"/>
            <w:tcBorders>
              <w:top w:val="single" w:sz="4" w:space="0" w:color="auto"/>
              <w:left w:val="single" w:sz="4" w:space="0" w:color="auto"/>
              <w:bottom w:val="single" w:sz="4" w:space="0" w:color="auto"/>
              <w:right w:val="single" w:sz="4" w:space="0" w:color="auto"/>
            </w:tcBorders>
            <w:shd w:val="clear" w:color="auto" w:fill="auto"/>
            <w:noWrap/>
            <w:hideMark/>
          </w:tcPr>
          <w:p w14:paraId="0AD045CE" w14:textId="77777777" w:rsidR="007A4CE7" w:rsidRPr="007A4CE7" w:rsidRDefault="007A4CE7" w:rsidP="007A4CE7">
            <w:pPr>
              <w:spacing w:after="0" w:line="240" w:lineRule="auto"/>
              <w:ind w:firstLineChars="100" w:firstLine="200"/>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18-46</w:t>
            </w:r>
          </w:p>
        </w:tc>
        <w:tc>
          <w:tcPr>
            <w:tcW w:w="1772" w:type="dxa"/>
            <w:tcBorders>
              <w:top w:val="single" w:sz="4" w:space="0" w:color="auto"/>
              <w:left w:val="single" w:sz="4" w:space="0" w:color="auto"/>
              <w:bottom w:val="single" w:sz="4" w:space="0" w:color="auto"/>
              <w:right w:val="single" w:sz="4" w:space="0" w:color="auto"/>
            </w:tcBorders>
            <w:shd w:val="clear" w:color="auto" w:fill="auto"/>
            <w:noWrap/>
            <w:hideMark/>
          </w:tcPr>
          <w:p w14:paraId="7312A12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31.3</w:t>
            </w:r>
          </w:p>
        </w:tc>
        <w:tc>
          <w:tcPr>
            <w:tcW w:w="2137" w:type="dxa"/>
            <w:tcBorders>
              <w:top w:val="single" w:sz="4" w:space="0" w:color="auto"/>
              <w:left w:val="single" w:sz="4" w:space="0" w:color="auto"/>
              <w:bottom w:val="single" w:sz="4" w:space="0" w:color="auto"/>
              <w:right w:val="single" w:sz="4" w:space="0" w:color="auto"/>
            </w:tcBorders>
            <w:shd w:val="clear" w:color="auto" w:fill="auto"/>
            <w:noWrap/>
            <w:hideMark/>
          </w:tcPr>
          <w:p w14:paraId="2CBCA97C"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56.2</w:t>
            </w:r>
          </w:p>
        </w:tc>
      </w:tr>
    </w:tbl>
    <w:p w14:paraId="206EB628" w14:textId="77777777" w:rsidR="007A4CE7" w:rsidRPr="007A4CE7" w:rsidRDefault="007A4CE7" w:rsidP="007A4CE7">
      <w:pPr>
        <w:spacing w:after="0" w:line="240" w:lineRule="auto"/>
      </w:pPr>
    </w:p>
    <w:p w14:paraId="524ED733" w14:textId="77777777" w:rsidR="007A4CE7" w:rsidRPr="007A4CE7" w:rsidRDefault="007A4CE7" w:rsidP="007A4CE7">
      <w:pPr>
        <w:spacing w:line="240" w:lineRule="auto"/>
        <w:rPr>
          <w:sz w:val="18"/>
          <w:szCs w:val="18"/>
        </w:rPr>
      </w:pPr>
      <w:r w:rsidRPr="007A4CE7">
        <w:rPr>
          <w:sz w:val="18"/>
          <w:szCs w:val="18"/>
        </w:rPr>
        <w:t xml:space="preserve">Notes: </w:t>
      </w:r>
      <w:r w:rsidRPr="007A4CE7">
        <w:rPr>
          <w:sz w:val="18"/>
          <w:szCs w:val="18"/>
        </w:rPr>
        <w:br/>
        <w:t>(1) Data from Doximity</w:t>
      </w:r>
    </w:p>
    <w:p w14:paraId="35A2A1FC" w14:textId="77777777" w:rsidR="007A4CE7" w:rsidRPr="007A4CE7" w:rsidRDefault="007A4CE7" w:rsidP="007A4CE7">
      <w:pPr>
        <w:rPr>
          <w:b/>
        </w:rPr>
      </w:pPr>
      <w:r w:rsidRPr="007A4CE7">
        <w:rPr>
          <w:b/>
        </w:rPr>
        <w:br w:type="page"/>
      </w:r>
    </w:p>
    <w:p w14:paraId="3B2D0DF3" w14:textId="200D5540" w:rsidR="007A4CE7" w:rsidRPr="007A4CE7" w:rsidRDefault="00A476F6" w:rsidP="007A4CE7">
      <w:r>
        <w:rPr>
          <w:b/>
        </w:rPr>
        <w:lastRenderedPageBreak/>
        <w:t>Supplement</w:t>
      </w:r>
      <w:r w:rsidR="007A4CE7" w:rsidRPr="007A4CE7">
        <w:rPr>
          <w:b/>
        </w:rPr>
        <w:t xml:space="preserve"> 7</w:t>
      </w:r>
      <w:r w:rsidR="007A4CE7" w:rsidRPr="007A4CE7">
        <w:t>: Calculation of Standardized Serrated Polyp Classification Ratio</w:t>
      </w:r>
    </w:p>
    <w:tbl>
      <w:tblPr>
        <w:tblpPr w:leftFromText="180" w:rightFromText="180" w:vertAnchor="text" w:tblpY="1"/>
        <w:tblOverlap w:val="never"/>
        <w:tblW w:w="6880" w:type="dxa"/>
        <w:tblLook w:val="04A0" w:firstRow="1" w:lastRow="0" w:firstColumn="1" w:lastColumn="0" w:noHBand="0" w:noVBand="1"/>
      </w:tblPr>
      <w:tblGrid>
        <w:gridCol w:w="1240"/>
        <w:gridCol w:w="1029"/>
        <w:gridCol w:w="1540"/>
        <w:gridCol w:w="1560"/>
        <w:gridCol w:w="1540"/>
      </w:tblGrid>
      <w:tr w:rsidR="007A4CE7" w:rsidRPr="007A4CE7" w14:paraId="62A85224" w14:textId="77777777" w:rsidTr="00357050">
        <w:trPr>
          <w:trHeight w:val="926"/>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4A7CEF1B"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Pathologist</w:t>
            </w:r>
          </w:p>
        </w:tc>
        <w:tc>
          <w:tcPr>
            <w:tcW w:w="1000" w:type="dxa"/>
            <w:tcBorders>
              <w:top w:val="single" w:sz="4" w:space="0" w:color="auto"/>
              <w:left w:val="nil"/>
              <w:bottom w:val="single" w:sz="4" w:space="0" w:color="auto"/>
              <w:right w:val="single" w:sz="4" w:space="0" w:color="auto"/>
            </w:tcBorders>
            <w:shd w:val="clear" w:color="auto" w:fill="auto"/>
            <w:hideMark/>
          </w:tcPr>
          <w:p w14:paraId="35EDB1C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Volume of Pathology Reports</w:t>
            </w:r>
          </w:p>
        </w:tc>
        <w:tc>
          <w:tcPr>
            <w:tcW w:w="1540" w:type="dxa"/>
            <w:tcBorders>
              <w:top w:val="single" w:sz="4" w:space="0" w:color="auto"/>
              <w:left w:val="nil"/>
              <w:bottom w:val="single" w:sz="4" w:space="0" w:color="auto"/>
              <w:right w:val="single" w:sz="4" w:space="0" w:color="auto"/>
            </w:tcBorders>
            <w:shd w:val="clear" w:color="auto" w:fill="auto"/>
            <w:hideMark/>
          </w:tcPr>
          <w:p w14:paraId="7AC915D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Observed Serrated Polyp Classification</w:t>
            </w:r>
          </w:p>
        </w:tc>
        <w:tc>
          <w:tcPr>
            <w:tcW w:w="1560" w:type="dxa"/>
            <w:tcBorders>
              <w:top w:val="single" w:sz="4" w:space="0" w:color="auto"/>
              <w:left w:val="nil"/>
              <w:bottom w:val="single" w:sz="4" w:space="0" w:color="auto"/>
              <w:right w:val="single" w:sz="4" w:space="0" w:color="auto"/>
            </w:tcBorders>
            <w:shd w:val="clear" w:color="auto" w:fill="auto"/>
            <w:hideMark/>
          </w:tcPr>
          <w:p w14:paraId="0F590746"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Expected SP Classification, Adjusted for Endoscopist</w:t>
            </w:r>
          </w:p>
        </w:tc>
        <w:tc>
          <w:tcPr>
            <w:tcW w:w="1540" w:type="dxa"/>
            <w:tcBorders>
              <w:top w:val="single" w:sz="4" w:space="0" w:color="auto"/>
              <w:left w:val="nil"/>
              <w:bottom w:val="single" w:sz="4" w:space="0" w:color="auto"/>
              <w:right w:val="single" w:sz="4" w:space="0" w:color="auto"/>
            </w:tcBorders>
            <w:shd w:val="clear" w:color="auto" w:fill="auto"/>
            <w:hideMark/>
          </w:tcPr>
          <w:p w14:paraId="6578B44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Observed/</w:t>
            </w:r>
            <w:r w:rsidRPr="007A4CE7">
              <w:rPr>
                <w:rFonts w:ascii="Calibri" w:eastAsia="Times New Roman" w:hAnsi="Calibri" w:cs="Times New Roman"/>
                <w:color w:val="000000"/>
                <w:sz w:val="20"/>
                <w:szCs w:val="20"/>
              </w:rPr>
              <w:br/>
              <w:t>Expected Ratio</w:t>
            </w:r>
          </w:p>
        </w:tc>
      </w:tr>
      <w:tr w:rsidR="007A4CE7" w:rsidRPr="007A4CE7" w14:paraId="292DE9B0"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642D2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A</w:t>
            </w:r>
          </w:p>
        </w:tc>
        <w:tc>
          <w:tcPr>
            <w:tcW w:w="1000" w:type="dxa"/>
            <w:tcBorders>
              <w:top w:val="nil"/>
              <w:left w:val="nil"/>
              <w:bottom w:val="single" w:sz="4" w:space="0" w:color="auto"/>
              <w:right w:val="single" w:sz="4" w:space="0" w:color="auto"/>
            </w:tcBorders>
            <w:shd w:val="clear" w:color="auto" w:fill="auto"/>
            <w:noWrap/>
            <w:vAlign w:val="bottom"/>
            <w:hideMark/>
          </w:tcPr>
          <w:p w14:paraId="14263274"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4497</w:t>
            </w:r>
          </w:p>
        </w:tc>
        <w:tc>
          <w:tcPr>
            <w:tcW w:w="1540" w:type="dxa"/>
            <w:tcBorders>
              <w:top w:val="nil"/>
              <w:left w:val="nil"/>
              <w:bottom w:val="single" w:sz="4" w:space="0" w:color="auto"/>
              <w:right w:val="single" w:sz="4" w:space="0" w:color="auto"/>
            </w:tcBorders>
            <w:shd w:val="clear" w:color="auto" w:fill="auto"/>
            <w:noWrap/>
            <w:vAlign w:val="bottom"/>
            <w:hideMark/>
          </w:tcPr>
          <w:p w14:paraId="186A3F9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20.3%</w:t>
            </w:r>
          </w:p>
        </w:tc>
        <w:tc>
          <w:tcPr>
            <w:tcW w:w="1560" w:type="dxa"/>
            <w:tcBorders>
              <w:top w:val="nil"/>
              <w:left w:val="nil"/>
              <w:bottom w:val="single" w:sz="4" w:space="0" w:color="auto"/>
              <w:right w:val="single" w:sz="4" w:space="0" w:color="auto"/>
            </w:tcBorders>
            <w:shd w:val="clear" w:color="auto" w:fill="auto"/>
            <w:noWrap/>
            <w:vAlign w:val="bottom"/>
            <w:hideMark/>
          </w:tcPr>
          <w:p w14:paraId="3F17621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19.0%</w:t>
            </w:r>
          </w:p>
        </w:tc>
        <w:tc>
          <w:tcPr>
            <w:tcW w:w="1540" w:type="dxa"/>
            <w:tcBorders>
              <w:top w:val="nil"/>
              <w:left w:val="nil"/>
              <w:bottom w:val="single" w:sz="4" w:space="0" w:color="auto"/>
              <w:right w:val="single" w:sz="4" w:space="0" w:color="auto"/>
            </w:tcBorders>
            <w:shd w:val="clear" w:color="auto" w:fill="auto"/>
            <w:noWrap/>
            <w:vAlign w:val="bottom"/>
            <w:hideMark/>
          </w:tcPr>
          <w:p w14:paraId="7F1A25E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1.07</w:t>
            </w:r>
          </w:p>
        </w:tc>
      </w:tr>
      <w:tr w:rsidR="007A4CE7" w:rsidRPr="007A4CE7" w14:paraId="500F34D3"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6AD0B0"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B</w:t>
            </w:r>
          </w:p>
        </w:tc>
        <w:tc>
          <w:tcPr>
            <w:tcW w:w="1000" w:type="dxa"/>
            <w:tcBorders>
              <w:top w:val="nil"/>
              <w:left w:val="nil"/>
              <w:bottom w:val="single" w:sz="4" w:space="0" w:color="auto"/>
              <w:right w:val="single" w:sz="4" w:space="0" w:color="auto"/>
            </w:tcBorders>
            <w:shd w:val="clear" w:color="auto" w:fill="auto"/>
            <w:noWrap/>
            <w:vAlign w:val="bottom"/>
            <w:hideMark/>
          </w:tcPr>
          <w:p w14:paraId="59D4E24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2729</w:t>
            </w:r>
          </w:p>
        </w:tc>
        <w:tc>
          <w:tcPr>
            <w:tcW w:w="1540" w:type="dxa"/>
            <w:tcBorders>
              <w:top w:val="nil"/>
              <w:left w:val="nil"/>
              <w:bottom w:val="single" w:sz="4" w:space="0" w:color="auto"/>
              <w:right w:val="single" w:sz="4" w:space="0" w:color="auto"/>
            </w:tcBorders>
            <w:shd w:val="clear" w:color="auto" w:fill="auto"/>
            <w:noWrap/>
            <w:vAlign w:val="bottom"/>
            <w:hideMark/>
          </w:tcPr>
          <w:p w14:paraId="56F99EAD"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6.9%</w:t>
            </w:r>
          </w:p>
        </w:tc>
        <w:tc>
          <w:tcPr>
            <w:tcW w:w="1560" w:type="dxa"/>
            <w:tcBorders>
              <w:top w:val="nil"/>
              <w:left w:val="nil"/>
              <w:bottom w:val="single" w:sz="4" w:space="0" w:color="auto"/>
              <w:right w:val="single" w:sz="4" w:space="0" w:color="auto"/>
            </w:tcBorders>
            <w:shd w:val="clear" w:color="auto" w:fill="auto"/>
            <w:noWrap/>
            <w:vAlign w:val="bottom"/>
            <w:hideMark/>
          </w:tcPr>
          <w:p w14:paraId="4149275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10.4%</w:t>
            </w:r>
          </w:p>
        </w:tc>
        <w:tc>
          <w:tcPr>
            <w:tcW w:w="1540" w:type="dxa"/>
            <w:tcBorders>
              <w:top w:val="nil"/>
              <w:left w:val="nil"/>
              <w:bottom w:val="single" w:sz="4" w:space="0" w:color="auto"/>
              <w:right w:val="single" w:sz="4" w:space="0" w:color="auto"/>
            </w:tcBorders>
            <w:shd w:val="clear" w:color="auto" w:fill="auto"/>
            <w:noWrap/>
            <w:vAlign w:val="bottom"/>
            <w:hideMark/>
          </w:tcPr>
          <w:p w14:paraId="2E7816CB"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0.66</w:t>
            </w:r>
          </w:p>
        </w:tc>
      </w:tr>
      <w:tr w:rsidR="007A4CE7" w:rsidRPr="007A4CE7" w14:paraId="40770D5B"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6A5CA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C</w:t>
            </w:r>
          </w:p>
        </w:tc>
        <w:tc>
          <w:tcPr>
            <w:tcW w:w="1000" w:type="dxa"/>
            <w:tcBorders>
              <w:top w:val="nil"/>
              <w:left w:val="nil"/>
              <w:bottom w:val="single" w:sz="4" w:space="0" w:color="auto"/>
              <w:right w:val="single" w:sz="4" w:space="0" w:color="auto"/>
            </w:tcBorders>
            <w:shd w:val="clear" w:color="auto" w:fill="auto"/>
            <w:noWrap/>
            <w:vAlign w:val="bottom"/>
            <w:hideMark/>
          </w:tcPr>
          <w:p w14:paraId="7570DF2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1863</w:t>
            </w:r>
          </w:p>
        </w:tc>
        <w:tc>
          <w:tcPr>
            <w:tcW w:w="1540" w:type="dxa"/>
            <w:tcBorders>
              <w:top w:val="nil"/>
              <w:left w:val="nil"/>
              <w:bottom w:val="single" w:sz="4" w:space="0" w:color="auto"/>
              <w:right w:val="single" w:sz="4" w:space="0" w:color="auto"/>
            </w:tcBorders>
            <w:shd w:val="clear" w:color="auto" w:fill="auto"/>
            <w:noWrap/>
            <w:vAlign w:val="bottom"/>
            <w:hideMark/>
          </w:tcPr>
          <w:p w14:paraId="062F059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19.1%</w:t>
            </w:r>
          </w:p>
        </w:tc>
        <w:tc>
          <w:tcPr>
            <w:tcW w:w="1560" w:type="dxa"/>
            <w:tcBorders>
              <w:top w:val="nil"/>
              <w:left w:val="nil"/>
              <w:bottom w:val="single" w:sz="4" w:space="0" w:color="auto"/>
              <w:right w:val="single" w:sz="4" w:space="0" w:color="auto"/>
            </w:tcBorders>
            <w:shd w:val="clear" w:color="auto" w:fill="auto"/>
            <w:noWrap/>
            <w:vAlign w:val="bottom"/>
            <w:hideMark/>
          </w:tcPr>
          <w:p w14:paraId="54F61A8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10.4%</w:t>
            </w:r>
          </w:p>
        </w:tc>
        <w:tc>
          <w:tcPr>
            <w:tcW w:w="1540" w:type="dxa"/>
            <w:tcBorders>
              <w:top w:val="nil"/>
              <w:left w:val="nil"/>
              <w:bottom w:val="single" w:sz="4" w:space="0" w:color="auto"/>
              <w:right w:val="single" w:sz="4" w:space="0" w:color="auto"/>
            </w:tcBorders>
            <w:shd w:val="clear" w:color="auto" w:fill="auto"/>
            <w:noWrap/>
            <w:vAlign w:val="bottom"/>
            <w:hideMark/>
          </w:tcPr>
          <w:p w14:paraId="0065122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1.83</w:t>
            </w:r>
          </w:p>
        </w:tc>
      </w:tr>
      <w:tr w:rsidR="007A4CE7" w:rsidRPr="007A4CE7" w14:paraId="16453AD8"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48411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D</w:t>
            </w:r>
          </w:p>
        </w:tc>
        <w:tc>
          <w:tcPr>
            <w:tcW w:w="1000" w:type="dxa"/>
            <w:tcBorders>
              <w:top w:val="nil"/>
              <w:left w:val="nil"/>
              <w:bottom w:val="single" w:sz="4" w:space="0" w:color="auto"/>
              <w:right w:val="single" w:sz="4" w:space="0" w:color="auto"/>
            </w:tcBorders>
            <w:shd w:val="clear" w:color="auto" w:fill="auto"/>
            <w:noWrap/>
            <w:vAlign w:val="bottom"/>
            <w:hideMark/>
          </w:tcPr>
          <w:p w14:paraId="18F4E559"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1741</w:t>
            </w:r>
          </w:p>
        </w:tc>
        <w:tc>
          <w:tcPr>
            <w:tcW w:w="1540" w:type="dxa"/>
            <w:tcBorders>
              <w:top w:val="nil"/>
              <w:left w:val="nil"/>
              <w:bottom w:val="single" w:sz="4" w:space="0" w:color="auto"/>
              <w:right w:val="single" w:sz="4" w:space="0" w:color="auto"/>
            </w:tcBorders>
            <w:shd w:val="clear" w:color="auto" w:fill="auto"/>
            <w:noWrap/>
            <w:vAlign w:val="bottom"/>
            <w:hideMark/>
          </w:tcPr>
          <w:p w14:paraId="060F355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8.5%</w:t>
            </w:r>
          </w:p>
        </w:tc>
        <w:tc>
          <w:tcPr>
            <w:tcW w:w="1560" w:type="dxa"/>
            <w:tcBorders>
              <w:top w:val="nil"/>
              <w:left w:val="nil"/>
              <w:bottom w:val="single" w:sz="4" w:space="0" w:color="auto"/>
              <w:right w:val="single" w:sz="4" w:space="0" w:color="auto"/>
            </w:tcBorders>
            <w:shd w:val="clear" w:color="auto" w:fill="auto"/>
            <w:noWrap/>
            <w:vAlign w:val="bottom"/>
            <w:hideMark/>
          </w:tcPr>
          <w:p w14:paraId="107E125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10.4%</w:t>
            </w:r>
          </w:p>
        </w:tc>
        <w:tc>
          <w:tcPr>
            <w:tcW w:w="1540" w:type="dxa"/>
            <w:tcBorders>
              <w:top w:val="nil"/>
              <w:left w:val="nil"/>
              <w:bottom w:val="single" w:sz="4" w:space="0" w:color="auto"/>
              <w:right w:val="single" w:sz="4" w:space="0" w:color="auto"/>
            </w:tcBorders>
            <w:shd w:val="clear" w:color="auto" w:fill="auto"/>
            <w:noWrap/>
            <w:vAlign w:val="bottom"/>
            <w:hideMark/>
          </w:tcPr>
          <w:p w14:paraId="4F915A6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0.81</w:t>
            </w:r>
          </w:p>
        </w:tc>
      </w:tr>
      <w:tr w:rsidR="007A4CE7" w:rsidRPr="007A4CE7" w14:paraId="313CF540"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EF30C1"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E</w:t>
            </w:r>
          </w:p>
        </w:tc>
        <w:tc>
          <w:tcPr>
            <w:tcW w:w="1000" w:type="dxa"/>
            <w:tcBorders>
              <w:top w:val="nil"/>
              <w:left w:val="nil"/>
              <w:bottom w:val="single" w:sz="4" w:space="0" w:color="auto"/>
              <w:right w:val="single" w:sz="4" w:space="0" w:color="auto"/>
            </w:tcBorders>
            <w:shd w:val="clear" w:color="auto" w:fill="auto"/>
            <w:noWrap/>
            <w:vAlign w:val="bottom"/>
            <w:hideMark/>
          </w:tcPr>
          <w:p w14:paraId="0B2E567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1661</w:t>
            </w:r>
          </w:p>
        </w:tc>
        <w:tc>
          <w:tcPr>
            <w:tcW w:w="1540" w:type="dxa"/>
            <w:tcBorders>
              <w:top w:val="nil"/>
              <w:left w:val="nil"/>
              <w:bottom w:val="single" w:sz="4" w:space="0" w:color="auto"/>
              <w:right w:val="single" w:sz="4" w:space="0" w:color="auto"/>
            </w:tcBorders>
            <w:shd w:val="clear" w:color="auto" w:fill="auto"/>
            <w:noWrap/>
            <w:vAlign w:val="bottom"/>
            <w:hideMark/>
          </w:tcPr>
          <w:p w14:paraId="0BB82B4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10.8%</w:t>
            </w:r>
          </w:p>
        </w:tc>
        <w:tc>
          <w:tcPr>
            <w:tcW w:w="1560" w:type="dxa"/>
            <w:tcBorders>
              <w:top w:val="nil"/>
              <w:left w:val="nil"/>
              <w:bottom w:val="single" w:sz="4" w:space="0" w:color="auto"/>
              <w:right w:val="single" w:sz="4" w:space="0" w:color="auto"/>
            </w:tcBorders>
            <w:shd w:val="clear" w:color="auto" w:fill="auto"/>
            <w:noWrap/>
            <w:vAlign w:val="bottom"/>
            <w:hideMark/>
          </w:tcPr>
          <w:p w14:paraId="336071D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11.3%</w:t>
            </w:r>
          </w:p>
        </w:tc>
        <w:tc>
          <w:tcPr>
            <w:tcW w:w="1540" w:type="dxa"/>
            <w:tcBorders>
              <w:top w:val="nil"/>
              <w:left w:val="nil"/>
              <w:bottom w:val="single" w:sz="4" w:space="0" w:color="auto"/>
              <w:right w:val="single" w:sz="4" w:space="0" w:color="auto"/>
            </w:tcBorders>
            <w:shd w:val="clear" w:color="auto" w:fill="auto"/>
            <w:noWrap/>
            <w:vAlign w:val="bottom"/>
            <w:hideMark/>
          </w:tcPr>
          <w:p w14:paraId="15FD4B4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0.96</w:t>
            </w:r>
          </w:p>
        </w:tc>
      </w:tr>
      <w:tr w:rsidR="007A4CE7" w:rsidRPr="007A4CE7" w14:paraId="5D96B90E"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995CA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F</w:t>
            </w:r>
          </w:p>
        </w:tc>
        <w:tc>
          <w:tcPr>
            <w:tcW w:w="1000" w:type="dxa"/>
            <w:tcBorders>
              <w:top w:val="nil"/>
              <w:left w:val="nil"/>
              <w:bottom w:val="single" w:sz="4" w:space="0" w:color="auto"/>
              <w:right w:val="single" w:sz="4" w:space="0" w:color="auto"/>
            </w:tcBorders>
            <w:shd w:val="clear" w:color="auto" w:fill="auto"/>
            <w:noWrap/>
            <w:vAlign w:val="bottom"/>
            <w:hideMark/>
          </w:tcPr>
          <w:p w14:paraId="38849304"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1546</w:t>
            </w:r>
          </w:p>
        </w:tc>
        <w:tc>
          <w:tcPr>
            <w:tcW w:w="1540" w:type="dxa"/>
            <w:tcBorders>
              <w:top w:val="nil"/>
              <w:left w:val="nil"/>
              <w:bottom w:val="single" w:sz="4" w:space="0" w:color="auto"/>
              <w:right w:val="single" w:sz="4" w:space="0" w:color="auto"/>
            </w:tcBorders>
            <w:shd w:val="clear" w:color="auto" w:fill="auto"/>
            <w:noWrap/>
            <w:vAlign w:val="bottom"/>
            <w:hideMark/>
          </w:tcPr>
          <w:p w14:paraId="5108CF34"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9.0%</w:t>
            </w:r>
          </w:p>
        </w:tc>
        <w:tc>
          <w:tcPr>
            <w:tcW w:w="1560" w:type="dxa"/>
            <w:tcBorders>
              <w:top w:val="nil"/>
              <w:left w:val="nil"/>
              <w:bottom w:val="single" w:sz="4" w:space="0" w:color="auto"/>
              <w:right w:val="single" w:sz="4" w:space="0" w:color="auto"/>
            </w:tcBorders>
            <w:shd w:val="clear" w:color="auto" w:fill="auto"/>
            <w:noWrap/>
            <w:vAlign w:val="bottom"/>
            <w:hideMark/>
          </w:tcPr>
          <w:p w14:paraId="5A01D40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8.2%</w:t>
            </w:r>
          </w:p>
        </w:tc>
        <w:tc>
          <w:tcPr>
            <w:tcW w:w="1540" w:type="dxa"/>
            <w:tcBorders>
              <w:top w:val="nil"/>
              <w:left w:val="nil"/>
              <w:bottom w:val="single" w:sz="4" w:space="0" w:color="auto"/>
              <w:right w:val="single" w:sz="4" w:space="0" w:color="auto"/>
            </w:tcBorders>
            <w:shd w:val="clear" w:color="auto" w:fill="auto"/>
            <w:noWrap/>
            <w:vAlign w:val="bottom"/>
            <w:hideMark/>
          </w:tcPr>
          <w:p w14:paraId="133118F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1.09</w:t>
            </w:r>
          </w:p>
        </w:tc>
      </w:tr>
      <w:tr w:rsidR="007A4CE7" w:rsidRPr="007A4CE7" w14:paraId="07534763"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463050"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G</w:t>
            </w:r>
          </w:p>
        </w:tc>
        <w:tc>
          <w:tcPr>
            <w:tcW w:w="1000" w:type="dxa"/>
            <w:tcBorders>
              <w:top w:val="nil"/>
              <w:left w:val="nil"/>
              <w:bottom w:val="single" w:sz="4" w:space="0" w:color="auto"/>
              <w:right w:val="single" w:sz="4" w:space="0" w:color="auto"/>
            </w:tcBorders>
            <w:shd w:val="clear" w:color="auto" w:fill="auto"/>
            <w:noWrap/>
            <w:vAlign w:val="bottom"/>
            <w:hideMark/>
          </w:tcPr>
          <w:p w14:paraId="71B87248"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1430</w:t>
            </w:r>
          </w:p>
        </w:tc>
        <w:tc>
          <w:tcPr>
            <w:tcW w:w="1540" w:type="dxa"/>
            <w:tcBorders>
              <w:top w:val="nil"/>
              <w:left w:val="nil"/>
              <w:bottom w:val="single" w:sz="4" w:space="0" w:color="auto"/>
              <w:right w:val="single" w:sz="4" w:space="0" w:color="auto"/>
            </w:tcBorders>
            <w:shd w:val="clear" w:color="auto" w:fill="auto"/>
            <w:noWrap/>
            <w:vAlign w:val="bottom"/>
            <w:hideMark/>
          </w:tcPr>
          <w:p w14:paraId="4C0532DC"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12.7%</w:t>
            </w:r>
          </w:p>
        </w:tc>
        <w:tc>
          <w:tcPr>
            <w:tcW w:w="1560" w:type="dxa"/>
            <w:tcBorders>
              <w:top w:val="nil"/>
              <w:left w:val="nil"/>
              <w:bottom w:val="single" w:sz="4" w:space="0" w:color="auto"/>
              <w:right w:val="single" w:sz="4" w:space="0" w:color="auto"/>
            </w:tcBorders>
            <w:shd w:val="clear" w:color="auto" w:fill="auto"/>
            <w:noWrap/>
            <w:vAlign w:val="bottom"/>
            <w:hideMark/>
          </w:tcPr>
          <w:p w14:paraId="7E7D01C0"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11.4%</w:t>
            </w:r>
          </w:p>
        </w:tc>
        <w:tc>
          <w:tcPr>
            <w:tcW w:w="1540" w:type="dxa"/>
            <w:tcBorders>
              <w:top w:val="nil"/>
              <w:left w:val="nil"/>
              <w:bottom w:val="single" w:sz="4" w:space="0" w:color="auto"/>
              <w:right w:val="single" w:sz="4" w:space="0" w:color="auto"/>
            </w:tcBorders>
            <w:shd w:val="clear" w:color="auto" w:fill="auto"/>
            <w:noWrap/>
            <w:vAlign w:val="bottom"/>
            <w:hideMark/>
          </w:tcPr>
          <w:p w14:paraId="1CB92F2B"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1.11</w:t>
            </w:r>
          </w:p>
        </w:tc>
      </w:tr>
      <w:tr w:rsidR="007A4CE7" w:rsidRPr="007A4CE7" w14:paraId="260DF233"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E64E60"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H</w:t>
            </w:r>
          </w:p>
        </w:tc>
        <w:tc>
          <w:tcPr>
            <w:tcW w:w="1000" w:type="dxa"/>
            <w:tcBorders>
              <w:top w:val="nil"/>
              <w:left w:val="nil"/>
              <w:bottom w:val="single" w:sz="4" w:space="0" w:color="auto"/>
              <w:right w:val="single" w:sz="4" w:space="0" w:color="auto"/>
            </w:tcBorders>
            <w:shd w:val="clear" w:color="auto" w:fill="auto"/>
            <w:noWrap/>
            <w:vAlign w:val="bottom"/>
            <w:hideMark/>
          </w:tcPr>
          <w:p w14:paraId="3E596F3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1420</w:t>
            </w:r>
          </w:p>
        </w:tc>
        <w:tc>
          <w:tcPr>
            <w:tcW w:w="1540" w:type="dxa"/>
            <w:tcBorders>
              <w:top w:val="nil"/>
              <w:left w:val="nil"/>
              <w:bottom w:val="single" w:sz="4" w:space="0" w:color="auto"/>
              <w:right w:val="single" w:sz="4" w:space="0" w:color="auto"/>
            </w:tcBorders>
            <w:shd w:val="clear" w:color="auto" w:fill="auto"/>
            <w:noWrap/>
            <w:vAlign w:val="bottom"/>
            <w:hideMark/>
          </w:tcPr>
          <w:p w14:paraId="080BC575"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15.9%</w:t>
            </w:r>
          </w:p>
        </w:tc>
        <w:tc>
          <w:tcPr>
            <w:tcW w:w="1560" w:type="dxa"/>
            <w:tcBorders>
              <w:top w:val="nil"/>
              <w:left w:val="nil"/>
              <w:bottom w:val="single" w:sz="4" w:space="0" w:color="auto"/>
              <w:right w:val="single" w:sz="4" w:space="0" w:color="auto"/>
            </w:tcBorders>
            <w:shd w:val="clear" w:color="auto" w:fill="auto"/>
            <w:noWrap/>
            <w:vAlign w:val="bottom"/>
            <w:hideMark/>
          </w:tcPr>
          <w:p w14:paraId="46A2C96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18.5%</w:t>
            </w:r>
          </w:p>
        </w:tc>
        <w:tc>
          <w:tcPr>
            <w:tcW w:w="1540" w:type="dxa"/>
            <w:tcBorders>
              <w:top w:val="nil"/>
              <w:left w:val="nil"/>
              <w:bottom w:val="single" w:sz="4" w:space="0" w:color="auto"/>
              <w:right w:val="single" w:sz="4" w:space="0" w:color="auto"/>
            </w:tcBorders>
            <w:shd w:val="clear" w:color="auto" w:fill="auto"/>
            <w:noWrap/>
            <w:vAlign w:val="bottom"/>
            <w:hideMark/>
          </w:tcPr>
          <w:p w14:paraId="6E149110"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0.86</w:t>
            </w:r>
          </w:p>
        </w:tc>
      </w:tr>
      <w:tr w:rsidR="007A4CE7" w:rsidRPr="007A4CE7" w14:paraId="7CAEEAFD"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114AD9"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I</w:t>
            </w:r>
          </w:p>
        </w:tc>
        <w:tc>
          <w:tcPr>
            <w:tcW w:w="1000" w:type="dxa"/>
            <w:tcBorders>
              <w:top w:val="nil"/>
              <w:left w:val="nil"/>
              <w:bottom w:val="single" w:sz="4" w:space="0" w:color="auto"/>
              <w:right w:val="single" w:sz="4" w:space="0" w:color="auto"/>
            </w:tcBorders>
            <w:shd w:val="clear" w:color="auto" w:fill="auto"/>
            <w:noWrap/>
            <w:vAlign w:val="bottom"/>
            <w:hideMark/>
          </w:tcPr>
          <w:p w14:paraId="327122C7"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1410</w:t>
            </w:r>
          </w:p>
        </w:tc>
        <w:tc>
          <w:tcPr>
            <w:tcW w:w="1540" w:type="dxa"/>
            <w:tcBorders>
              <w:top w:val="nil"/>
              <w:left w:val="nil"/>
              <w:bottom w:val="single" w:sz="4" w:space="0" w:color="auto"/>
              <w:right w:val="single" w:sz="4" w:space="0" w:color="auto"/>
            </w:tcBorders>
            <w:shd w:val="clear" w:color="auto" w:fill="auto"/>
            <w:noWrap/>
            <w:vAlign w:val="bottom"/>
            <w:hideMark/>
          </w:tcPr>
          <w:p w14:paraId="394FEBC2"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9.1%</w:t>
            </w:r>
          </w:p>
        </w:tc>
        <w:tc>
          <w:tcPr>
            <w:tcW w:w="1560" w:type="dxa"/>
            <w:tcBorders>
              <w:top w:val="nil"/>
              <w:left w:val="nil"/>
              <w:bottom w:val="single" w:sz="4" w:space="0" w:color="auto"/>
              <w:right w:val="single" w:sz="4" w:space="0" w:color="auto"/>
            </w:tcBorders>
            <w:shd w:val="clear" w:color="auto" w:fill="auto"/>
            <w:noWrap/>
            <w:vAlign w:val="bottom"/>
            <w:hideMark/>
          </w:tcPr>
          <w:p w14:paraId="4A14532F"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8.5%</w:t>
            </w:r>
          </w:p>
        </w:tc>
        <w:tc>
          <w:tcPr>
            <w:tcW w:w="1540" w:type="dxa"/>
            <w:tcBorders>
              <w:top w:val="nil"/>
              <w:left w:val="nil"/>
              <w:bottom w:val="single" w:sz="4" w:space="0" w:color="auto"/>
              <w:right w:val="single" w:sz="4" w:space="0" w:color="auto"/>
            </w:tcBorders>
            <w:shd w:val="clear" w:color="auto" w:fill="auto"/>
            <w:noWrap/>
            <w:vAlign w:val="bottom"/>
            <w:hideMark/>
          </w:tcPr>
          <w:p w14:paraId="08C80686"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1.07</w:t>
            </w:r>
          </w:p>
        </w:tc>
      </w:tr>
      <w:tr w:rsidR="007A4CE7" w:rsidRPr="007A4CE7" w14:paraId="273E92A9" w14:textId="77777777" w:rsidTr="0035705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79E179"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eastAsia="Times New Roman" w:hAnsi="Calibri" w:cs="Times New Roman"/>
                <w:color w:val="000000"/>
                <w:sz w:val="20"/>
                <w:szCs w:val="20"/>
              </w:rPr>
              <w:t>J</w:t>
            </w:r>
          </w:p>
        </w:tc>
        <w:tc>
          <w:tcPr>
            <w:tcW w:w="1000" w:type="dxa"/>
            <w:tcBorders>
              <w:top w:val="nil"/>
              <w:left w:val="nil"/>
              <w:bottom w:val="single" w:sz="4" w:space="0" w:color="auto"/>
              <w:right w:val="single" w:sz="4" w:space="0" w:color="auto"/>
            </w:tcBorders>
            <w:shd w:val="clear" w:color="auto" w:fill="auto"/>
            <w:noWrap/>
            <w:vAlign w:val="bottom"/>
            <w:hideMark/>
          </w:tcPr>
          <w:p w14:paraId="27CBB8A6"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4497</w:t>
            </w:r>
          </w:p>
        </w:tc>
        <w:tc>
          <w:tcPr>
            <w:tcW w:w="1540" w:type="dxa"/>
            <w:tcBorders>
              <w:top w:val="nil"/>
              <w:left w:val="nil"/>
              <w:bottom w:val="single" w:sz="4" w:space="0" w:color="auto"/>
              <w:right w:val="single" w:sz="4" w:space="0" w:color="auto"/>
            </w:tcBorders>
            <w:shd w:val="clear" w:color="auto" w:fill="auto"/>
            <w:noWrap/>
            <w:vAlign w:val="bottom"/>
            <w:hideMark/>
          </w:tcPr>
          <w:p w14:paraId="4D777C0A"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20.3%</w:t>
            </w:r>
          </w:p>
        </w:tc>
        <w:tc>
          <w:tcPr>
            <w:tcW w:w="1560" w:type="dxa"/>
            <w:tcBorders>
              <w:top w:val="nil"/>
              <w:left w:val="nil"/>
              <w:bottom w:val="single" w:sz="4" w:space="0" w:color="auto"/>
              <w:right w:val="single" w:sz="4" w:space="0" w:color="auto"/>
            </w:tcBorders>
            <w:shd w:val="clear" w:color="auto" w:fill="auto"/>
            <w:noWrap/>
            <w:vAlign w:val="bottom"/>
            <w:hideMark/>
          </w:tcPr>
          <w:p w14:paraId="7BDE6D43"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19.0%</w:t>
            </w:r>
          </w:p>
        </w:tc>
        <w:tc>
          <w:tcPr>
            <w:tcW w:w="1540" w:type="dxa"/>
            <w:tcBorders>
              <w:top w:val="nil"/>
              <w:left w:val="nil"/>
              <w:bottom w:val="single" w:sz="4" w:space="0" w:color="auto"/>
              <w:right w:val="single" w:sz="4" w:space="0" w:color="auto"/>
            </w:tcBorders>
            <w:shd w:val="clear" w:color="auto" w:fill="auto"/>
            <w:noWrap/>
            <w:vAlign w:val="bottom"/>
            <w:hideMark/>
          </w:tcPr>
          <w:p w14:paraId="1F12972E" w14:textId="77777777" w:rsidR="007A4CE7" w:rsidRPr="007A4CE7" w:rsidRDefault="007A4CE7" w:rsidP="007A4CE7">
            <w:pPr>
              <w:spacing w:after="0" w:line="240" w:lineRule="auto"/>
              <w:jc w:val="center"/>
              <w:rPr>
                <w:rFonts w:ascii="Calibri" w:eastAsia="Times New Roman" w:hAnsi="Calibri" w:cs="Times New Roman"/>
                <w:color w:val="000000"/>
                <w:sz w:val="20"/>
                <w:szCs w:val="20"/>
              </w:rPr>
            </w:pPr>
            <w:r w:rsidRPr="007A4CE7">
              <w:rPr>
                <w:rFonts w:ascii="Calibri" w:hAnsi="Calibri"/>
                <w:color w:val="000000"/>
                <w:sz w:val="20"/>
              </w:rPr>
              <w:t>1.07</w:t>
            </w:r>
          </w:p>
        </w:tc>
      </w:tr>
    </w:tbl>
    <w:p w14:paraId="268D13CB" w14:textId="77777777" w:rsidR="007A4CE7" w:rsidRPr="007A4CE7" w:rsidRDefault="007A4CE7" w:rsidP="007A4CE7">
      <w:pPr>
        <w:spacing w:after="0"/>
        <w:rPr>
          <w:sz w:val="18"/>
          <w:szCs w:val="18"/>
        </w:rPr>
      </w:pPr>
      <w:r w:rsidRPr="007A4CE7">
        <w:rPr>
          <w:sz w:val="18"/>
          <w:szCs w:val="18"/>
        </w:rPr>
        <w:br w:type="textWrapping" w:clear="all"/>
      </w:r>
      <w:r w:rsidRPr="007A4CE7">
        <w:rPr>
          <w:sz w:val="18"/>
          <w:szCs w:val="18"/>
        </w:rPr>
        <w:br/>
        <w:t>Notes:</w:t>
      </w:r>
    </w:p>
    <w:p w14:paraId="0D3D27A5" w14:textId="77777777" w:rsidR="007A4CE7" w:rsidRPr="007A4CE7" w:rsidRDefault="007A4CE7" w:rsidP="007A4CE7">
      <w:pPr>
        <w:rPr>
          <w:sz w:val="18"/>
          <w:szCs w:val="18"/>
        </w:rPr>
      </w:pPr>
      <w:r w:rsidRPr="007A4CE7">
        <w:rPr>
          <w:sz w:val="18"/>
          <w:szCs w:val="18"/>
        </w:rPr>
        <w:t>(1) Shown for the ten pathologists with the highest volume of pathology reports in the sample</w:t>
      </w:r>
    </w:p>
    <w:p w14:paraId="7E2690B2" w14:textId="77777777" w:rsidR="00F31C3E" w:rsidRDefault="00F31C3E" w:rsidP="007A4CE7">
      <w:pPr>
        <w:rPr>
          <w:b/>
        </w:rPr>
        <w:sectPr w:rsidR="00F31C3E" w:rsidSect="007A4CE7">
          <w:pgSz w:w="12240" w:h="15840"/>
          <w:pgMar w:top="1440" w:right="1440" w:bottom="1440" w:left="1440" w:header="720" w:footer="720" w:gutter="0"/>
          <w:cols w:space="720"/>
          <w:titlePg/>
          <w:docGrid w:linePitch="360"/>
        </w:sectPr>
      </w:pPr>
    </w:p>
    <w:p w14:paraId="2889FFDE" w14:textId="3258E37F" w:rsidR="007A4CE7" w:rsidRDefault="00A476F6" w:rsidP="007A4CE7">
      <w:r>
        <w:rPr>
          <w:b/>
        </w:rPr>
        <w:lastRenderedPageBreak/>
        <w:t>Supplement</w:t>
      </w:r>
      <w:r w:rsidR="00F31C3E">
        <w:rPr>
          <w:b/>
        </w:rPr>
        <w:t xml:space="preserve"> 8: </w:t>
      </w:r>
      <w:r w:rsidR="00F31C3E" w:rsidRPr="00212F5B">
        <w:t>Pathologist variation in</w:t>
      </w:r>
      <w:r w:rsidR="00F31C3E">
        <w:t xml:space="preserve"> standardized serrated polyp classification</w:t>
      </w:r>
      <w:r w:rsidR="00F31C3E" w:rsidRPr="00212F5B">
        <w:t xml:space="preserve"> ratio </w:t>
      </w:r>
      <w:r w:rsidR="00F31C3E">
        <w:t>by location of serrated polyp, using alternative cutoffs for colonic segments</w:t>
      </w:r>
    </w:p>
    <w:p w14:paraId="51299D39" w14:textId="77777777" w:rsidR="00F31C3E" w:rsidRDefault="00F31C3E" w:rsidP="007A4CE7">
      <w:pPr>
        <w:rPr>
          <w:b/>
        </w:rPr>
      </w:pPr>
    </w:p>
    <w:p w14:paraId="448168AD" w14:textId="77777777" w:rsidR="00F31C3E" w:rsidRPr="00F31C3E" w:rsidRDefault="00F31C3E" w:rsidP="007A4CE7">
      <w:r w:rsidRPr="00F31C3E">
        <w:t>FIGURE SUBMITTED SEPARATELY</w:t>
      </w:r>
    </w:p>
    <w:p w14:paraId="33998DF0" w14:textId="77777777" w:rsidR="00CA76EC" w:rsidRDefault="00CA76EC"/>
    <w:p w14:paraId="24E708E8" w14:textId="77777777" w:rsidR="00F31C3E" w:rsidRPr="00E10A7D" w:rsidRDefault="00F31C3E" w:rsidP="00F31C3E">
      <w:pPr>
        <w:spacing w:after="0" w:line="240" w:lineRule="auto"/>
        <w:rPr>
          <w:sz w:val="18"/>
          <w:szCs w:val="18"/>
        </w:rPr>
      </w:pPr>
      <w:r w:rsidRPr="00E10A7D">
        <w:rPr>
          <w:sz w:val="18"/>
          <w:szCs w:val="18"/>
        </w:rPr>
        <w:t>Notes</w:t>
      </w:r>
      <w:r>
        <w:rPr>
          <w:sz w:val="18"/>
          <w:szCs w:val="18"/>
        </w:rPr>
        <w:t>:</w:t>
      </w:r>
    </w:p>
    <w:p w14:paraId="4E4D6227" w14:textId="77777777" w:rsidR="00F31C3E" w:rsidRPr="00E10A7D" w:rsidRDefault="00F31C3E" w:rsidP="00F31C3E">
      <w:pPr>
        <w:spacing w:after="0" w:line="240" w:lineRule="auto"/>
        <w:rPr>
          <w:sz w:val="18"/>
          <w:szCs w:val="18"/>
        </w:rPr>
      </w:pPr>
      <w:r w:rsidRPr="00E10A7D">
        <w:rPr>
          <w:sz w:val="18"/>
          <w:szCs w:val="18"/>
        </w:rPr>
        <w:t>(1) n=48 pathologists with 5</w:t>
      </w:r>
      <w:r>
        <w:rPr>
          <w:sz w:val="18"/>
          <w:szCs w:val="18"/>
        </w:rPr>
        <w:t>0</w:t>
      </w:r>
      <w:r w:rsidRPr="00E10A7D">
        <w:rPr>
          <w:sz w:val="18"/>
          <w:szCs w:val="18"/>
        </w:rPr>
        <w:t>,</w:t>
      </w:r>
      <w:r>
        <w:rPr>
          <w:sz w:val="18"/>
          <w:szCs w:val="18"/>
        </w:rPr>
        <w:t>453</w:t>
      </w:r>
      <w:r w:rsidRPr="00E10A7D">
        <w:rPr>
          <w:sz w:val="18"/>
          <w:szCs w:val="18"/>
        </w:rPr>
        <w:t xml:space="preserve"> pathology reports. </w:t>
      </w:r>
    </w:p>
    <w:p w14:paraId="09BB6303" w14:textId="77777777" w:rsidR="00F31C3E" w:rsidRPr="00E10A7D" w:rsidRDefault="00F31C3E" w:rsidP="00F31C3E">
      <w:pPr>
        <w:spacing w:after="0" w:line="240" w:lineRule="auto"/>
        <w:rPr>
          <w:sz w:val="18"/>
          <w:szCs w:val="18"/>
        </w:rPr>
      </w:pPr>
      <w:r w:rsidRPr="00E10A7D">
        <w:rPr>
          <w:sz w:val="18"/>
          <w:szCs w:val="18"/>
        </w:rPr>
        <w:t xml:space="preserve">(2) Path reports from physicians who performed fewer than 100 colonoscopies over the study period were excluded. </w:t>
      </w:r>
    </w:p>
    <w:p w14:paraId="74D232B1" w14:textId="77777777" w:rsidR="00F31C3E" w:rsidRPr="00E10A7D" w:rsidRDefault="00F31C3E" w:rsidP="00F31C3E">
      <w:pPr>
        <w:spacing w:after="0" w:line="240" w:lineRule="auto"/>
        <w:rPr>
          <w:sz w:val="18"/>
          <w:szCs w:val="18"/>
        </w:rPr>
      </w:pPr>
      <w:r w:rsidRPr="00E10A7D">
        <w:rPr>
          <w:sz w:val="18"/>
          <w:szCs w:val="18"/>
        </w:rPr>
        <w:t>(3) Pathologists who analyze fewer than 200 pathology reports over the study period were excluded.</w:t>
      </w:r>
    </w:p>
    <w:p w14:paraId="3EEFB0E1" w14:textId="050B9C24" w:rsidR="00F31C3E" w:rsidRDefault="00F31C3E" w:rsidP="00F31C3E">
      <w:pPr>
        <w:spacing w:after="0" w:line="240" w:lineRule="auto"/>
        <w:rPr>
          <w:sz w:val="18"/>
          <w:szCs w:val="18"/>
        </w:rPr>
      </w:pPr>
      <w:r>
        <w:rPr>
          <w:sz w:val="18"/>
          <w:szCs w:val="18"/>
        </w:rPr>
        <w:t xml:space="preserve">(4) </w:t>
      </w:r>
      <w:r w:rsidRPr="003C3969">
        <w:rPr>
          <w:sz w:val="18"/>
          <w:szCs w:val="18"/>
        </w:rPr>
        <w:t>Proximal colon defined as proximal to the splenic flexure, &gt;50 cm from anal verge;</w:t>
      </w:r>
      <w:r w:rsidR="00357050">
        <w:rPr>
          <w:sz w:val="18"/>
          <w:szCs w:val="18"/>
        </w:rPr>
        <w:t xml:space="preserve"> distal colon defined as</w:t>
      </w:r>
      <w:r w:rsidRPr="003C3969">
        <w:rPr>
          <w:sz w:val="18"/>
          <w:szCs w:val="18"/>
        </w:rPr>
        <w:t xml:space="preserve"> </w:t>
      </w:r>
      <w:r w:rsidRPr="00F31C3E">
        <w:rPr>
          <w:sz w:val="18"/>
          <w:szCs w:val="18"/>
        </w:rPr>
        <w:t>end of the rectum to the splenic flexure, including the sigmoid colon, 15-50 cm from anal verge</w:t>
      </w:r>
      <w:r w:rsidRPr="003C3969">
        <w:rPr>
          <w:sz w:val="18"/>
          <w:szCs w:val="18"/>
        </w:rPr>
        <w:t xml:space="preserve">; and </w:t>
      </w:r>
      <w:r>
        <w:rPr>
          <w:sz w:val="18"/>
          <w:szCs w:val="18"/>
        </w:rPr>
        <w:t xml:space="preserve">the rectum, ≤15cm from anal verge </w:t>
      </w:r>
    </w:p>
    <w:p w14:paraId="0C6175E4" w14:textId="77777777" w:rsidR="00F31C3E" w:rsidRDefault="00F31C3E" w:rsidP="00F31C3E">
      <w:pPr>
        <w:spacing w:after="0" w:line="240" w:lineRule="auto"/>
        <w:rPr>
          <w:sz w:val="18"/>
          <w:szCs w:val="18"/>
        </w:rPr>
      </w:pPr>
    </w:p>
    <w:p w14:paraId="11F4709E" w14:textId="77777777" w:rsidR="00F31C3E" w:rsidRDefault="00F31C3E" w:rsidP="00F31C3E">
      <w:pPr>
        <w:spacing w:after="0" w:line="240" w:lineRule="auto"/>
      </w:pPr>
    </w:p>
    <w:sectPr w:rsidR="00F31C3E" w:rsidSect="00F31C3E">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F6F01"/>
    <w:multiLevelType w:val="hybridMultilevel"/>
    <w:tmpl w:val="A772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E7"/>
    <w:rsid w:val="0009515C"/>
    <w:rsid w:val="002D19EF"/>
    <w:rsid w:val="00357050"/>
    <w:rsid w:val="005D3D71"/>
    <w:rsid w:val="005F39CA"/>
    <w:rsid w:val="00781D36"/>
    <w:rsid w:val="007A4CE7"/>
    <w:rsid w:val="009216E3"/>
    <w:rsid w:val="00A06EC4"/>
    <w:rsid w:val="00A4463F"/>
    <w:rsid w:val="00A476F6"/>
    <w:rsid w:val="00AE0EC7"/>
    <w:rsid w:val="00B179E2"/>
    <w:rsid w:val="00B32399"/>
    <w:rsid w:val="00CA76EC"/>
    <w:rsid w:val="00D52123"/>
    <w:rsid w:val="00DB1DB7"/>
    <w:rsid w:val="00F31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58496"/>
  <w15:docId w15:val="{B13AE7F2-5C71-4CC7-8690-2F89547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E7"/>
    <w:rPr>
      <w:rFonts w:ascii="Tahoma" w:hAnsi="Tahoma" w:cs="Tahoma"/>
      <w:sz w:val="16"/>
      <w:szCs w:val="16"/>
    </w:rPr>
  </w:style>
  <w:style w:type="character" w:styleId="CommentReference">
    <w:name w:val="annotation reference"/>
    <w:basedOn w:val="DefaultParagraphFont"/>
    <w:uiPriority w:val="99"/>
    <w:semiHidden/>
    <w:unhideWhenUsed/>
    <w:rsid w:val="0009515C"/>
    <w:rPr>
      <w:sz w:val="16"/>
      <w:szCs w:val="16"/>
    </w:rPr>
  </w:style>
  <w:style w:type="paragraph" w:styleId="CommentText">
    <w:name w:val="annotation text"/>
    <w:basedOn w:val="Normal"/>
    <w:link w:val="CommentTextChar"/>
    <w:uiPriority w:val="99"/>
    <w:semiHidden/>
    <w:unhideWhenUsed/>
    <w:rsid w:val="0009515C"/>
    <w:pPr>
      <w:spacing w:line="240" w:lineRule="auto"/>
    </w:pPr>
    <w:rPr>
      <w:sz w:val="20"/>
      <w:szCs w:val="20"/>
    </w:rPr>
  </w:style>
  <w:style w:type="character" w:customStyle="1" w:styleId="CommentTextChar">
    <w:name w:val="Comment Text Char"/>
    <w:basedOn w:val="DefaultParagraphFont"/>
    <w:link w:val="CommentText"/>
    <w:uiPriority w:val="99"/>
    <w:semiHidden/>
    <w:rsid w:val="0009515C"/>
    <w:rPr>
      <w:sz w:val="20"/>
      <w:szCs w:val="20"/>
    </w:rPr>
  </w:style>
  <w:style w:type="paragraph" w:styleId="CommentSubject">
    <w:name w:val="annotation subject"/>
    <w:basedOn w:val="CommentText"/>
    <w:next w:val="CommentText"/>
    <w:link w:val="CommentSubjectChar"/>
    <w:uiPriority w:val="99"/>
    <w:semiHidden/>
    <w:unhideWhenUsed/>
    <w:rsid w:val="0009515C"/>
    <w:rPr>
      <w:b/>
      <w:bCs/>
    </w:rPr>
  </w:style>
  <w:style w:type="character" w:customStyle="1" w:styleId="CommentSubjectChar">
    <w:name w:val="Comment Subject Char"/>
    <w:basedOn w:val="CommentTextChar"/>
    <w:link w:val="CommentSubject"/>
    <w:uiPriority w:val="99"/>
    <w:semiHidden/>
    <w:rsid w:val="00095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Gourevitch</dc:creator>
  <cp:lastModifiedBy>Lindsey Topp</cp:lastModifiedBy>
  <cp:revision>2</cp:revision>
  <dcterms:created xsi:type="dcterms:W3CDTF">2017-12-07T14:59:00Z</dcterms:created>
  <dcterms:modified xsi:type="dcterms:W3CDTF">2017-12-07T14:59:00Z</dcterms:modified>
</cp:coreProperties>
</file>