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83" w:rsidRPr="004B6783" w:rsidRDefault="004B6783" w:rsidP="004B6783">
      <w:pPr>
        <w:rPr>
          <w:b/>
        </w:rPr>
      </w:pPr>
      <w:r w:rsidRPr="004B6783">
        <w:rPr>
          <w:b/>
        </w:rPr>
        <w:t>Supplement 1</w:t>
      </w:r>
    </w:p>
    <w:tbl>
      <w:tblPr>
        <w:tblStyle w:val="Tabelraster"/>
        <w:tblW w:w="1244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719"/>
        <w:gridCol w:w="1504"/>
        <w:gridCol w:w="1792"/>
        <w:gridCol w:w="1524"/>
        <w:gridCol w:w="936"/>
        <w:gridCol w:w="1415"/>
        <w:gridCol w:w="1412"/>
        <w:gridCol w:w="850"/>
        <w:gridCol w:w="11"/>
      </w:tblGrid>
      <w:tr w:rsidR="004B6783" w:rsidRPr="008B6223" w:rsidTr="004B6783">
        <w:trPr>
          <w:trHeight w:val="340"/>
          <w:jc w:val="center"/>
        </w:trPr>
        <w:tc>
          <w:tcPr>
            <w:tcW w:w="12442" w:type="dxa"/>
            <w:gridSpan w:val="10"/>
            <w:tcBorders>
              <w:bottom w:val="single" w:sz="18" w:space="0" w:color="auto"/>
            </w:tcBorders>
          </w:tcPr>
          <w:p w:rsidR="004B6783" w:rsidRPr="00534C12" w:rsidRDefault="004B6783" w:rsidP="004B6783">
            <w:pPr>
              <w:spacing w:after="0" w:line="240" w:lineRule="auto"/>
            </w:pPr>
            <w:r>
              <w:rPr>
                <w:b/>
              </w:rPr>
              <w:t>Table S1</w:t>
            </w:r>
            <w:r>
              <w:t xml:space="preserve"> Patient characteristics of propensity-score matched Crohn’s disease patients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tcBorders>
              <w:bottom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504" w:type="dxa"/>
            <w:tcBorders>
              <w:bottom w:val="single" w:sz="18" w:space="0" w:color="auto"/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 xml:space="preserve">IMM </w:t>
            </w:r>
            <w:r>
              <w:br/>
              <w:t>non-user</w:t>
            </w:r>
            <w:r>
              <w:br/>
              <w:t>(N=313)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IMM</w:t>
            </w:r>
            <w:r>
              <w:br/>
              <w:t>user</w:t>
            </w:r>
            <w:r>
              <w:br/>
              <w:t>(N=313)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2F276A" w:rsidRDefault="004B6783" w:rsidP="004B6783">
            <w:pPr>
              <w:spacing w:after="0" w:line="240" w:lineRule="auto"/>
              <w:jc w:val="center"/>
            </w:pPr>
            <w:r>
              <w:t>anti-TNFα</w:t>
            </w:r>
            <w:r>
              <w:br/>
              <w:t>non-user</w:t>
            </w:r>
            <w:r>
              <w:br/>
              <w:t>(N=118)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anti-TNFα</w:t>
            </w:r>
            <w:r>
              <w:br/>
              <w:t>user</w:t>
            </w:r>
            <w:r>
              <w:br/>
              <w:t>(N=118)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tcBorders>
              <w:top w:val="single" w:sz="18" w:space="0" w:color="auto"/>
            </w:tcBorders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</w:rPr>
            </w:pPr>
            <w:r w:rsidRPr="00EF703B">
              <w:rPr>
                <w:b/>
              </w:rPr>
              <w:t>Age</w:t>
            </w:r>
            <w:r w:rsidRPr="00EF703B">
              <w:rPr>
                <w:b/>
                <w:vertAlign w:val="superscript"/>
              </w:rPr>
              <w:t>a</w:t>
            </w:r>
            <w:r w:rsidRPr="00EF703B"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mean (SD)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35.2 (14.7)</w:t>
            </w:r>
          </w:p>
        </w:tc>
        <w:tc>
          <w:tcPr>
            <w:tcW w:w="1524" w:type="dxa"/>
            <w:tcBorders>
              <w:top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35.5 (14.9)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964B85">
              <w:rPr>
                <w:i/>
              </w:rPr>
              <w:t>p=</w:t>
            </w:r>
            <w:r w:rsidRPr="00964B85">
              <w:t>0.</w:t>
            </w:r>
            <w:r>
              <w:t>83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36.9 (15.2)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34.7 (15.2)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26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</w:rPr>
            </w:pPr>
            <w:r w:rsidRPr="00EF703B">
              <w:rPr>
                <w:b/>
              </w:rPr>
              <w:t>Sex - male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103 (32.9)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104 (33.2)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964B85">
              <w:rPr>
                <w:i/>
              </w:rPr>
              <w:t>p=</w:t>
            </w:r>
            <w:r w:rsidRPr="00964B85">
              <w:t>0.</w:t>
            </w:r>
            <w:r>
              <w:t>99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 w:rsidRPr="00174A24">
              <w:t>38 (32.2)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 w:rsidRPr="00174A24">
              <w:t>35 (29.7)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 w:rsidRPr="008B6223">
              <w:t>=0.</w:t>
            </w:r>
            <w:r>
              <w:t>78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</w:rPr>
            </w:pPr>
            <w:r w:rsidRPr="00EF703B">
              <w:rPr>
                <w:b/>
              </w:rPr>
              <w:t>Current smoker</w:t>
            </w:r>
            <w:r w:rsidRPr="00EF703B">
              <w:rPr>
                <w:b/>
                <w:vertAlign w:val="superscript"/>
              </w:rPr>
              <w:t>α,b</w:t>
            </w:r>
            <w:r w:rsidRPr="00EF703B"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139 (51.1)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137 (48.2)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964B85">
              <w:rPr>
                <w:i/>
              </w:rPr>
              <w:t>p=</w:t>
            </w:r>
            <w:r w:rsidRPr="00964B85">
              <w:t>0.</w:t>
            </w:r>
            <w:r>
              <w:t>55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44 (40.0)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50 (48.1)</w:t>
            </w:r>
          </w:p>
        </w:tc>
        <w:tc>
          <w:tcPr>
            <w:tcW w:w="850" w:type="dxa"/>
          </w:tcPr>
          <w:p w:rsidR="004B6783" w:rsidRPr="009D5C39" w:rsidRDefault="004B6783" w:rsidP="004B6783">
            <w:pPr>
              <w:spacing w:after="0" w:line="240" w:lineRule="auto"/>
            </w:pPr>
            <w:r>
              <w:rPr>
                <w:i/>
              </w:rPr>
              <w:t>p=</w:t>
            </w:r>
            <w:r>
              <w:t>0.27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</w:rPr>
            </w:pPr>
            <w:r w:rsidRPr="00EF703B">
              <w:rPr>
                <w:b/>
              </w:rPr>
              <w:t>Disease duration in years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median (IQR)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9.8 (5.4-15.1)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5.8 (3.9-9.0)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964B85">
              <w:rPr>
                <w:i/>
              </w:rPr>
              <w:t>p</w:t>
            </w:r>
            <w:r>
              <w:t>&lt;</w:t>
            </w:r>
            <w:r w:rsidRPr="00964B85">
              <w:t>0.0</w:t>
            </w:r>
            <w:r>
              <w:t>1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7.1 (4.2-12.3)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4.8 (3.4-6.6)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>
              <w:t>&lt;0.01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  <w:vertAlign w:val="superscript"/>
              </w:rPr>
            </w:pPr>
            <w:r w:rsidRPr="00EF703B">
              <w:rPr>
                <w:b/>
              </w:rPr>
              <w:t>Disease location</w:t>
            </w:r>
            <w:r w:rsidRPr="00EF703B">
              <w:rPr>
                <w:b/>
                <w:vertAlign w:val="superscript"/>
              </w:rPr>
              <w:t>a.c</w:t>
            </w: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31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85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L1 – ileal location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138 (44.1)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123 (39.3)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39 (33.1)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36 (30.5)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L2 – colon location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105 (33.5)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101 (32.3)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39 (33.1)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43 (36.4)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L3 – ileocolon location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69 (22.0)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86 (27.5)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40 (33.9)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39 (33.1)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L4 – only upper GI location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1 (0.3)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3 (1.0)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5969C4" w:rsidRDefault="004B6783" w:rsidP="004B6783">
            <w:pPr>
              <w:spacing w:after="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Disease behavior</w:t>
            </w:r>
            <w:r>
              <w:rPr>
                <w:b/>
                <w:vertAlign w:val="superscript"/>
              </w:rPr>
              <w:t>a,c</w:t>
            </w: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82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92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Default="004B6783" w:rsidP="004B6783">
            <w:pPr>
              <w:spacing w:after="0" w:line="240" w:lineRule="auto"/>
              <w:rPr>
                <w:b/>
              </w:rPr>
            </w:pPr>
          </w:p>
        </w:tc>
        <w:tc>
          <w:tcPr>
            <w:tcW w:w="2719" w:type="dxa"/>
            <w:vAlign w:val="center"/>
          </w:tcPr>
          <w:p w:rsidR="004B6783" w:rsidRPr="005969C4" w:rsidRDefault="004B6783" w:rsidP="004B6783">
            <w:pPr>
              <w:spacing w:after="0" w:line="240" w:lineRule="auto"/>
            </w:pPr>
            <w:r>
              <w:t>B1 – inflammatory disease</w:t>
            </w: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  <w:r w:rsidRPr="00D62F60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220 (70.3)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226 (72.2)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80 (67.8)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82 (69.5)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Default="004B6783" w:rsidP="004B6783">
            <w:pPr>
              <w:spacing w:after="0" w:line="240" w:lineRule="auto"/>
              <w:rPr>
                <w:b/>
              </w:rPr>
            </w:pPr>
          </w:p>
        </w:tc>
        <w:tc>
          <w:tcPr>
            <w:tcW w:w="2719" w:type="dxa"/>
            <w:vAlign w:val="center"/>
          </w:tcPr>
          <w:p w:rsidR="004B6783" w:rsidRPr="005969C4" w:rsidRDefault="004B6783" w:rsidP="004B6783">
            <w:pPr>
              <w:spacing w:after="0" w:line="240" w:lineRule="auto"/>
            </w:pPr>
            <w:r>
              <w:t>B2 – stricturing disease</w:t>
            </w: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  <w:r w:rsidRPr="00D62F60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56 (17.9)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50 (16.0)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25 (21.2)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22 (18.6)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Default="004B6783" w:rsidP="004B6783">
            <w:pPr>
              <w:spacing w:after="0" w:line="240" w:lineRule="auto"/>
              <w:rPr>
                <w:b/>
              </w:rPr>
            </w:pPr>
          </w:p>
        </w:tc>
        <w:tc>
          <w:tcPr>
            <w:tcW w:w="2719" w:type="dxa"/>
            <w:vAlign w:val="center"/>
          </w:tcPr>
          <w:p w:rsidR="004B6783" w:rsidRPr="005969C4" w:rsidRDefault="004B6783" w:rsidP="004B6783">
            <w:pPr>
              <w:spacing w:after="0" w:line="240" w:lineRule="auto"/>
            </w:pPr>
            <w:r>
              <w:t>B3 – penetrating disease</w:t>
            </w: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</w:pPr>
            <w:r w:rsidRPr="00D62F60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37 (11.8)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37 (11.8)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13 (11.0)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14 (11.9)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Default="004B6783" w:rsidP="004B6783">
            <w:pPr>
              <w:spacing w:after="0" w:line="240" w:lineRule="auto"/>
            </w:pP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D62F60" w:rsidRDefault="004B6783" w:rsidP="004B6783">
            <w:pPr>
              <w:spacing w:after="0" w:line="240" w:lineRule="auto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</w:rPr>
            </w:pPr>
            <w:r w:rsidRPr="00EF703B">
              <w:rPr>
                <w:b/>
              </w:rPr>
              <w:t>Perianal disease (+</w:t>
            </w:r>
            <w:r w:rsidRPr="00EF703B">
              <w:rPr>
                <w:b/>
                <w:i/>
              </w:rPr>
              <w:t>p</w:t>
            </w:r>
            <w:r w:rsidRPr="00EF703B">
              <w:rPr>
                <w:b/>
              </w:rPr>
              <w:t>)</w:t>
            </w:r>
            <w:r w:rsidRPr="00EF703B">
              <w:rPr>
                <w:b/>
                <w:vertAlign w:val="superscript"/>
              </w:rPr>
              <w:t>a</w:t>
            </w:r>
            <w:r>
              <w:rPr>
                <w:b/>
                <w:vertAlign w:val="superscript"/>
              </w:rPr>
              <w:t>,c</w:t>
            </w:r>
            <w:r w:rsidRPr="00EF703B"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29 (9.3)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23 (7.3)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365042">
              <w:rPr>
                <w:i/>
              </w:rPr>
              <w:t>p=</w:t>
            </w:r>
            <w:r w:rsidRPr="00365042">
              <w:t>0.</w:t>
            </w:r>
            <w:r>
              <w:t>47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16 (13.6)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15 (12.7)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>
              <w:t>=</w:t>
            </w:r>
            <w:r w:rsidRPr="008B6223">
              <w:t>0.</w:t>
            </w:r>
            <w:r>
              <w:t>99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 w:line="240" w:lineRule="auto"/>
              <w:rPr>
                <w:b/>
              </w:rPr>
            </w:pPr>
            <w:r w:rsidRPr="00EF703B">
              <w:rPr>
                <w:b/>
              </w:rPr>
              <w:t>Upper GI location (+</w:t>
            </w:r>
            <w:r w:rsidRPr="00EF703B">
              <w:rPr>
                <w:b/>
                <w:i/>
              </w:rPr>
              <w:t>L4</w:t>
            </w:r>
            <w:r w:rsidRPr="00EF703B">
              <w:rPr>
                <w:b/>
              </w:rPr>
              <w:t>)</w:t>
            </w:r>
            <w:r w:rsidRPr="00EF703B">
              <w:rPr>
                <w:b/>
                <w:vertAlign w:val="superscript"/>
              </w:rPr>
              <w:t>a</w:t>
            </w:r>
            <w:r>
              <w:rPr>
                <w:b/>
                <w:vertAlign w:val="superscript"/>
              </w:rPr>
              <w:t>,c</w:t>
            </w:r>
            <w:r w:rsidRPr="00EF703B"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34 (10.9)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 w:line="240" w:lineRule="auto"/>
              <w:jc w:val="center"/>
            </w:pPr>
            <w:r>
              <w:t>42 (13.4)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 w:line="240" w:lineRule="auto"/>
              <w:jc w:val="center"/>
            </w:pPr>
            <w:r w:rsidRPr="00365042">
              <w:rPr>
                <w:i/>
              </w:rPr>
              <w:t>p=</w:t>
            </w:r>
            <w:r w:rsidRPr="00365042">
              <w:t>0.</w:t>
            </w:r>
            <w:r>
              <w:t>39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20 (16.9)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 w:line="240" w:lineRule="auto"/>
              <w:jc w:val="center"/>
            </w:pPr>
            <w:r>
              <w:t>20 (16.9_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 w:line="240" w:lineRule="auto"/>
            </w:pPr>
            <w:r w:rsidRPr="008B6223">
              <w:rPr>
                <w:i/>
              </w:rPr>
              <w:t>p</w:t>
            </w:r>
            <w:r w:rsidRPr="008B6223">
              <w:t>=</w:t>
            </w:r>
            <w:r>
              <w:t>1</w:t>
            </w:r>
            <w:r w:rsidRPr="008B6223">
              <w:t>.</w:t>
            </w:r>
            <w:r>
              <w:t>00</w:t>
            </w:r>
          </w:p>
        </w:tc>
      </w:tr>
    </w:tbl>
    <w:p w:rsidR="004B6783" w:rsidRDefault="004B6783" w:rsidP="004B6783">
      <w:pPr>
        <w:rPr>
          <w:b/>
        </w:rPr>
      </w:pPr>
      <w:r>
        <w:rPr>
          <w:b/>
        </w:rPr>
        <w:t>anti-TNFα: anti tumor necrosis factor α</w:t>
      </w:r>
      <w:r>
        <w:rPr>
          <w:b/>
          <w:vertAlign w:val="superscript"/>
        </w:rPr>
        <w:br/>
        <w:t>a</w:t>
      </w:r>
      <w:r>
        <w:rPr>
          <w:b/>
        </w:rPr>
        <w:t xml:space="preserve"> at diagnosis</w:t>
      </w:r>
      <w:r>
        <w:rPr>
          <w:b/>
        </w:rPr>
        <w:br/>
      </w:r>
      <w:r>
        <w:rPr>
          <w:b/>
          <w:vertAlign w:val="superscript"/>
        </w:rPr>
        <w:t>b</w:t>
      </w:r>
      <w:r>
        <w:rPr>
          <w:b/>
        </w:rPr>
        <w:t xml:space="preserve"> smoking status could not be retrieved in 169 cases</w:t>
      </w:r>
      <w:r>
        <w:rPr>
          <w:b/>
        </w:rPr>
        <w:br/>
      </w:r>
      <w:r>
        <w:rPr>
          <w:vertAlign w:val="superscript"/>
        </w:rPr>
        <w:t>c</w:t>
      </w:r>
      <w:r>
        <w:t xml:space="preserve"> </w:t>
      </w:r>
      <w:r>
        <w:rPr>
          <w:b/>
        </w:rPr>
        <w:t>disease phenotype according to the Montreal consensus</w:t>
      </w:r>
      <w:r>
        <w:rPr>
          <w:b/>
        </w:rPr>
        <w:br w:type="page"/>
      </w:r>
    </w:p>
    <w:tbl>
      <w:tblPr>
        <w:tblStyle w:val="Tabelraster"/>
        <w:tblW w:w="1244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719"/>
        <w:gridCol w:w="1504"/>
        <w:gridCol w:w="1792"/>
        <w:gridCol w:w="1524"/>
        <w:gridCol w:w="936"/>
        <w:gridCol w:w="1415"/>
        <w:gridCol w:w="1412"/>
        <w:gridCol w:w="850"/>
        <w:gridCol w:w="11"/>
      </w:tblGrid>
      <w:tr w:rsidR="004B6783" w:rsidRPr="008B6223" w:rsidTr="004B6783">
        <w:trPr>
          <w:trHeight w:val="340"/>
          <w:jc w:val="center"/>
        </w:trPr>
        <w:tc>
          <w:tcPr>
            <w:tcW w:w="12442" w:type="dxa"/>
            <w:gridSpan w:val="10"/>
            <w:tcBorders>
              <w:bottom w:val="single" w:sz="18" w:space="0" w:color="auto"/>
            </w:tcBorders>
          </w:tcPr>
          <w:p w:rsidR="004B6783" w:rsidRPr="00534C12" w:rsidRDefault="004B6783" w:rsidP="004B6783">
            <w:pPr>
              <w:spacing w:after="0"/>
            </w:pPr>
            <w:r>
              <w:rPr>
                <w:b/>
              </w:rPr>
              <w:lastRenderedPageBreak/>
              <w:t>Table S2</w:t>
            </w:r>
            <w:r>
              <w:t xml:space="preserve"> Patient characteristics of propensity-score matched ulcerative colitis patients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tcBorders>
              <w:bottom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</w:p>
        </w:tc>
        <w:tc>
          <w:tcPr>
            <w:tcW w:w="1504" w:type="dxa"/>
            <w:tcBorders>
              <w:bottom w:val="single" w:sz="18" w:space="0" w:color="auto"/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 xml:space="preserve">IMM </w:t>
            </w:r>
            <w:r>
              <w:br/>
              <w:t>non-user</w:t>
            </w:r>
            <w:r>
              <w:br/>
              <w:t>(N=114)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IMM</w:t>
            </w:r>
            <w:r>
              <w:br/>
              <w:t>user</w:t>
            </w:r>
            <w:r>
              <w:br/>
              <w:t>(N=114)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534C12" w:rsidRDefault="004B6783" w:rsidP="004B6783">
            <w:pPr>
              <w:spacing w:after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2F276A" w:rsidRDefault="004B6783" w:rsidP="004B6783">
            <w:pPr>
              <w:spacing w:after="0"/>
              <w:jc w:val="center"/>
            </w:pPr>
            <w:r>
              <w:t>anti-TNFα</w:t>
            </w:r>
            <w:r>
              <w:br/>
              <w:t>non-user</w:t>
            </w:r>
            <w:r>
              <w:br/>
              <w:t>(N=28)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anti-TNFα</w:t>
            </w:r>
            <w:r>
              <w:br/>
              <w:t>user</w:t>
            </w:r>
            <w:r>
              <w:br/>
              <w:t>(N=28)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tcBorders>
              <w:top w:val="single" w:sz="18" w:space="0" w:color="auto"/>
            </w:tcBorders>
            <w:vAlign w:val="center"/>
          </w:tcPr>
          <w:p w:rsidR="004B6783" w:rsidRPr="00EF703B" w:rsidRDefault="004B6783" w:rsidP="004B6783">
            <w:pPr>
              <w:spacing w:after="0"/>
              <w:rPr>
                <w:b/>
              </w:rPr>
            </w:pPr>
            <w:r w:rsidRPr="00EF703B">
              <w:rPr>
                <w:b/>
              </w:rPr>
              <w:t>Age</w:t>
            </w:r>
            <w:r w:rsidRPr="00EF703B">
              <w:rPr>
                <w:b/>
                <w:vertAlign w:val="superscript"/>
              </w:rPr>
              <w:t>a</w:t>
            </w:r>
            <w:r w:rsidRPr="00EF703B"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/>
            </w:pPr>
            <w:r w:rsidRPr="008B6223">
              <w:t>mean (SD)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43.2 (17.3)</w:t>
            </w:r>
          </w:p>
        </w:tc>
        <w:tc>
          <w:tcPr>
            <w:tcW w:w="1524" w:type="dxa"/>
            <w:tcBorders>
              <w:top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42.6 (16.2)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4B6783" w:rsidRPr="00534C12" w:rsidRDefault="004B6783" w:rsidP="004B6783">
            <w:pPr>
              <w:spacing w:after="0"/>
              <w:jc w:val="center"/>
            </w:pPr>
            <w:r w:rsidRPr="00964B85">
              <w:rPr>
                <w:i/>
              </w:rPr>
              <w:t>p=</w:t>
            </w:r>
            <w:r w:rsidRPr="00964B85">
              <w:t>0.</w:t>
            </w:r>
            <w:r>
              <w:t>80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B6783" w:rsidRPr="00174A24" w:rsidRDefault="004B6783" w:rsidP="004B6783">
            <w:pPr>
              <w:spacing w:after="0"/>
              <w:jc w:val="center"/>
            </w:pPr>
            <w:r>
              <w:t>42.2 (15.1)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4B6783" w:rsidRPr="00174A24" w:rsidRDefault="004B6783" w:rsidP="004B6783">
            <w:pPr>
              <w:spacing w:after="0"/>
              <w:jc w:val="center"/>
            </w:pPr>
            <w:r>
              <w:t>41.1 (17.4)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B6783" w:rsidRPr="008B6223" w:rsidRDefault="004B6783" w:rsidP="004B6783">
            <w:pPr>
              <w:spacing w:after="0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81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/>
              <w:rPr>
                <w:b/>
              </w:rPr>
            </w:pPr>
            <w:r w:rsidRPr="00EF703B">
              <w:rPr>
                <w:b/>
              </w:rPr>
              <w:t>Sex - male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63 (55.3)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/>
              <w:jc w:val="center"/>
            </w:pPr>
            <w:r>
              <w:t>63 (55.3)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  <w:r w:rsidRPr="00964B85">
              <w:rPr>
                <w:i/>
              </w:rPr>
              <w:t>p=</w:t>
            </w:r>
            <w:r>
              <w:t>1</w:t>
            </w:r>
            <w:r w:rsidRPr="00964B85">
              <w:t>.</w:t>
            </w:r>
            <w:r>
              <w:t>00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14 (50.0)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14 (50.0)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  <w:r w:rsidRPr="008B6223">
              <w:rPr>
                <w:i/>
              </w:rPr>
              <w:t>p</w:t>
            </w:r>
            <w:r>
              <w:t>=1.00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/>
              <w:rPr>
                <w:b/>
              </w:rPr>
            </w:pPr>
            <w:r w:rsidRPr="00EF703B">
              <w:rPr>
                <w:b/>
              </w:rPr>
              <w:t>Disease duration in years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/>
            </w:pPr>
            <w:r w:rsidRPr="008B6223">
              <w:t>median (IQR)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8.7 (5.6-15.4)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/>
              <w:jc w:val="center"/>
            </w:pPr>
            <w:r>
              <w:t>6.3 (3.4-10.4)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  <w:r w:rsidRPr="00964B85">
              <w:rPr>
                <w:i/>
              </w:rPr>
              <w:t>p</w:t>
            </w:r>
            <w:r>
              <w:t>&lt;</w:t>
            </w:r>
            <w:r w:rsidRPr="00964B85">
              <w:t>0.0</w:t>
            </w:r>
            <w:r>
              <w:t>1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9.2 (5.0-14.1)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3.1 (2.2-3.8)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  <w:r w:rsidRPr="008B6223">
              <w:rPr>
                <w:i/>
              </w:rPr>
              <w:t>p</w:t>
            </w:r>
            <w:r>
              <w:t>&lt;0.01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8B6223" w:rsidRDefault="004B6783" w:rsidP="004B6783">
            <w:pPr>
              <w:spacing w:after="0"/>
            </w:pP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/>
              <w:jc w:val="center"/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998" w:type="dxa"/>
            <w:gridSpan w:val="2"/>
            <w:vAlign w:val="center"/>
          </w:tcPr>
          <w:p w:rsidR="004B6783" w:rsidRPr="00EF703B" w:rsidRDefault="004B6783" w:rsidP="004B6783">
            <w:pPr>
              <w:spacing w:after="0"/>
              <w:rPr>
                <w:b/>
                <w:vertAlign w:val="superscript"/>
              </w:rPr>
            </w:pPr>
            <w:r w:rsidRPr="00EF703B">
              <w:rPr>
                <w:b/>
              </w:rPr>
              <w:t>Disease location</w:t>
            </w:r>
            <w:r w:rsidRPr="00EF703B">
              <w:rPr>
                <w:b/>
                <w:vertAlign w:val="superscript"/>
              </w:rPr>
              <w:t>a.c</w:t>
            </w:r>
          </w:p>
        </w:tc>
        <w:tc>
          <w:tcPr>
            <w:tcW w:w="1504" w:type="dxa"/>
            <w:tcBorders>
              <w:right w:val="single" w:sz="18" w:space="0" w:color="auto"/>
            </w:tcBorders>
          </w:tcPr>
          <w:p w:rsidR="004B6783" w:rsidRPr="008B6223" w:rsidRDefault="004B6783" w:rsidP="004B6783">
            <w:pPr>
              <w:spacing w:after="0"/>
            </w:pP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</w:p>
        </w:tc>
        <w:tc>
          <w:tcPr>
            <w:tcW w:w="1524" w:type="dxa"/>
          </w:tcPr>
          <w:p w:rsidR="004B6783" w:rsidRPr="00BE25F3" w:rsidRDefault="004B6783" w:rsidP="004B6783">
            <w:pPr>
              <w:spacing w:after="0"/>
              <w:jc w:val="center"/>
            </w:pP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80</w:t>
            </w: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  <w:r w:rsidRPr="008B6223">
              <w:rPr>
                <w:i/>
              </w:rPr>
              <w:t>p</w:t>
            </w:r>
            <w:r>
              <w:rPr>
                <w:i/>
              </w:rPr>
              <w:t>=</w:t>
            </w:r>
            <w:r w:rsidRPr="008B6223">
              <w:t>0.</w:t>
            </w:r>
            <w:r>
              <w:t>77</w:t>
            </w: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/>
            </w:pPr>
            <w:r>
              <w:t>E1 – proctitis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17 (15.0)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/>
              <w:jc w:val="center"/>
            </w:pPr>
            <w:r>
              <w:t>13 (11.4)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6 (21.4)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5 (17.9)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/>
            </w:pPr>
            <w:r>
              <w:t>E2 – left-sided disease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55 (48.7)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/>
              <w:jc w:val="center"/>
            </w:pPr>
            <w:r>
              <w:t>51 (44.7)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16 (57.1)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14 (50.0)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</w:p>
        </w:tc>
      </w:tr>
      <w:tr w:rsidR="004B6783" w:rsidRPr="008B6223" w:rsidTr="004B6783">
        <w:trPr>
          <w:gridAfter w:val="1"/>
          <w:wAfter w:w="11" w:type="dxa"/>
          <w:trHeight w:val="340"/>
          <w:jc w:val="center"/>
        </w:trPr>
        <w:tc>
          <w:tcPr>
            <w:tcW w:w="279" w:type="dxa"/>
            <w:vAlign w:val="center"/>
          </w:tcPr>
          <w:p w:rsidR="004B6783" w:rsidRPr="008B6223" w:rsidRDefault="004B6783" w:rsidP="004B6783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4B6783" w:rsidRPr="008B6223" w:rsidRDefault="004B6783" w:rsidP="004B6783">
            <w:pPr>
              <w:spacing w:after="0"/>
            </w:pPr>
            <w:r>
              <w:t>E3 – extensive disease</w:t>
            </w:r>
          </w:p>
        </w:tc>
        <w:tc>
          <w:tcPr>
            <w:tcW w:w="1504" w:type="dxa"/>
            <w:tcBorders>
              <w:right w:val="single" w:sz="18" w:space="0" w:color="auto"/>
            </w:tcBorders>
            <w:vAlign w:val="center"/>
          </w:tcPr>
          <w:p w:rsidR="004B6783" w:rsidRPr="008B6223" w:rsidRDefault="004B6783" w:rsidP="004B6783">
            <w:pPr>
              <w:spacing w:after="0"/>
            </w:pPr>
            <w:r w:rsidRPr="008B6223">
              <w:t>N (%)</w:t>
            </w:r>
          </w:p>
        </w:tc>
        <w:tc>
          <w:tcPr>
            <w:tcW w:w="1792" w:type="dxa"/>
            <w:tcBorders>
              <w:left w:val="single" w:sz="18" w:space="0" w:color="auto"/>
            </w:tcBorders>
          </w:tcPr>
          <w:p w:rsidR="004B6783" w:rsidRPr="008B6223" w:rsidRDefault="004B6783" w:rsidP="004B6783">
            <w:pPr>
              <w:spacing w:after="0"/>
              <w:jc w:val="center"/>
            </w:pPr>
            <w:r>
              <w:t>41 (36.3)</w:t>
            </w:r>
          </w:p>
        </w:tc>
        <w:tc>
          <w:tcPr>
            <w:tcW w:w="1524" w:type="dxa"/>
          </w:tcPr>
          <w:p w:rsidR="004B6783" w:rsidRPr="008B6223" w:rsidRDefault="004B6783" w:rsidP="004B6783">
            <w:pPr>
              <w:spacing w:after="0"/>
              <w:jc w:val="center"/>
            </w:pPr>
            <w:r>
              <w:t>50 (43.9)</w:t>
            </w:r>
          </w:p>
        </w:tc>
        <w:tc>
          <w:tcPr>
            <w:tcW w:w="936" w:type="dxa"/>
          </w:tcPr>
          <w:p w:rsidR="004B6783" w:rsidRPr="00534C12" w:rsidRDefault="004B6783" w:rsidP="004B6783">
            <w:pPr>
              <w:spacing w:after="0"/>
              <w:jc w:val="center"/>
            </w:pPr>
          </w:p>
        </w:tc>
        <w:tc>
          <w:tcPr>
            <w:tcW w:w="1415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6 (21.4)</w:t>
            </w:r>
          </w:p>
        </w:tc>
        <w:tc>
          <w:tcPr>
            <w:tcW w:w="1412" w:type="dxa"/>
          </w:tcPr>
          <w:p w:rsidR="004B6783" w:rsidRPr="00174A24" w:rsidRDefault="004B6783" w:rsidP="004B6783">
            <w:pPr>
              <w:spacing w:after="0"/>
              <w:jc w:val="center"/>
            </w:pPr>
            <w:r>
              <w:t>9 (32.1)</w:t>
            </w:r>
          </w:p>
        </w:tc>
        <w:tc>
          <w:tcPr>
            <w:tcW w:w="850" w:type="dxa"/>
          </w:tcPr>
          <w:p w:rsidR="004B6783" w:rsidRPr="008B6223" w:rsidRDefault="004B6783" w:rsidP="004B6783">
            <w:pPr>
              <w:spacing w:after="0"/>
            </w:pPr>
          </w:p>
        </w:tc>
      </w:tr>
    </w:tbl>
    <w:p w:rsidR="004B6783" w:rsidRPr="002F276A" w:rsidRDefault="004B6783" w:rsidP="004B6783">
      <w:pPr>
        <w:rPr>
          <w:b/>
        </w:rPr>
      </w:pPr>
      <w:r>
        <w:rPr>
          <w:b/>
        </w:rPr>
        <w:t>anti-TNFα: anti tumor necrosis factor α</w:t>
      </w:r>
      <w:r>
        <w:rPr>
          <w:b/>
          <w:vertAlign w:val="superscript"/>
        </w:rPr>
        <w:br/>
        <w:t>a</w:t>
      </w:r>
      <w:r>
        <w:rPr>
          <w:b/>
        </w:rPr>
        <w:t xml:space="preserve"> at diagnosis</w:t>
      </w:r>
      <w:r>
        <w:rPr>
          <w:b/>
        </w:rPr>
        <w:br/>
      </w:r>
      <w:r>
        <w:rPr>
          <w:vertAlign w:val="superscript"/>
        </w:rPr>
        <w:t>b</w:t>
      </w:r>
      <w:r>
        <w:t xml:space="preserve"> </w:t>
      </w:r>
      <w:r>
        <w:rPr>
          <w:b/>
        </w:rPr>
        <w:t>disease location according to the Montreal consensus</w:t>
      </w:r>
      <w:r>
        <w:rPr>
          <w:b/>
        </w:rPr>
        <w:br/>
      </w:r>
      <w:r>
        <w:rPr>
          <w:b/>
          <w:vertAlign w:val="superscript"/>
        </w:rPr>
        <w:t>c</w:t>
      </w:r>
      <w:r>
        <w:rPr>
          <w:b/>
        </w:rPr>
        <w:t xml:space="preserve"> disease location could not be retrieved in 13 cases</w:t>
      </w:r>
      <w:r>
        <w:rPr>
          <w:b/>
        </w:rPr>
        <w:br/>
        <w:t>smoking data were not available for UC patients</w:t>
      </w:r>
    </w:p>
    <w:p w:rsidR="00BF2D34" w:rsidRDefault="00BF2D34"/>
    <w:sectPr w:rsidR="00BF2D34" w:rsidSect="00622B17">
      <w:pgSz w:w="15840" w:h="12240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3"/>
    <w:rsid w:val="004B6783"/>
    <w:rsid w:val="00866AB8"/>
    <w:rsid w:val="00BF2D34"/>
    <w:rsid w:val="00E07979"/>
    <w:rsid w:val="00E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FEBB-98A2-4916-9A8D-6518F32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6783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67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4B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D68D-F1B0-4511-9F94-1154176C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Jeuring</dc:creator>
  <cp:keywords/>
  <dc:description/>
  <cp:lastModifiedBy>Steven Jeuring</cp:lastModifiedBy>
  <cp:revision>1</cp:revision>
  <dcterms:created xsi:type="dcterms:W3CDTF">2017-10-22T19:37:00Z</dcterms:created>
  <dcterms:modified xsi:type="dcterms:W3CDTF">2017-10-22T19:39:00Z</dcterms:modified>
</cp:coreProperties>
</file>