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Supplementary table 1.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SVR12 rates on each cancer category (N=153).</w:t>
      </w:r>
    </w:p>
    <w:tbl>
      <w:tblPr>
        <w:tblW w:w="8169" w:type="dxa"/>
        <w:jc w:val="center"/>
        <w:tblLook w:val="04A0" w:firstRow="1" w:lastRow="0" w:firstColumn="1" w:lastColumn="0" w:noHBand="0" w:noVBand="1"/>
      </w:tblPr>
      <w:tblGrid>
        <w:gridCol w:w="2360"/>
        <w:gridCol w:w="3073"/>
        <w:gridCol w:w="2736"/>
      </w:tblGrid>
      <w:tr>
        <w:trPr>
          <w:trHeight w:val="710"/>
          <w:jc w:val="center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Cancer category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Number of patients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SVR12 </w:t>
            </w:r>
          </w:p>
        </w:tc>
      </w:tr>
      <w:tr>
        <w:trPr>
          <w:trHeight w:val="608"/>
          <w:jc w:val="center"/>
        </w:trPr>
        <w:tc>
          <w:tcPr>
            <w:tcW w:w="23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B-cell NHL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97%</w:t>
            </w:r>
          </w:p>
        </w:tc>
      </w:tr>
      <w:tr>
        <w:trPr>
          <w:trHeight w:val="608"/>
          <w:jc w:val="center"/>
        </w:trPr>
        <w:tc>
          <w:tcPr>
            <w:tcW w:w="2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Breast</w:t>
            </w:r>
          </w:p>
        </w:tc>
        <w:tc>
          <w:tcPr>
            <w:tcW w:w="30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100%</w:t>
            </w:r>
          </w:p>
        </w:tc>
      </w:tr>
      <w:tr>
        <w:trPr>
          <w:trHeight w:val="608"/>
          <w:jc w:val="center"/>
        </w:trPr>
        <w:tc>
          <w:tcPr>
            <w:tcW w:w="2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Gastrointestinal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30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80%</w:t>
            </w:r>
          </w:p>
        </w:tc>
      </w:tr>
      <w:tr>
        <w:trPr>
          <w:trHeight w:val="608"/>
          <w:jc w:val="center"/>
        </w:trPr>
        <w:tc>
          <w:tcPr>
            <w:tcW w:w="2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Genitourinary</w:t>
            </w:r>
          </w:p>
        </w:tc>
        <w:tc>
          <w:tcPr>
            <w:tcW w:w="30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100%</w:t>
            </w:r>
          </w:p>
        </w:tc>
      </w:tr>
      <w:tr>
        <w:trPr>
          <w:trHeight w:val="608"/>
          <w:jc w:val="center"/>
        </w:trPr>
        <w:tc>
          <w:tcPr>
            <w:tcW w:w="2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Head and neck</w:t>
            </w:r>
          </w:p>
        </w:tc>
        <w:tc>
          <w:tcPr>
            <w:tcW w:w="30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89%</w:t>
            </w:r>
          </w:p>
        </w:tc>
      </w:tr>
      <w:tr>
        <w:trPr>
          <w:trHeight w:val="608"/>
          <w:jc w:val="center"/>
        </w:trPr>
        <w:tc>
          <w:tcPr>
            <w:tcW w:w="2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Leukemia</w:t>
            </w:r>
            <w:proofErr w:type="spellEnd"/>
          </w:p>
        </w:tc>
        <w:tc>
          <w:tcPr>
            <w:tcW w:w="30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91%</w:t>
            </w:r>
          </w:p>
        </w:tc>
      </w:tr>
      <w:tr>
        <w:trPr>
          <w:trHeight w:val="608"/>
          <w:jc w:val="center"/>
        </w:trPr>
        <w:tc>
          <w:tcPr>
            <w:tcW w:w="23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Lung</w:t>
            </w:r>
          </w:p>
        </w:tc>
        <w:tc>
          <w:tcPr>
            <w:tcW w:w="30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100%</w:t>
            </w:r>
          </w:p>
        </w:tc>
      </w:tr>
      <w:tr>
        <w:trPr>
          <w:trHeight w:val="603"/>
          <w:jc w:val="center"/>
        </w:trPr>
        <w:tc>
          <w:tcPr>
            <w:tcW w:w="236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Other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89%</w:t>
            </w:r>
          </w:p>
        </w:tc>
      </w:tr>
    </w:tbl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Abbreviations: SVR12, sustained </w:t>
      </w:r>
      <w:proofErr w:type="spellStart"/>
      <w:r>
        <w:rPr>
          <w:rFonts w:cs="Times New Roman"/>
          <w:szCs w:val="24"/>
        </w:rPr>
        <w:t>virological</w:t>
      </w:r>
      <w:proofErr w:type="spellEnd"/>
      <w:r>
        <w:rPr>
          <w:rFonts w:cs="Times New Roman"/>
          <w:szCs w:val="24"/>
        </w:rPr>
        <w:t xml:space="preserve"> response at 12 weeks after the end of treatment; NHL, non-Hodgkin’s lymphoma.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One patient had also hepatocellular carcinoma</w:t>
      </w:r>
    </w:p>
    <w:p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Anal cancer (2 patients), carcinoid </w:t>
      </w:r>
      <w:proofErr w:type="spellStart"/>
      <w:r>
        <w:rPr>
          <w:rFonts w:cs="Times New Roman"/>
          <w:szCs w:val="24"/>
        </w:rPr>
        <w:t>tumor</w:t>
      </w:r>
      <w:proofErr w:type="spellEnd"/>
      <w:r>
        <w:rPr>
          <w:rFonts w:cs="Times New Roman"/>
          <w:szCs w:val="24"/>
        </w:rPr>
        <w:t xml:space="preserve"> (1 patient), </w:t>
      </w:r>
      <w:proofErr w:type="spellStart"/>
      <w:r>
        <w:rPr>
          <w:rFonts w:cs="Times New Roman"/>
          <w:szCs w:val="24"/>
        </w:rPr>
        <w:t>cholangiocarcinoma</w:t>
      </w:r>
      <w:proofErr w:type="spellEnd"/>
      <w:r>
        <w:rPr>
          <w:rFonts w:cs="Times New Roman"/>
          <w:szCs w:val="24"/>
        </w:rPr>
        <w:t xml:space="preserve"> (3 patients), colon cancer (8 patients), </w:t>
      </w:r>
      <w:proofErr w:type="spellStart"/>
      <w:r>
        <w:rPr>
          <w:rFonts w:cs="Times New Roman"/>
          <w:szCs w:val="24"/>
        </w:rPr>
        <w:t>esophangeal</w:t>
      </w:r>
      <w:proofErr w:type="spellEnd"/>
      <w:r>
        <w:rPr>
          <w:rFonts w:cs="Times New Roman"/>
          <w:szCs w:val="24"/>
        </w:rPr>
        <w:t xml:space="preserve"> cancer (2 patients), </w:t>
      </w:r>
      <w:proofErr w:type="spellStart"/>
      <w:r>
        <w:rPr>
          <w:rFonts w:cs="Times New Roman"/>
          <w:szCs w:val="24"/>
        </w:rPr>
        <w:t>gastroesophangeal</w:t>
      </w:r>
      <w:proofErr w:type="spellEnd"/>
      <w:r>
        <w:rPr>
          <w:rFonts w:cs="Times New Roman"/>
          <w:szCs w:val="24"/>
        </w:rPr>
        <w:t xml:space="preserve"> junction cancer (1 patient), hepatocellular carcinoma (27 patients), stromal </w:t>
      </w:r>
      <w:proofErr w:type="spellStart"/>
      <w:r>
        <w:rPr>
          <w:rFonts w:cs="Times New Roman"/>
          <w:szCs w:val="24"/>
        </w:rPr>
        <w:t>tumor</w:t>
      </w:r>
      <w:proofErr w:type="spellEnd"/>
      <w:r>
        <w:rPr>
          <w:rFonts w:cs="Times New Roman"/>
          <w:szCs w:val="24"/>
        </w:rPr>
        <w:t xml:space="preserve"> (1 patient), pancreatic cancer (2 patients) and pancreatic cyst in 1 patient with family history of pancreatic cancer.</w:t>
      </w:r>
      <w:proofErr w:type="gramEnd"/>
    </w:p>
    <w:p>
      <w:pPr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Other types of cancer include astrocytoma, </w:t>
      </w:r>
      <w:proofErr w:type="spellStart"/>
      <w:r>
        <w:rPr>
          <w:rFonts w:cs="Times New Roman"/>
          <w:szCs w:val="24"/>
        </w:rPr>
        <w:t>lymphomatoid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papulosis</w:t>
      </w:r>
      <w:proofErr w:type="spellEnd"/>
      <w:r>
        <w:rPr>
          <w:rFonts w:cs="Times New Roman"/>
          <w:szCs w:val="24"/>
        </w:rPr>
        <w:t xml:space="preserve">, thyroid cancer (2 patients), melanoma (2 patients), basal cell carcinoma, squamous cell carcinoma of the skin, Ewing’s sarcoma. </w:t>
      </w:r>
    </w:p>
    <w:p>
      <w:pPr>
        <w:spacing w:after="1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>
      <w:pPr>
        <w:spacing w:after="160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lastRenderedPageBreak/>
        <w:t>Supplementary Table 2.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Demographic, viral, and cancer characteristics in HCV-infected cancer patients treated with 8 weeks of </w:t>
      </w:r>
      <w:proofErr w:type="spellStart"/>
      <w:r>
        <w:rPr>
          <w:rFonts w:cs="Times New Roman"/>
          <w:szCs w:val="24"/>
        </w:rPr>
        <w:t>ledipasvir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sofosbuvir</w:t>
      </w:r>
      <w:proofErr w:type="spellEnd"/>
      <w:r>
        <w:rPr>
          <w:rFonts w:cs="Times New Roman"/>
          <w:szCs w:val="24"/>
        </w:rPr>
        <w:t xml:space="preserve"> (N=17).</w:t>
      </w:r>
    </w:p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24"/>
        <w:gridCol w:w="25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Variable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 xml:space="preserve">Value 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Age, median (IQR), years</w:t>
            </w:r>
          </w:p>
        </w:tc>
        <w:tc>
          <w:tcPr>
            <w:tcW w:w="1362" w:type="pct"/>
            <w:tcBorders>
              <w:top w:val="single" w:sz="4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 (57-65)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Male sex</w:t>
            </w:r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(71)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Black race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(35)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Type of cancer 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2</w:t>
            </w:r>
          </w:p>
        </w:tc>
        <w:tc>
          <w:tcPr>
            <w:tcW w:w="1362" w:type="pct"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Hematologic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(18)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Solid</w:t>
            </w:r>
          </w:p>
        </w:tc>
        <w:tc>
          <w:tcPr>
            <w:tcW w:w="1362" w:type="pct"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(82)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  <w:vertAlign w:val="superscript"/>
              </w:rPr>
            </w:pPr>
            <w:r>
              <w:rPr>
                <w:rFonts w:cs="Times New Roman"/>
                <w:b w:val="0"/>
                <w:szCs w:val="24"/>
              </w:rPr>
              <w:t>HCT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3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3/3 (100)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Genotype 1</w:t>
            </w:r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(100)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Genotype 1a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 (76)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Genotype 1b</w:t>
            </w:r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(18)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Unspecified subtype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(6)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rs12979860 genotype CC 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4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5/14 (36)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Concomitant cancer therapy and SOFBT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(18)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Progressive cancer at SOFBT initiation</w:t>
            </w:r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(29)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No history of HCV treatment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(100)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Baseline log HCV RNA level, IU/ml, median (IQR)</w:t>
            </w:r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 (5.7-6.5)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  <w:vertAlign w:val="superscript"/>
              </w:rPr>
            </w:pPr>
            <w:r>
              <w:rPr>
                <w:rFonts w:cs="Times New Roman"/>
                <w:b w:val="0"/>
                <w:szCs w:val="24"/>
              </w:rPr>
              <w:t>Cirrhosis</w:t>
            </w:r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 (0)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Baseline WBC count, median (IQR), /</w:t>
            </w:r>
            <w:proofErr w:type="spellStart"/>
            <w:r>
              <w:rPr>
                <w:rFonts w:cs="Times New Roman"/>
                <w:b w:val="0"/>
                <w:szCs w:val="24"/>
              </w:rPr>
              <w:t>uL</w:t>
            </w:r>
            <w:proofErr w:type="spellEnd"/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5500 (4400-7600)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Baseline ANC, median (IQR), /</w:t>
            </w:r>
            <w:proofErr w:type="spellStart"/>
            <w:r>
              <w:rPr>
                <w:rFonts w:cs="Times New Roman"/>
                <w:b w:val="0"/>
                <w:szCs w:val="24"/>
              </w:rPr>
              <w:t>uL</w:t>
            </w:r>
            <w:proofErr w:type="spellEnd"/>
          </w:p>
        </w:tc>
        <w:tc>
          <w:tcPr>
            <w:tcW w:w="1362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3310 (2320-4330)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Baseline ALC, median (IQR), /</w:t>
            </w:r>
            <w:proofErr w:type="spellStart"/>
            <w:r>
              <w:rPr>
                <w:rFonts w:cs="Times New Roman"/>
                <w:b w:val="0"/>
                <w:szCs w:val="24"/>
              </w:rPr>
              <w:t>uL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1362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1550 (1250-1900)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none" w:sz="0" w:space="0" w:color="auto"/>
              <w:bottom w:val="single" w:sz="4" w:space="0" w:color="auto"/>
            </w:tcBorders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SVR12 </w:t>
            </w:r>
          </w:p>
        </w:tc>
        <w:tc>
          <w:tcPr>
            <w:tcW w:w="1362" w:type="pct"/>
            <w:tcBorders>
              <w:top w:val="none" w:sz="0" w:space="0" w:color="auto"/>
              <w:bottom w:val="single" w:sz="4" w:space="0" w:color="auto"/>
            </w:tcBorders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15/15 (100)</w:t>
            </w:r>
          </w:p>
        </w:tc>
      </w:tr>
    </w:tbl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Abbreviations: HCV, hepatitis C virus; ALC, absolute lymphocyte count; ALT, alanine aminotransferase; ANC, absolute neutrophil count; AST, aspartate aminotransferase; BMI, body mass index; </w:t>
      </w:r>
      <w:proofErr w:type="spellStart"/>
      <w:r>
        <w:rPr>
          <w:rFonts w:cs="Times New Roman"/>
          <w:szCs w:val="24"/>
        </w:rPr>
        <w:t>Hb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hemoglobin</w:t>
      </w:r>
      <w:proofErr w:type="spellEnd"/>
      <w:r>
        <w:rPr>
          <w:rFonts w:cs="Times New Roman"/>
          <w:szCs w:val="24"/>
        </w:rPr>
        <w:t xml:space="preserve">; HCT, hematopoietic cell transplant; IQR, interquartile range; SOFBT, </w:t>
      </w:r>
      <w:proofErr w:type="spellStart"/>
      <w:r>
        <w:rPr>
          <w:rFonts w:cs="Times New Roman"/>
          <w:szCs w:val="24"/>
        </w:rPr>
        <w:t>sofosbuvir</w:t>
      </w:r>
      <w:proofErr w:type="spellEnd"/>
      <w:r>
        <w:rPr>
          <w:rFonts w:cs="Times New Roman"/>
          <w:szCs w:val="24"/>
        </w:rPr>
        <w:t>-based therapy; WBC, white blood cells.</w:t>
      </w:r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Values in table are number of patients (percentage) unless otherwise indicated.</w:t>
      </w:r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Solid </w:t>
      </w:r>
      <w:proofErr w:type="spellStart"/>
      <w:r>
        <w:rPr>
          <w:rFonts w:cs="Times New Roman"/>
          <w:szCs w:val="24"/>
        </w:rPr>
        <w:t>tumors</w:t>
      </w:r>
      <w:proofErr w:type="spellEnd"/>
      <w:r>
        <w:rPr>
          <w:rFonts w:cs="Times New Roman"/>
          <w:szCs w:val="24"/>
        </w:rPr>
        <w:t xml:space="preserve"> were anal cancer (2), head and neck cancer (2), ovarian cancer (2), prostate cancer (2), renal cancer (1), gastrointestinal stromal </w:t>
      </w:r>
      <w:proofErr w:type="spellStart"/>
      <w:r>
        <w:rPr>
          <w:rFonts w:cs="Times New Roman"/>
          <w:szCs w:val="24"/>
        </w:rPr>
        <w:t>tumor</w:t>
      </w:r>
      <w:proofErr w:type="spellEnd"/>
      <w:r>
        <w:rPr>
          <w:rFonts w:cs="Times New Roman"/>
          <w:szCs w:val="24"/>
        </w:rPr>
        <w:t xml:space="preserve"> (1), breast cancer (1), lung cancer (2), and metastatic thyroid cancer (1). Hematologic malignancies were multiple myeloma (2) and acute myeloid </w:t>
      </w:r>
      <w:proofErr w:type="spellStart"/>
      <w:r>
        <w:rPr>
          <w:rFonts w:cs="Times New Roman"/>
          <w:szCs w:val="24"/>
        </w:rPr>
        <w:t>leukemia</w:t>
      </w:r>
      <w:proofErr w:type="spellEnd"/>
      <w:r>
        <w:rPr>
          <w:rFonts w:cs="Times New Roman"/>
          <w:szCs w:val="24"/>
        </w:rPr>
        <w:t xml:space="preserve"> (1).</w:t>
      </w:r>
    </w:p>
    <w:p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Based only on patients with hematologic malignancies.</w:t>
      </w:r>
      <w:proofErr w:type="gramEnd"/>
    </w:p>
    <w:p>
      <w:pPr>
        <w:jc w:val="both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4 </w:t>
      </w:r>
      <w:r>
        <w:rPr>
          <w:rFonts w:cs="Times New Roman"/>
          <w:szCs w:val="24"/>
        </w:rPr>
        <w:t xml:space="preserve">Previously known as </w:t>
      </w:r>
      <w:r>
        <w:rPr>
          <w:rFonts w:cs="Times New Roman"/>
          <w:i/>
          <w:szCs w:val="24"/>
        </w:rPr>
        <w:t>IL28B</w:t>
      </w:r>
      <w:r>
        <w:rPr>
          <w:rFonts w:cs="Times New Roman"/>
          <w:szCs w:val="24"/>
        </w:rPr>
        <w:t xml:space="preserve"> genotype</w:t>
      </w:r>
    </w:p>
    <w:p>
      <w:p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Supplementary Table 3.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Demographic, viral, cancer, and treatment characteristics and adverse events (AEs) in HCV-infected patients with hepatocellular carcinoma (HCC) (N=27).</w:t>
      </w:r>
    </w:p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408"/>
        <w:gridCol w:w="18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Variable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 xml:space="preserve">Value 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single" w:sz="4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Race/ethnicity</w:t>
            </w:r>
          </w:p>
        </w:tc>
        <w:tc>
          <w:tcPr>
            <w:tcW w:w="986" w:type="pct"/>
            <w:tcBorders>
              <w:top w:val="single" w:sz="4" w:space="0" w:color="auto"/>
              <w:bottom w:val="none" w:sz="0" w:space="0" w:color="auto"/>
            </w:tcBorders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White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(56)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Black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(15)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Hispanic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(11)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Other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(18)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Age, median (IQR), years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 (56-65)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Male sex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(85)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HCV genotype</w:t>
            </w:r>
          </w:p>
          <w:p>
            <w:pPr>
              <w:ind w:left="342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</w:p>
          <w:p>
            <w:pPr>
              <w:ind w:left="342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</w:t>
            </w:r>
          </w:p>
          <w:p>
            <w:pPr>
              <w:ind w:left="342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3</w:t>
            </w:r>
          </w:p>
          <w:p>
            <w:pPr>
              <w:ind w:left="342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6</w:t>
            </w:r>
          </w:p>
          <w:p>
            <w:pPr>
              <w:ind w:left="342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Mixed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2</w:t>
            </w:r>
          </w:p>
        </w:tc>
        <w:tc>
          <w:tcPr>
            <w:tcW w:w="1207" w:type="pct"/>
            <w:gridSpan w:val="2"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>
            <w:pPr>
              <w:ind w:left="4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(67)</w:t>
            </w:r>
          </w:p>
          <w:p>
            <w:pPr>
              <w:ind w:left="4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(11)</w:t>
            </w:r>
          </w:p>
          <w:p>
            <w:pPr>
              <w:ind w:left="4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(7)</w:t>
            </w:r>
          </w:p>
          <w:p>
            <w:pPr>
              <w:ind w:left="4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(4)</w:t>
            </w:r>
          </w:p>
          <w:p>
            <w:pPr>
              <w:ind w:left="4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(11)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rs12979860 genotype CC 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3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4/22 (18)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Treatment regimen</w:t>
            </w:r>
          </w:p>
        </w:tc>
        <w:tc>
          <w:tcPr>
            <w:tcW w:w="986" w:type="pct"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SOF+RBV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(15)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SOF+SMV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(11)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LDV/SOF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(59)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SOF/VEL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(15)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HCV treatment naive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(78)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jc w:val="both"/>
              <w:rPr>
                <w:rFonts w:cs="Times New Roman"/>
                <w:b w:val="0"/>
                <w:szCs w:val="24"/>
                <w:vertAlign w:val="superscript"/>
              </w:rPr>
            </w:pPr>
            <w:r>
              <w:rPr>
                <w:rFonts w:cs="Times New Roman"/>
                <w:b w:val="0"/>
                <w:szCs w:val="24"/>
              </w:rPr>
              <w:t xml:space="preserve">Treatment compliance 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 (93)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Any AEs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(26)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Hematologic AEs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(7)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  <w:vertAlign w:val="superscript"/>
              </w:rPr>
            </w:pPr>
            <w:r>
              <w:rPr>
                <w:rFonts w:cs="Times New Roman"/>
                <w:b w:val="0"/>
                <w:szCs w:val="24"/>
              </w:rPr>
              <w:t xml:space="preserve">Serious AEs 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5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(4)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jc w:val="both"/>
              <w:rPr>
                <w:rFonts w:cs="Times New Roman"/>
                <w:b w:val="0"/>
                <w:szCs w:val="24"/>
                <w:vertAlign w:val="superscript"/>
              </w:rPr>
            </w:pPr>
            <w:r>
              <w:rPr>
                <w:rFonts w:cs="Times New Roman"/>
                <w:b w:val="0"/>
                <w:szCs w:val="24"/>
              </w:rPr>
              <w:t>Tumor stage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6</w:t>
            </w:r>
          </w:p>
        </w:tc>
        <w:tc>
          <w:tcPr>
            <w:tcW w:w="986" w:type="pct"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(22)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3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(37)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4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(41)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Child-Pugh score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A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(81)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(15)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ind w:left="288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C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Concomitant cancer therapy and SOFBT 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6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  <w:hideMark/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(22)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hideMark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>
              <w:rPr>
                <w:rFonts w:cs="Times New Roman"/>
                <w:b w:val="0"/>
                <w:szCs w:val="24"/>
              </w:rPr>
              <w:t>Unresectable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HCC</w:t>
            </w:r>
          </w:p>
        </w:tc>
        <w:tc>
          <w:tcPr>
            <w:tcW w:w="986" w:type="pct"/>
            <w:hideMark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(30)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SVR12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7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</w:tcBorders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16/24 (67)</w:t>
            </w:r>
          </w:p>
        </w:tc>
      </w:tr>
      <w:tr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 novo HCC within 6 months after SOFBT</w:t>
            </w:r>
          </w:p>
        </w:tc>
        <w:tc>
          <w:tcPr>
            <w:tcW w:w="986" w:type="pct"/>
          </w:tcPr>
          <w:p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pct"/>
            <w:gridSpan w:val="2"/>
            <w:tcBorders>
              <w:top w:val="none" w:sz="0" w:space="0" w:color="auto"/>
              <w:bottom w:val="single" w:sz="4" w:space="0" w:color="auto"/>
            </w:tcBorders>
          </w:tcPr>
          <w:p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HCC relapse within 6 months after SOFBT</w:t>
            </w:r>
            <w:r>
              <w:rPr>
                <w:rFonts w:cs="Times New Roman"/>
                <w:b w:val="0"/>
                <w:szCs w:val="24"/>
                <w:vertAlign w:val="superscript"/>
              </w:rPr>
              <w:t>8</w:t>
            </w:r>
          </w:p>
        </w:tc>
        <w:tc>
          <w:tcPr>
            <w:tcW w:w="986" w:type="pct"/>
            <w:tcBorders>
              <w:top w:val="none" w:sz="0" w:space="0" w:color="auto"/>
              <w:bottom w:val="single" w:sz="4" w:space="0" w:color="auto"/>
            </w:tcBorders>
          </w:tcPr>
          <w:p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2/20 (10)</w:t>
            </w:r>
          </w:p>
        </w:tc>
      </w:tr>
    </w:tbl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Abbreviations: HCV, hepatitis C virus, LDV, </w:t>
      </w:r>
      <w:proofErr w:type="spellStart"/>
      <w:r>
        <w:rPr>
          <w:rFonts w:cs="Times New Roman"/>
          <w:szCs w:val="24"/>
        </w:rPr>
        <w:t>ledipasvir</w:t>
      </w:r>
      <w:proofErr w:type="spellEnd"/>
      <w:r>
        <w:rPr>
          <w:rFonts w:cs="Times New Roman"/>
          <w:szCs w:val="24"/>
        </w:rPr>
        <w:t xml:space="preserve">; IQR, interquartile range; RBV, ribavirin; SMV, </w:t>
      </w:r>
      <w:proofErr w:type="spellStart"/>
      <w:r>
        <w:rPr>
          <w:rFonts w:cs="Times New Roman"/>
          <w:szCs w:val="24"/>
        </w:rPr>
        <w:t>simeprevir</w:t>
      </w:r>
      <w:proofErr w:type="spellEnd"/>
      <w:r>
        <w:rPr>
          <w:rFonts w:cs="Times New Roman"/>
          <w:szCs w:val="24"/>
        </w:rPr>
        <w:t xml:space="preserve">; SOF, </w:t>
      </w:r>
      <w:proofErr w:type="spellStart"/>
      <w:r>
        <w:rPr>
          <w:rFonts w:cs="Times New Roman"/>
          <w:szCs w:val="24"/>
        </w:rPr>
        <w:t>sofosbuvir</w:t>
      </w:r>
      <w:proofErr w:type="spellEnd"/>
      <w:r>
        <w:rPr>
          <w:rFonts w:cs="Times New Roman"/>
          <w:szCs w:val="24"/>
        </w:rPr>
        <w:t xml:space="preserve">; VEL, </w:t>
      </w:r>
      <w:proofErr w:type="spellStart"/>
      <w:r>
        <w:rPr>
          <w:rFonts w:cs="Times New Roman"/>
          <w:szCs w:val="24"/>
        </w:rPr>
        <w:t>velpatasvir</w:t>
      </w:r>
      <w:proofErr w:type="spellEnd"/>
      <w:r>
        <w:rPr>
          <w:rFonts w:cs="Times New Roman"/>
          <w:szCs w:val="24"/>
        </w:rPr>
        <w:t>.</w:t>
      </w:r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Values in table are number of patients (percentage) unless otherwise indicated.</w:t>
      </w:r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One patient had genotypes 1 and 6 and the other had genotypes 1 and 4</w:t>
      </w:r>
    </w:p>
    <w:p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 xml:space="preserve">3 </w:t>
      </w:r>
      <w:r>
        <w:rPr>
          <w:rFonts w:cs="Times New Roman"/>
          <w:szCs w:val="24"/>
        </w:rPr>
        <w:t xml:space="preserve">Previously known as </w:t>
      </w:r>
      <w:r>
        <w:rPr>
          <w:rFonts w:cs="Times New Roman"/>
          <w:i/>
          <w:szCs w:val="24"/>
        </w:rPr>
        <w:t>IL28B</w:t>
      </w:r>
      <w:r>
        <w:rPr>
          <w:rFonts w:cs="Times New Roman"/>
          <w:szCs w:val="24"/>
        </w:rPr>
        <w:t xml:space="preserve"> genotype.</w:t>
      </w:r>
      <w:proofErr w:type="gramEnd"/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4</w:t>
      </w:r>
      <w:r>
        <w:rPr>
          <w:rFonts w:cs="Times New Roman"/>
          <w:szCs w:val="24"/>
        </w:rPr>
        <w:t xml:space="preserve">Serious AEs included grade 3 and grade 4 AEs. AEs were graded according to the Division of AIDS Table for Grading the Severity of Adult and </w:t>
      </w:r>
      <w:proofErr w:type="spellStart"/>
      <w:r>
        <w:rPr>
          <w:rFonts w:cs="Times New Roman"/>
          <w:szCs w:val="24"/>
        </w:rPr>
        <w:t>Pediatric</w:t>
      </w:r>
      <w:proofErr w:type="spellEnd"/>
      <w:r>
        <w:rPr>
          <w:rFonts w:cs="Times New Roman"/>
          <w:szCs w:val="24"/>
        </w:rPr>
        <w:t xml:space="preserve"> Adverse Events, version 2.0.</w:t>
      </w:r>
    </w:p>
    <w:p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>5</w:t>
      </w:r>
      <w:r>
        <w:rPr>
          <w:rFonts w:cs="Times New Roman"/>
          <w:szCs w:val="24"/>
        </w:rPr>
        <w:t>Based on TNM staging.</w:t>
      </w:r>
      <w:proofErr w:type="gramEnd"/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6</w:t>
      </w:r>
      <w:r>
        <w:rPr>
          <w:rFonts w:cs="Times New Roman"/>
          <w:szCs w:val="24"/>
        </w:rPr>
        <w:t>The cancer therapy drugs included alkylating agents (</w:t>
      </w:r>
      <w:proofErr w:type="spellStart"/>
      <w:r>
        <w:rPr>
          <w:rFonts w:cs="Times New Roman"/>
          <w:szCs w:val="24"/>
        </w:rPr>
        <w:t>oxaliplatin</w:t>
      </w:r>
      <w:proofErr w:type="spellEnd"/>
      <w:r>
        <w:rPr>
          <w:rFonts w:cs="Times New Roman"/>
          <w:szCs w:val="24"/>
        </w:rPr>
        <w:t>), antimetabolites (gemcitabine), and targeted therapy (</w:t>
      </w:r>
      <w:proofErr w:type="spellStart"/>
      <w:r>
        <w:rPr>
          <w:rFonts w:cs="Times New Roman"/>
          <w:szCs w:val="24"/>
        </w:rPr>
        <w:t>sorafenib</w:t>
      </w:r>
      <w:proofErr w:type="spellEnd"/>
      <w:r>
        <w:rPr>
          <w:rFonts w:cs="Times New Roman"/>
          <w:szCs w:val="24"/>
        </w:rPr>
        <w:t>).</w:t>
      </w:r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7</w:t>
      </w:r>
      <w:r>
        <w:rPr>
          <w:rFonts w:cs="Times New Roman"/>
          <w:szCs w:val="24"/>
        </w:rPr>
        <w:t xml:space="preserve"> SVR12 rates were 75% (3/4) for SOF+RBV, 66% (2/3) for SOF+SMV, </w:t>
      </w:r>
    </w:p>
    <w:p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(G1a, 62% [8/13], G1b, 50% [1/2]), 100% (3/3) in G2, and 0% (0/2) in G3; and 71% (12/17) in patients with </w:t>
      </w:r>
      <w:proofErr w:type="spellStart"/>
      <w:r>
        <w:rPr>
          <w:rFonts w:cs="Times New Roman"/>
          <w:szCs w:val="24"/>
        </w:rPr>
        <w:t>resectable</w:t>
      </w:r>
      <w:proofErr w:type="spellEnd"/>
      <w:r>
        <w:rPr>
          <w:rFonts w:cs="Times New Roman"/>
          <w:szCs w:val="24"/>
        </w:rPr>
        <w:t xml:space="preserve"> HCC and 57% (4/7) in patients with </w:t>
      </w:r>
      <w:proofErr w:type="spellStart"/>
      <w:r>
        <w:rPr>
          <w:rFonts w:cs="Times New Roman"/>
          <w:szCs w:val="24"/>
        </w:rPr>
        <w:t>unresectable</w:t>
      </w:r>
      <w:proofErr w:type="spellEnd"/>
      <w:r>
        <w:rPr>
          <w:rFonts w:cs="Times New Roman"/>
          <w:szCs w:val="24"/>
        </w:rPr>
        <w:t xml:space="preserve"> HCC.</w:t>
      </w:r>
      <w:proofErr w:type="gramEnd"/>
      <w:r>
        <w:rPr>
          <w:rFonts w:cs="Times New Roman"/>
          <w:szCs w:val="24"/>
          <w:vertAlign w:val="superscript"/>
        </w:rPr>
        <w:t xml:space="preserve"> </w:t>
      </w:r>
    </w:p>
    <w:p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8 </w:t>
      </w:r>
      <w:r>
        <w:rPr>
          <w:rFonts w:cs="Times New Roman"/>
          <w:szCs w:val="24"/>
        </w:rPr>
        <w:t>In patients treated with curative approaches for HCC.</w:t>
      </w:r>
    </w:p>
    <w:p/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Saklani</dc:creator>
  <cp:lastModifiedBy>Vimal Saklani</cp:lastModifiedBy>
  <cp:revision>1</cp:revision>
  <dcterms:created xsi:type="dcterms:W3CDTF">2018-10-05T19:42:00Z</dcterms:created>
  <dcterms:modified xsi:type="dcterms:W3CDTF">2018-10-05T19:42:00Z</dcterms:modified>
</cp:coreProperties>
</file>