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2" w:rsidRPr="00003ED1" w:rsidRDefault="00B65782" w:rsidP="00B65782">
      <w:pPr>
        <w:spacing w:line="480" w:lineRule="auto"/>
        <w:outlineLvl w:val="0"/>
        <w:rPr>
          <w:rFonts w:cstheme="minorHAnsi"/>
          <w:b/>
        </w:rPr>
      </w:pPr>
      <w:r w:rsidRPr="00003ED1">
        <w:rPr>
          <w:rFonts w:cstheme="minorHAnsi"/>
          <w:b/>
        </w:rPr>
        <w:t>Supplemental Tables and Legends:</w:t>
      </w:r>
    </w:p>
    <w:p w:rsidR="00BA1845" w:rsidRPr="00003ED1" w:rsidRDefault="00BA1845" w:rsidP="00B65782">
      <w:pPr>
        <w:spacing w:line="480" w:lineRule="auto"/>
        <w:rPr>
          <w:rFonts w:cstheme="minorHAnsi"/>
          <w:b/>
        </w:rPr>
      </w:pPr>
      <w:bookmarkStart w:id="0" w:name="_GoBack"/>
      <w:bookmarkEnd w:id="0"/>
    </w:p>
    <w:p w:rsidR="00B65782" w:rsidRPr="00003ED1" w:rsidRDefault="00B65782" w:rsidP="00B65782">
      <w:pPr>
        <w:spacing w:line="480" w:lineRule="auto"/>
        <w:outlineLvl w:val="0"/>
        <w:rPr>
          <w:rFonts w:cstheme="minorHAnsi"/>
          <w:b/>
        </w:rPr>
      </w:pPr>
      <w:r w:rsidRPr="00003ED1">
        <w:rPr>
          <w:rFonts w:cstheme="minorHAnsi"/>
          <w:b/>
        </w:rPr>
        <w:t xml:space="preserve">Supplementary Table: </w:t>
      </w:r>
    </w:p>
    <w:p w:rsidR="00B65782" w:rsidRPr="00003ED1" w:rsidRDefault="00B65782" w:rsidP="00B65782">
      <w:pPr>
        <w:spacing w:line="480" w:lineRule="auto"/>
        <w:outlineLvl w:val="0"/>
        <w:rPr>
          <w:rFonts w:cstheme="minorHAnsi"/>
          <w:b/>
        </w:rPr>
      </w:pPr>
      <w:r w:rsidRPr="00003ED1">
        <w:rPr>
          <w:rFonts w:cstheme="minorHAnsi"/>
          <w:b/>
        </w:rPr>
        <w:t>Clinical outcomes of non-EoE subjects presenting with initial indication dysphagia</w:t>
      </w:r>
    </w:p>
    <w:tbl>
      <w:tblPr>
        <w:tblStyle w:val="LightShading"/>
        <w:tblW w:w="9918" w:type="dxa"/>
        <w:tblLook w:val="04A0" w:firstRow="1" w:lastRow="0" w:firstColumn="1" w:lastColumn="0" w:noHBand="0" w:noVBand="1"/>
      </w:tblPr>
      <w:tblGrid>
        <w:gridCol w:w="1278"/>
        <w:gridCol w:w="2464"/>
        <w:gridCol w:w="1676"/>
        <w:gridCol w:w="4500"/>
      </w:tblGrid>
      <w:tr w:rsidR="00B65782" w:rsidRPr="00003ED1" w:rsidTr="00F4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Age (Years)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Other Symptoms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Outcome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Outcome Details</w:t>
            </w:r>
          </w:p>
        </w:tc>
      </w:tr>
      <w:tr w:rsidR="00B65782" w:rsidRPr="00003ED1" w:rsidTr="00F4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Abdominal pain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PPI discontinued</w:t>
            </w:r>
          </w:p>
        </w:tc>
      </w:tr>
      <w:tr w:rsidR="00B65782" w:rsidRPr="00003ED1" w:rsidTr="00F457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(Manometry scheduled but cancelled given patient improvement.)</w:t>
            </w:r>
          </w:p>
        </w:tc>
      </w:tr>
      <w:tr w:rsidR="00B65782" w:rsidRPr="00003ED1" w:rsidTr="00F4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Abdominal pain, constipation, weight loss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 xml:space="preserve">Treated with cyproheptadine. Symptoms resolved. Medications discontinued. </w:t>
            </w:r>
          </w:p>
        </w:tc>
      </w:tr>
      <w:tr w:rsidR="00B65782" w:rsidRPr="00003ED1" w:rsidTr="00F457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PPI discontinued. Likely functional globus</w:t>
            </w:r>
          </w:p>
        </w:tc>
      </w:tr>
      <w:tr w:rsidR="00B65782" w:rsidRPr="00003ED1" w:rsidTr="00F4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15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No GI follow-up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 xml:space="preserve">Recommended 12 weeks PPI with plan to discontinue.  </w:t>
            </w:r>
          </w:p>
        </w:tc>
      </w:tr>
      <w:tr w:rsidR="00B65782" w:rsidRPr="00003ED1" w:rsidTr="00F457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16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PPI discontinued</w:t>
            </w:r>
          </w:p>
        </w:tc>
      </w:tr>
      <w:tr w:rsidR="00B65782" w:rsidRPr="00003ED1" w:rsidTr="00F4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Globus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No GI follow-up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No follow up since EGD</w:t>
            </w:r>
          </w:p>
        </w:tc>
      </w:tr>
      <w:tr w:rsidR="00B65782" w:rsidRPr="00003ED1" w:rsidTr="00F457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Reflux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Non-Erosive GERD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PPI discontinued</w:t>
            </w:r>
          </w:p>
        </w:tc>
      </w:tr>
      <w:tr w:rsidR="00B65782" w:rsidRPr="00003ED1" w:rsidTr="00F4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Resolved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Symptoms resolved. PPI discontinued</w:t>
            </w:r>
          </w:p>
        </w:tc>
      </w:tr>
      <w:tr w:rsidR="00B65782" w:rsidRPr="00003ED1" w:rsidTr="00F457C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03ED1">
              <w:rPr>
                <w:rFonts w:cstheme="minorHAnsi"/>
                <w:b w:val="0"/>
                <w:sz w:val="22"/>
                <w:szCs w:val="22"/>
              </w:rPr>
              <w:t>18</w:t>
            </w:r>
          </w:p>
        </w:tc>
        <w:tc>
          <w:tcPr>
            <w:tcW w:w="2464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Heartburn</w:t>
            </w:r>
          </w:p>
        </w:tc>
        <w:tc>
          <w:tcPr>
            <w:tcW w:w="1676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No GI follow-up</w:t>
            </w:r>
          </w:p>
        </w:tc>
        <w:tc>
          <w:tcPr>
            <w:tcW w:w="4500" w:type="dxa"/>
            <w:noWrap/>
            <w:vAlign w:val="center"/>
            <w:hideMark/>
          </w:tcPr>
          <w:p w:rsidR="00B65782" w:rsidRPr="00003ED1" w:rsidRDefault="00B65782" w:rsidP="00F457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003ED1">
              <w:rPr>
                <w:rFonts w:cstheme="minorHAnsi"/>
                <w:sz w:val="22"/>
                <w:szCs w:val="22"/>
              </w:rPr>
              <w:t>pH probe normal.  No further follow up.</w:t>
            </w:r>
          </w:p>
        </w:tc>
      </w:tr>
    </w:tbl>
    <w:p w:rsidR="00B65782" w:rsidRPr="00003ED1" w:rsidRDefault="00B65782" w:rsidP="00B65782">
      <w:pPr>
        <w:spacing w:line="480" w:lineRule="auto"/>
        <w:rPr>
          <w:rFonts w:cstheme="minorHAnsi"/>
          <w:b/>
        </w:rPr>
      </w:pPr>
    </w:p>
    <w:p w:rsidR="00B65782" w:rsidRPr="00003ED1" w:rsidRDefault="00B65782" w:rsidP="00B65782">
      <w:pPr>
        <w:spacing w:line="480" w:lineRule="auto"/>
        <w:rPr>
          <w:rFonts w:cstheme="minorHAnsi"/>
          <w:bCs/>
        </w:rPr>
      </w:pPr>
      <w:r w:rsidRPr="00003ED1">
        <w:rPr>
          <w:rFonts w:cstheme="minorHAnsi"/>
          <w:b/>
        </w:rPr>
        <w:t>S1:</w:t>
      </w:r>
      <w:r w:rsidRPr="00003ED1">
        <w:rPr>
          <w:rFonts w:cstheme="minorHAnsi"/>
        </w:rPr>
        <w:t xml:space="preserve"> </w:t>
      </w:r>
      <w:r w:rsidRPr="00003ED1">
        <w:rPr>
          <w:rFonts w:cstheme="minorHAnsi"/>
          <w:bCs/>
        </w:rPr>
        <w:t xml:space="preserve">Regression and prediction intervals for distensibility of the esophageal lumen across age, height and weight in A-C) non-EoE controls and D-F) EoE subjects. </w:t>
      </w:r>
    </w:p>
    <w:p w:rsidR="00ED3E0D" w:rsidRDefault="00ED3E0D"/>
    <w:sectPr w:rsidR="00ED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2"/>
    <w:rsid w:val="0016297F"/>
    <w:rsid w:val="008D76C2"/>
    <w:rsid w:val="00B65782"/>
    <w:rsid w:val="00BA1845"/>
    <w:rsid w:val="00ED3E0D"/>
    <w:rsid w:val="00FC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6578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6578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KC.Lalitha</dc:creator>
  <cp:lastModifiedBy>KC.Lalitha</cp:lastModifiedBy>
  <cp:revision>3</cp:revision>
  <dcterms:created xsi:type="dcterms:W3CDTF">2017-05-12T08:08:00Z</dcterms:created>
  <dcterms:modified xsi:type="dcterms:W3CDTF">2017-05-12T08:08:00Z</dcterms:modified>
</cp:coreProperties>
</file>