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269F" w14:textId="77777777" w:rsidR="00B83023" w:rsidRDefault="00B83023" w:rsidP="00391ACC">
      <w:r>
        <w:t xml:space="preserve">Supplementary Material for </w:t>
      </w:r>
    </w:p>
    <w:p w14:paraId="489D86FD" w14:textId="77777777" w:rsidR="00B83023" w:rsidRDefault="00B83023">
      <w:r>
        <w:t>“</w:t>
      </w:r>
      <w:r w:rsidRPr="00403571">
        <w:t>Alcohol consumption and risk of liver cirrhosis: a systematic review and meta-analysis</w:t>
      </w:r>
      <w:r>
        <w:t>” by</w:t>
      </w:r>
    </w:p>
    <w:p w14:paraId="5E5080F5" w14:textId="65182C93" w:rsidR="00B83023" w:rsidRDefault="00B83023">
      <w:r>
        <w:t xml:space="preserve">Michael </w:t>
      </w:r>
      <w:proofErr w:type="spellStart"/>
      <w:r>
        <w:t>Roerecke</w:t>
      </w:r>
      <w:proofErr w:type="spellEnd"/>
      <w:r w:rsidRPr="00403571">
        <w:t xml:space="preserve">, Afshin </w:t>
      </w:r>
      <w:proofErr w:type="spellStart"/>
      <w:r w:rsidRPr="00403571">
        <w:t>Vafaei</w:t>
      </w:r>
      <w:proofErr w:type="spellEnd"/>
      <w:r w:rsidRPr="00403571">
        <w:t xml:space="preserve">, Omer SM Hasan, </w:t>
      </w:r>
      <w:r w:rsidR="00D66AF1">
        <w:t xml:space="preserve">Bethany R Chrystoja, </w:t>
      </w:r>
      <w:r w:rsidRPr="00963940">
        <w:t>Marcus Cruz, Roy Lee, Manuela</w:t>
      </w:r>
      <w:r>
        <w:t xml:space="preserve"> G</w:t>
      </w:r>
      <w:r w:rsidRPr="00403571">
        <w:t xml:space="preserve"> Neuman, Jürgen Rehm</w:t>
      </w:r>
    </w:p>
    <w:p w14:paraId="51702A2B" w14:textId="77777777" w:rsidR="00B83023" w:rsidRDefault="00B83023"/>
    <w:p w14:paraId="570E946D" w14:textId="77777777" w:rsidR="00B83023" w:rsidRPr="00403571" w:rsidRDefault="00B83023">
      <w:pPr>
        <w:rPr>
          <w:b/>
        </w:rPr>
      </w:pPr>
      <w:r w:rsidRPr="00403571">
        <w:rPr>
          <w:b/>
        </w:rPr>
        <w:t>Table of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3"/>
      </w:tblGrid>
      <w:tr w:rsidR="00B83023" w14:paraId="3AF551C3" w14:textId="77777777" w:rsidTr="00415837">
        <w:tc>
          <w:tcPr>
            <w:tcW w:w="8217" w:type="dxa"/>
          </w:tcPr>
          <w:p w14:paraId="65610D82" w14:textId="77777777" w:rsidR="00B83023" w:rsidRDefault="00B83023" w:rsidP="00415837">
            <w:pPr>
              <w:spacing w:after="0" w:line="240" w:lineRule="auto"/>
            </w:pPr>
          </w:p>
        </w:tc>
        <w:tc>
          <w:tcPr>
            <w:tcW w:w="1133" w:type="dxa"/>
          </w:tcPr>
          <w:p w14:paraId="5750345A" w14:textId="77777777" w:rsidR="00B83023" w:rsidRDefault="00B83023" w:rsidP="00415837">
            <w:pPr>
              <w:spacing w:after="0" w:line="240" w:lineRule="auto"/>
              <w:jc w:val="center"/>
            </w:pPr>
            <w:r>
              <w:t>Page</w:t>
            </w:r>
          </w:p>
        </w:tc>
      </w:tr>
      <w:tr w:rsidR="00B83023" w14:paraId="3C068736" w14:textId="77777777" w:rsidTr="00415837">
        <w:tc>
          <w:tcPr>
            <w:tcW w:w="8217" w:type="dxa"/>
          </w:tcPr>
          <w:p w14:paraId="704E8359" w14:textId="77777777" w:rsidR="00B83023" w:rsidRDefault="00B83023" w:rsidP="00617D2E">
            <w:pPr>
              <w:spacing w:line="240" w:lineRule="auto"/>
            </w:pPr>
            <w:r>
              <w:rPr>
                <w:b/>
              </w:rPr>
              <w:t xml:space="preserve">Supplementary </w:t>
            </w:r>
            <w:r w:rsidRPr="00415837">
              <w:rPr>
                <w:b/>
              </w:rPr>
              <w:t>Table 1.</w:t>
            </w:r>
            <w:r w:rsidRPr="00415837">
              <w:t xml:space="preserve"> </w:t>
            </w:r>
            <w:r>
              <w:t xml:space="preserve">Search strategy for </w:t>
            </w:r>
            <w:r w:rsidRPr="00415837">
              <w:t xml:space="preserve">Medline(R) (1946-most recent) and </w:t>
            </w:r>
            <w:proofErr w:type="spellStart"/>
            <w:r w:rsidRPr="00415837">
              <w:t>Embase</w:t>
            </w:r>
            <w:proofErr w:type="spellEnd"/>
            <w:r w:rsidRPr="00415837">
              <w:t xml:space="preserve"> (</w:t>
            </w:r>
            <w:proofErr w:type="spellStart"/>
            <w:r w:rsidRPr="00415837">
              <w:t>Embase+Embase</w:t>
            </w:r>
            <w:proofErr w:type="spellEnd"/>
            <w:r w:rsidRPr="00415837">
              <w:t xml:space="preserve"> Classic)</w:t>
            </w:r>
          </w:p>
        </w:tc>
        <w:tc>
          <w:tcPr>
            <w:tcW w:w="1133" w:type="dxa"/>
          </w:tcPr>
          <w:p w14:paraId="0F11E18D" w14:textId="77777777" w:rsidR="00B83023" w:rsidRDefault="00B83023" w:rsidP="008D043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83023" w14:paraId="50EF0FB5" w14:textId="77777777" w:rsidTr="00415837">
        <w:tc>
          <w:tcPr>
            <w:tcW w:w="8217" w:type="dxa"/>
          </w:tcPr>
          <w:p w14:paraId="617DE3CE" w14:textId="77777777" w:rsidR="00B83023" w:rsidRDefault="00B83023" w:rsidP="00617D2E">
            <w:pPr>
              <w:spacing w:line="240" w:lineRule="auto"/>
            </w:pPr>
            <w:r>
              <w:rPr>
                <w:b/>
              </w:rPr>
              <w:t xml:space="preserve">Supplementary </w:t>
            </w:r>
            <w:r w:rsidRPr="00415837">
              <w:rPr>
                <w:b/>
              </w:rPr>
              <w:t>Table 2.</w:t>
            </w:r>
            <w:r w:rsidRPr="00415837">
              <w:t xml:space="preserve"> The Risk </w:t>
            </w:r>
            <w:proofErr w:type="gramStart"/>
            <w:r w:rsidRPr="00415837">
              <w:t>Of</w:t>
            </w:r>
            <w:proofErr w:type="gramEnd"/>
            <w:r w:rsidRPr="00415837">
              <w:t xml:space="preserve"> Bias in Non-randomized Studies – of Interventions (ROBINS-I) assessment tool, modified version</w:t>
            </w:r>
          </w:p>
        </w:tc>
        <w:tc>
          <w:tcPr>
            <w:tcW w:w="1133" w:type="dxa"/>
          </w:tcPr>
          <w:p w14:paraId="359930BA" w14:textId="77777777" w:rsidR="00B83023" w:rsidRDefault="00B83023" w:rsidP="008D043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83023" w14:paraId="657E9D40" w14:textId="77777777" w:rsidTr="00415837">
        <w:tc>
          <w:tcPr>
            <w:tcW w:w="8217" w:type="dxa"/>
          </w:tcPr>
          <w:p w14:paraId="7E3A7F2C" w14:textId="77777777" w:rsidR="00B83023" w:rsidRPr="00415837" w:rsidRDefault="00B83023" w:rsidP="008D0432">
            <w:pPr>
              <w:spacing w:after="160" w:line="240" w:lineRule="auto"/>
              <w:rPr>
                <w:b/>
              </w:rPr>
            </w:pPr>
            <w:bookmarkStart w:id="0" w:name="_Hlk500845972"/>
            <w:r>
              <w:rPr>
                <w:b/>
              </w:rPr>
              <w:t xml:space="preserve">Supplementary </w:t>
            </w:r>
            <w:r w:rsidRPr="00E20FAD">
              <w:rPr>
                <w:b/>
              </w:rPr>
              <w:t xml:space="preserve">Fig. </w:t>
            </w:r>
            <w:r>
              <w:rPr>
                <w:b/>
              </w:rPr>
              <w:t>1</w:t>
            </w:r>
            <w:r w:rsidRPr="00E20FAD">
              <w:rPr>
                <w:b/>
              </w:rPr>
              <w:t xml:space="preserve">. </w:t>
            </w:r>
            <w:r w:rsidRPr="00E20FAD">
              <w:t>Funnel plot for</w:t>
            </w:r>
            <w:r>
              <w:t xml:space="preserve"> cohort studies in drinkers of 1 or 2 drinks per day</w:t>
            </w:r>
            <w:r w:rsidRPr="00E20FAD">
              <w:t xml:space="preserve">, </w:t>
            </w:r>
            <w:r>
              <w:t xml:space="preserve">both sexes, </w:t>
            </w:r>
            <w:r w:rsidRPr="00E20FAD">
              <w:t>1988-2017</w:t>
            </w:r>
          </w:p>
        </w:tc>
        <w:tc>
          <w:tcPr>
            <w:tcW w:w="1133" w:type="dxa"/>
          </w:tcPr>
          <w:p w14:paraId="252DB4D2" w14:textId="77777777" w:rsidR="00B83023" w:rsidRDefault="00B83023" w:rsidP="008D0432">
            <w:pPr>
              <w:spacing w:after="0" w:line="240" w:lineRule="auto"/>
              <w:jc w:val="center"/>
            </w:pPr>
            <w:r>
              <w:t>4</w:t>
            </w:r>
          </w:p>
        </w:tc>
      </w:tr>
      <w:bookmarkEnd w:id="0"/>
      <w:tr w:rsidR="00B83023" w14:paraId="322B8EED" w14:textId="77777777" w:rsidTr="00415837">
        <w:tc>
          <w:tcPr>
            <w:tcW w:w="8217" w:type="dxa"/>
          </w:tcPr>
          <w:p w14:paraId="45638C99" w14:textId="77777777" w:rsidR="00B83023" w:rsidRPr="00415837" w:rsidRDefault="00B83023" w:rsidP="008D0432">
            <w:pPr>
              <w:spacing w:after="160" w:line="240" w:lineRule="auto"/>
              <w:rPr>
                <w:b/>
              </w:rPr>
            </w:pPr>
            <w:r>
              <w:rPr>
                <w:b/>
              </w:rPr>
              <w:t xml:space="preserve">Supplementary </w:t>
            </w:r>
            <w:r w:rsidRPr="00E20FAD">
              <w:rPr>
                <w:b/>
              </w:rPr>
              <w:t xml:space="preserve">Fig. </w:t>
            </w:r>
            <w:r>
              <w:rPr>
                <w:b/>
              </w:rPr>
              <w:t>2</w:t>
            </w:r>
            <w:r w:rsidRPr="00E20FAD">
              <w:rPr>
                <w:b/>
              </w:rPr>
              <w:t xml:space="preserve">. </w:t>
            </w:r>
            <w:r w:rsidRPr="00E20FAD">
              <w:t>Influence of omitting a single study for</w:t>
            </w:r>
            <w:r>
              <w:t xml:space="preserve"> cohort studies in drinkers of 1 or 2 drinks per day</w:t>
            </w:r>
            <w:r w:rsidRPr="00E20FAD">
              <w:t>,</w:t>
            </w:r>
            <w:r>
              <w:t xml:space="preserve"> both sexes,</w:t>
            </w:r>
            <w:r w:rsidRPr="00E20FAD">
              <w:t xml:space="preserve"> 1988-2017</w:t>
            </w:r>
          </w:p>
        </w:tc>
        <w:tc>
          <w:tcPr>
            <w:tcW w:w="1133" w:type="dxa"/>
          </w:tcPr>
          <w:p w14:paraId="17159616" w14:textId="77777777" w:rsidR="00B83023" w:rsidRDefault="00B83023" w:rsidP="008D0432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83023" w14:paraId="55696E30" w14:textId="77777777" w:rsidTr="00415837">
        <w:tc>
          <w:tcPr>
            <w:tcW w:w="8217" w:type="dxa"/>
          </w:tcPr>
          <w:p w14:paraId="4C16F822" w14:textId="77777777" w:rsidR="00B83023" w:rsidRPr="00D004FB" w:rsidRDefault="00B83023" w:rsidP="008D0432">
            <w:pPr>
              <w:spacing w:after="240" w:line="240" w:lineRule="auto"/>
              <w:rPr>
                <w:b/>
              </w:rPr>
            </w:pPr>
            <w:r w:rsidRPr="001C6E41">
              <w:rPr>
                <w:b/>
              </w:rPr>
              <w:t xml:space="preserve">Supplementary Fig. </w:t>
            </w:r>
            <w:r>
              <w:rPr>
                <w:b/>
              </w:rPr>
              <w:t>3</w:t>
            </w:r>
            <w:r w:rsidRPr="001C6E41">
              <w:rPr>
                <w:b/>
              </w:rPr>
              <w:t>.</w:t>
            </w:r>
            <w:r w:rsidRPr="001C6E41">
              <w:t xml:space="preserve"> Forest plot of liver cirrhosis risk by alcohol consumption (in comparison to long-term abstainers) in cohort studies in women, 1988-2017</w:t>
            </w:r>
          </w:p>
        </w:tc>
        <w:tc>
          <w:tcPr>
            <w:tcW w:w="1133" w:type="dxa"/>
          </w:tcPr>
          <w:p w14:paraId="283A089E" w14:textId="77777777" w:rsidR="00B83023" w:rsidRDefault="00B83023" w:rsidP="008D0432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83023" w14:paraId="3D3EACF4" w14:textId="77777777" w:rsidTr="00415837">
        <w:tc>
          <w:tcPr>
            <w:tcW w:w="8217" w:type="dxa"/>
          </w:tcPr>
          <w:p w14:paraId="48B50AA4" w14:textId="77777777" w:rsidR="00B83023" w:rsidRDefault="00B83023" w:rsidP="008D0432">
            <w:pPr>
              <w:spacing w:after="240" w:line="240" w:lineRule="auto"/>
              <w:rPr>
                <w:b/>
              </w:rPr>
            </w:pPr>
            <w:r>
              <w:rPr>
                <w:b/>
              </w:rPr>
              <w:t xml:space="preserve">Supplementary </w:t>
            </w:r>
            <w:r w:rsidRPr="00E20FAD">
              <w:rPr>
                <w:b/>
              </w:rPr>
              <w:t xml:space="preserve">Fig. </w:t>
            </w:r>
            <w:r>
              <w:rPr>
                <w:b/>
              </w:rPr>
              <w:t>4</w:t>
            </w:r>
            <w:r w:rsidRPr="00E20FAD">
              <w:rPr>
                <w:b/>
              </w:rPr>
              <w:t xml:space="preserve">. </w:t>
            </w:r>
            <w:r>
              <w:rPr>
                <w:rFonts w:cs="Times New Roman"/>
              </w:rPr>
              <w:t>Dose-response relationship</w:t>
            </w:r>
            <w:r w:rsidRPr="0036082A">
              <w:rPr>
                <w:rFonts w:cs="Times New Roman"/>
              </w:rPr>
              <w:t xml:space="preserve"> of liver cirrhosis risk by alcohol consumption </w:t>
            </w:r>
            <w:r>
              <w:rPr>
                <w:rFonts w:cs="Times New Roman"/>
              </w:rPr>
              <w:t xml:space="preserve">in relation to long-term abstainers in men </w:t>
            </w:r>
            <w:r w:rsidRPr="0036082A">
              <w:rPr>
                <w:rFonts w:cs="Times New Roman"/>
              </w:rPr>
              <w:t>in cohort studies, 1988-2017</w:t>
            </w:r>
          </w:p>
        </w:tc>
        <w:tc>
          <w:tcPr>
            <w:tcW w:w="1133" w:type="dxa"/>
          </w:tcPr>
          <w:p w14:paraId="6466224C" w14:textId="77777777" w:rsidR="00B83023" w:rsidRDefault="00B83023" w:rsidP="008D0432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83023" w14:paraId="590EF30A" w14:textId="77777777" w:rsidTr="00415837">
        <w:tc>
          <w:tcPr>
            <w:tcW w:w="8217" w:type="dxa"/>
          </w:tcPr>
          <w:p w14:paraId="287DE356" w14:textId="77777777" w:rsidR="00B83023" w:rsidRDefault="00B83023" w:rsidP="008D0432">
            <w:pPr>
              <w:spacing w:after="160" w:line="240" w:lineRule="auto"/>
              <w:rPr>
                <w:b/>
              </w:rPr>
            </w:pPr>
            <w:r>
              <w:rPr>
                <w:b/>
              </w:rPr>
              <w:t xml:space="preserve">Supplementary </w:t>
            </w:r>
            <w:r w:rsidRPr="00E20FAD">
              <w:rPr>
                <w:b/>
              </w:rPr>
              <w:t xml:space="preserve">Fig. </w:t>
            </w:r>
            <w:r>
              <w:rPr>
                <w:b/>
              </w:rPr>
              <w:t>5</w:t>
            </w:r>
            <w:r w:rsidRPr="00E20FAD">
              <w:rPr>
                <w:b/>
              </w:rPr>
              <w:t xml:space="preserve">. </w:t>
            </w:r>
            <w:r>
              <w:rPr>
                <w:rFonts w:cs="Times New Roman"/>
              </w:rPr>
              <w:t>Dose-response relationship</w:t>
            </w:r>
            <w:r w:rsidRPr="0036082A">
              <w:rPr>
                <w:rFonts w:cs="Times New Roman"/>
              </w:rPr>
              <w:t xml:space="preserve"> of liver cirrhosis risk by alcohol consumption </w:t>
            </w:r>
            <w:r>
              <w:rPr>
                <w:rFonts w:cs="Times New Roman"/>
              </w:rPr>
              <w:t xml:space="preserve">in relation to long-term abstainers in women </w:t>
            </w:r>
            <w:r w:rsidRPr="0036082A">
              <w:rPr>
                <w:rFonts w:cs="Times New Roman"/>
              </w:rPr>
              <w:t>in cohort studies, 1988-2017</w:t>
            </w:r>
          </w:p>
        </w:tc>
        <w:tc>
          <w:tcPr>
            <w:tcW w:w="1133" w:type="dxa"/>
          </w:tcPr>
          <w:p w14:paraId="008713CB" w14:textId="77777777" w:rsidR="00B83023" w:rsidRDefault="00B83023" w:rsidP="008D0432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B83023" w14:paraId="52B77B04" w14:textId="77777777" w:rsidTr="00415837">
        <w:tc>
          <w:tcPr>
            <w:tcW w:w="8217" w:type="dxa"/>
          </w:tcPr>
          <w:p w14:paraId="2D8EAB7D" w14:textId="77777777" w:rsidR="00B83023" w:rsidRDefault="00B83023" w:rsidP="008D0432">
            <w:pPr>
              <w:spacing w:after="160" w:line="240" w:lineRule="auto"/>
              <w:rPr>
                <w:b/>
              </w:rPr>
            </w:pPr>
            <w:r>
              <w:rPr>
                <w:b/>
              </w:rPr>
              <w:t xml:space="preserve">Supplementary </w:t>
            </w:r>
            <w:r w:rsidRPr="00E20FAD">
              <w:rPr>
                <w:b/>
              </w:rPr>
              <w:t xml:space="preserve">Fig. </w:t>
            </w:r>
            <w:r>
              <w:rPr>
                <w:b/>
              </w:rPr>
              <w:t>6</w:t>
            </w:r>
            <w:r w:rsidRPr="00E20FAD">
              <w:rPr>
                <w:b/>
              </w:rPr>
              <w:t xml:space="preserve">. </w:t>
            </w:r>
            <w:r w:rsidRPr="00E805E8">
              <w:rPr>
                <w:rFonts w:cs="Times New Roman"/>
              </w:rPr>
              <w:t>Forest plot of liver cirrhosis risk by alcohol consumption</w:t>
            </w:r>
            <w:r>
              <w:rPr>
                <w:rFonts w:cs="Times New Roman"/>
              </w:rPr>
              <w:t xml:space="preserve"> (in comparison to long-term abstainers)</w:t>
            </w:r>
            <w:r w:rsidRPr="00E805E8">
              <w:rPr>
                <w:rFonts w:cs="Times New Roman"/>
              </w:rPr>
              <w:t xml:space="preserve"> in </w:t>
            </w:r>
            <w:r>
              <w:rPr>
                <w:rFonts w:cs="Times New Roman"/>
              </w:rPr>
              <w:t>case-control</w:t>
            </w:r>
            <w:r w:rsidRPr="00E805E8">
              <w:rPr>
                <w:rFonts w:cs="Times New Roman"/>
              </w:rPr>
              <w:t xml:space="preserve"> studies</w:t>
            </w:r>
            <w:r>
              <w:rPr>
                <w:rFonts w:cs="Times New Roman"/>
              </w:rPr>
              <w:t xml:space="preserve"> in men</w:t>
            </w:r>
            <w:r w:rsidRPr="00E805E8">
              <w:rPr>
                <w:rFonts w:cs="Times New Roman"/>
              </w:rPr>
              <w:t>, 1988-2017</w:t>
            </w:r>
          </w:p>
        </w:tc>
        <w:tc>
          <w:tcPr>
            <w:tcW w:w="1133" w:type="dxa"/>
          </w:tcPr>
          <w:p w14:paraId="5555AC15" w14:textId="77777777" w:rsidR="00B83023" w:rsidRDefault="00B83023" w:rsidP="008D0432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B83023" w14:paraId="1C5683BB" w14:textId="77777777" w:rsidTr="00415837">
        <w:tc>
          <w:tcPr>
            <w:tcW w:w="8217" w:type="dxa"/>
          </w:tcPr>
          <w:p w14:paraId="63F73D0A" w14:textId="77777777" w:rsidR="00B83023" w:rsidRDefault="00B83023" w:rsidP="008D0432">
            <w:pPr>
              <w:spacing w:after="160" w:line="240" w:lineRule="auto"/>
              <w:rPr>
                <w:b/>
              </w:rPr>
            </w:pPr>
            <w:r>
              <w:rPr>
                <w:b/>
              </w:rPr>
              <w:t xml:space="preserve">Supplementary </w:t>
            </w:r>
            <w:r w:rsidRPr="00E20FAD">
              <w:rPr>
                <w:b/>
              </w:rPr>
              <w:t xml:space="preserve">Fig. </w:t>
            </w:r>
            <w:r>
              <w:rPr>
                <w:b/>
              </w:rPr>
              <w:t>7</w:t>
            </w:r>
            <w:r w:rsidRPr="00E20FAD">
              <w:rPr>
                <w:b/>
              </w:rPr>
              <w:t xml:space="preserve">. </w:t>
            </w:r>
            <w:r w:rsidRPr="00E805E8">
              <w:rPr>
                <w:rFonts w:cs="Times New Roman"/>
              </w:rPr>
              <w:t>Forest plot of liver cirrhosis risk by alcohol consumption</w:t>
            </w:r>
            <w:r>
              <w:rPr>
                <w:rFonts w:cs="Times New Roman"/>
              </w:rPr>
              <w:t xml:space="preserve"> (in comparison to long-term abstainers)</w:t>
            </w:r>
            <w:r w:rsidRPr="00E805E8">
              <w:rPr>
                <w:rFonts w:cs="Times New Roman"/>
              </w:rPr>
              <w:t xml:space="preserve"> in </w:t>
            </w:r>
            <w:r>
              <w:rPr>
                <w:rFonts w:cs="Times New Roman"/>
              </w:rPr>
              <w:t>case-control</w:t>
            </w:r>
            <w:r w:rsidRPr="00E805E8">
              <w:rPr>
                <w:rFonts w:cs="Times New Roman"/>
              </w:rPr>
              <w:t xml:space="preserve"> studies</w:t>
            </w:r>
            <w:r>
              <w:rPr>
                <w:rFonts w:cs="Times New Roman"/>
              </w:rPr>
              <w:t xml:space="preserve"> in women</w:t>
            </w:r>
            <w:r w:rsidRPr="00E805E8">
              <w:rPr>
                <w:rFonts w:cs="Times New Roman"/>
              </w:rPr>
              <w:t>, 1988-2017</w:t>
            </w:r>
          </w:p>
        </w:tc>
        <w:tc>
          <w:tcPr>
            <w:tcW w:w="1133" w:type="dxa"/>
          </w:tcPr>
          <w:p w14:paraId="1EED9AC0" w14:textId="77777777" w:rsidR="00B83023" w:rsidRDefault="00B83023" w:rsidP="008D0432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83023" w14:paraId="36EB160A" w14:textId="77777777" w:rsidTr="00415837">
        <w:tc>
          <w:tcPr>
            <w:tcW w:w="8217" w:type="dxa"/>
          </w:tcPr>
          <w:p w14:paraId="3E085774" w14:textId="77777777" w:rsidR="00B83023" w:rsidRPr="00D004FB" w:rsidRDefault="00B83023" w:rsidP="00617D2E">
            <w:pPr>
              <w:spacing w:line="240" w:lineRule="auto"/>
              <w:rPr>
                <w:b/>
              </w:rPr>
            </w:pPr>
            <w:r>
              <w:rPr>
                <w:b/>
              </w:rPr>
              <w:t>Supplementary References</w:t>
            </w:r>
          </w:p>
        </w:tc>
        <w:tc>
          <w:tcPr>
            <w:tcW w:w="1133" w:type="dxa"/>
          </w:tcPr>
          <w:p w14:paraId="610FD1A8" w14:textId="77777777" w:rsidR="00B83023" w:rsidRDefault="00B83023" w:rsidP="008D0432">
            <w:pPr>
              <w:spacing w:after="0" w:line="240" w:lineRule="auto"/>
              <w:jc w:val="center"/>
            </w:pPr>
            <w:r>
              <w:t>11</w:t>
            </w:r>
          </w:p>
        </w:tc>
      </w:tr>
    </w:tbl>
    <w:p w14:paraId="73B948B5" w14:textId="77777777" w:rsidR="00B83023" w:rsidRDefault="00B83023"/>
    <w:p w14:paraId="2627481C" w14:textId="77777777" w:rsidR="00B83023" w:rsidRDefault="00B83023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br w:type="page"/>
      </w:r>
    </w:p>
    <w:p w14:paraId="4C06137E" w14:textId="77777777" w:rsidR="00B83023" w:rsidRPr="0039775B" w:rsidRDefault="00B83023" w:rsidP="0039775B">
      <w:pPr>
        <w:rPr>
          <w:rFonts w:ascii="Calibri" w:eastAsia="Calibri" w:hAnsi="Calibri" w:cs="Times New Roman"/>
          <w:b/>
          <w:lang w:val="en-US"/>
        </w:rPr>
      </w:pPr>
      <w:r>
        <w:rPr>
          <w:b/>
        </w:rPr>
        <w:lastRenderedPageBreak/>
        <w:t xml:space="preserve">Supplementary </w:t>
      </w:r>
      <w:r w:rsidRPr="0039775B">
        <w:rPr>
          <w:rFonts w:ascii="Calibri" w:eastAsia="Calibri" w:hAnsi="Calibri" w:cs="Times New Roman"/>
          <w:b/>
          <w:lang w:val="en-US"/>
        </w:rPr>
        <w:t>Table 1</w:t>
      </w:r>
      <w:r>
        <w:rPr>
          <w:rFonts w:ascii="Calibri" w:eastAsia="Calibri" w:hAnsi="Calibri" w:cs="Times New Roman"/>
          <w:b/>
          <w:lang w:val="en-US"/>
        </w:rPr>
        <w:t>.</w:t>
      </w:r>
      <w:r w:rsidRPr="0039775B">
        <w:rPr>
          <w:rFonts w:ascii="Calibri" w:eastAsia="Calibri" w:hAnsi="Calibri" w:cs="Times New Roman"/>
          <w:b/>
          <w:lang w:val="en-US"/>
        </w:rPr>
        <w:t xml:space="preserve"> </w:t>
      </w:r>
      <w:r w:rsidRPr="00415837">
        <w:rPr>
          <w:rFonts w:ascii="Calibri" w:eastAsia="Calibri" w:hAnsi="Calibri" w:cs="Times New Roman"/>
          <w:lang w:val="en-US"/>
        </w:rPr>
        <w:t>Search strategy for</w:t>
      </w:r>
      <w:r>
        <w:rPr>
          <w:rFonts w:ascii="Calibri" w:eastAsia="Calibri" w:hAnsi="Calibri" w:cs="Times New Roman"/>
          <w:b/>
          <w:lang w:val="en-US"/>
        </w:rPr>
        <w:t xml:space="preserve"> </w:t>
      </w:r>
      <w:r w:rsidRPr="0039775B">
        <w:rPr>
          <w:rFonts w:ascii="Calibri" w:eastAsia="Calibri" w:hAnsi="Calibri" w:cs="Times New Roman"/>
          <w:lang w:val="en-US"/>
        </w:rPr>
        <w:t xml:space="preserve">Medline(R) (1946-most recent) and </w:t>
      </w:r>
      <w:proofErr w:type="spellStart"/>
      <w:r w:rsidRPr="0039775B">
        <w:rPr>
          <w:rFonts w:ascii="Calibri" w:eastAsia="Calibri" w:hAnsi="Calibri" w:cs="Times New Roman"/>
          <w:lang w:val="en-US"/>
        </w:rPr>
        <w:t>Embase</w:t>
      </w:r>
      <w:proofErr w:type="spellEnd"/>
      <w:r w:rsidRPr="0039775B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39775B">
        <w:rPr>
          <w:rFonts w:ascii="Calibri" w:eastAsia="Calibri" w:hAnsi="Calibri" w:cs="Times New Roman"/>
          <w:lang w:val="en-US"/>
        </w:rPr>
        <w:t>Embase+Embase</w:t>
      </w:r>
      <w:proofErr w:type="spellEnd"/>
      <w:r w:rsidRPr="0039775B">
        <w:rPr>
          <w:rFonts w:ascii="Calibri" w:eastAsia="Calibri" w:hAnsi="Calibri" w:cs="Times New Roman"/>
          <w:lang w:val="en-US"/>
        </w:rPr>
        <w:t xml:space="preserve"> Classic)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38"/>
        <w:gridCol w:w="7830"/>
      </w:tblGrid>
      <w:tr w:rsidR="00B83023" w:rsidRPr="007F0FAF" w14:paraId="16079FA9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2026A0E4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7830" w:type="dxa"/>
            <w:noWrap/>
            <w:hideMark/>
          </w:tcPr>
          <w:p w14:paraId="04F715AF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human/</w:t>
            </w:r>
          </w:p>
        </w:tc>
      </w:tr>
      <w:tr w:rsidR="00B83023" w:rsidRPr="007F0FAF" w14:paraId="6311C981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3D84DC01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7830" w:type="dxa"/>
            <w:noWrap/>
            <w:hideMark/>
          </w:tcPr>
          <w:p w14:paraId="2CF8E263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humans/</w:t>
            </w:r>
          </w:p>
        </w:tc>
      </w:tr>
      <w:tr w:rsidR="00B83023" w:rsidRPr="007F0FAF" w14:paraId="1AC7DBD1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3C6C3607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7830" w:type="dxa"/>
            <w:noWrap/>
            <w:hideMark/>
          </w:tcPr>
          <w:p w14:paraId="1E616E0E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1 or 2</w:t>
            </w:r>
          </w:p>
        </w:tc>
      </w:tr>
      <w:tr w:rsidR="00B83023" w:rsidRPr="007F0FAF" w14:paraId="603A1CBF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00489468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7830" w:type="dxa"/>
            <w:noWrap/>
            <w:hideMark/>
          </w:tcPr>
          <w:p w14:paraId="7B720516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 xml:space="preserve"> (bibliography or case reports or clinical conference or clinical trial, all or comment or congresses or editorial or guideline or in vitro or letter or </w:t>
            </w:r>
            <w:proofErr w:type="spellStart"/>
            <w:r w:rsidRPr="007F0FAF">
              <w:rPr>
                <w:rFonts w:ascii="Calibri" w:eastAsia="Calibri" w:hAnsi="Calibri" w:cs="Times New Roman"/>
                <w:lang w:val="en-US"/>
              </w:rPr>
              <w:t>meta analysis</w:t>
            </w:r>
            <w:proofErr w:type="spellEnd"/>
            <w:r w:rsidRPr="007F0FAF">
              <w:rPr>
                <w:rFonts w:ascii="Calibri" w:eastAsia="Calibri" w:hAnsi="Calibri" w:cs="Times New Roman"/>
                <w:lang w:val="en-US"/>
              </w:rPr>
              <w:t xml:space="preserve"> or "review" or systematic reviews</w:t>
            </w:r>
            <w:proofErr w:type="gramStart"/>
            <w:r w:rsidRPr="007F0FAF">
              <w:rPr>
                <w:rFonts w:ascii="Calibri" w:eastAsia="Calibri" w:hAnsi="Calibri" w:cs="Times New Roman"/>
                <w:lang w:val="en-US"/>
              </w:rPr>
              <w:t>).pt.</w:t>
            </w:r>
            <w:proofErr w:type="gramEnd"/>
          </w:p>
        </w:tc>
      </w:tr>
      <w:tr w:rsidR="00B83023" w:rsidRPr="007F0FAF" w14:paraId="15A0D143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306DA813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7830" w:type="dxa"/>
            <w:noWrap/>
            <w:hideMark/>
          </w:tcPr>
          <w:p w14:paraId="79D5AED3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3 not 4</w:t>
            </w:r>
          </w:p>
        </w:tc>
      </w:tr>
      <w:tr w:rsidR="00B83023" w:rsidRPr="007F0FAF" w14:paraId="6D14DC08" w14:textId="77777777" w:rsidTr="007F0FAF">
        <w:trPr>
          <w:trHeight w:val="300"/>
        </w:trPr>
        <w:tc>
          <w:tcPr>
            <w:tcW w:w="738" w:type="dxa"/>
            <w:shd w:val="clear" w:color="auto" w:fill="D9D9D9"/>
            <w:noWrap/>
          </w:tcPr>
          <w:p w14:paraId="5588AD83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830" w:type="dxa"/>
            <w:shd w:val="clear" w:color="auto" w:fill="D9D9D9"/>
            <w:noWrap/>
          </w:tcPr>
          <w:p w14:paraId="777560F0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7F0FAF">
              <w:rPr>
                <w:rFonts w:ascii="Calibri" w:eastAsia="Calibri" w:hAnsi="Calibri" w:cs="Times New Roman"/>
                <w:b/>
                <w:lang w:val="en-US"/>
              </w:rPr>
              <w:t>Method terms</w:t>
            </w:r>
          </w:p>
        </w:tc>
      </w:tr>
      <w:tr w:rsidR="00B83023" w:rsidRPr="007F0FAF" w14:paraId="320C46E3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544A210E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7830" w:type="dxa"/>
            <w:noWrap/>
            <w:hideMark/>
          </w:tcPr>
          <w:p w14:paraId="3AE3038F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exp Case-Control Studies/ or case control.mp.</w:t>
            </w:r>
          </w:p>
        </w:tc>
      </w:tr>
      <w:tr w:rsidR="00B83023" w:rsidRPr="007F0FAF" w14:paraId="76DEF4DC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1C084650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  <w:tc>
          <w:tcPr>
            <w:tcW w:w="7830" w:type="dxa"/>
            <w:noWrap/>
            <w:hideMark/>
          </w:tcPr>
          <w:p w14:paraId="047E285C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exp cohort studies/ or exp follow-up studies/ or exp longitudinal studies/ or exp prospective studies/ or exp retrospective studies/ or cohort study.mp.</w:t>
            </w:r>
          </w:p>
        </w:tc>
      </w:tr>
      <w:tr w:rsidR="00B83023" w:rsidRPr="007F0FAF" w14:paraId="7422F8B3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626498E7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7830" w:type="dxa"/>
            <w:noWrap/>
            <w:hideMark/>
          </w:tcPr>
          <w:p w14:paraId="484AAEDC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6 or 7</w:t>
            </w:r>
          </w:p>
        </w:tc>
      </w:tr>
      <w:tr w:rsidR="00B83023" w:rsidRPr="007F0FAF" w14:paraId="6BBDA199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7CABCF81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9</w:t>
            </w:r>
          </w:p>
        </w:tc>
        <w:tc>
          <w:tcPr>
            <w:tcW w:w="7830" w:type="dxa"/>
            <w:noWrap/>
            <w:hideMark/>
          </w:tcPr>
          <w:p w14:paraId="66447807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5 and 8</w:t>
            </w:r>
          </w:p>
        </w:tc>
      </w:tr>
      <w:tr w:rsidR="00B83023" w:rsidRPr="007F0FAF" w14:paraId="4C7E82D0" w14:textId="77777777" w:rsidTr="007F0FAF">
        <w:trPr>
          <w:trHeight w:val="300"/>
        </w:trPr>
        <w:tc>
          <w:tcPr>
            <w:tcW w:w="738" w:type="dxa"/>
            <w:shd w:val="clear" w:color="auto" w:fill="D9D9D9"/>
            <w:noWrap/>
          </w:tcPr>
          <w:p w14:paraId="64ED4A7D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830" w:type="dxa"/>
            <w:shd w:val="clear" w:color="auto" w:fill="D9D9D9"/>
            <w:noWrap/>
          </w:tcPr>
          <w:p w14:paraId="7E4F8A6D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7F0FAF">
              <w:rPr>
                <w:rFonts w:ascii="Calibri" w:eastAsia="Calibri" w:hAnsi="Calibri" w:cs="Times New Roman"/>
                <w:b/>
                <w:lang w:val="en-US"/>
              </w:rPr>
              <w:t>Alcohol terms</w:t>
            </w:r>
          </w:p>
        </w:tc>
      </w:tr>
      <w:tr w:rsidR="00B83023" w:rsidRPr="007F0FAF" w14:paraId="3D939C31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2C6D5249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10</w:t>
            </w:r>
          </w:p>
        </w:tc>
        <w:tc>
          <w:tcPr>
            <w:tcW w:w="7830" w:type="dxa"/>
            <w:noWrap/>
            <w:hideMark/>
          </w:tcPr>
          <w:p w14:paraId="78FA837F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exp alcohol drinking/</w:t>
            </w:r>
          </w:p>
        </w:tc>
      </w:tr>
      <w:tr w:rsidR="00B83023" w:rsidRPr="007F0FAF" w14:paraId="2B0191AD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62DBE3C8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11</w:t>
            </w:r>
          </w:p>
        </w:tc>
        <w:tc>
          <w:tcPr>
            <w:tcW w:w="7830" w:type="dxa"/>
            <w:noWrap/>
            <w:hideMark/>
          </w:tcPr>
          <w:p w14:paraId="28BE63A6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exp alcoholic intoxication/</w:t>
            </w:r>
          </w:p>
        </w:tc>
      </w:tr>
      <w:tr w:rsidR="00B83023" w:rsidRPr="007F0FAF" w14:paraId="53E6043C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763E606D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12</w:t>
            </w:r>
          </w:p>
        </w:tc>
        <w:tc>
          <w:tcPr>
            <w:tcW w:w="7830" w:type="dxa"/>
            <w:noWrap/>
            <w:hideMark/>
          </w:tcPr>
          <w:p w14:paraId="520639D8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exp binge drinking/</w:t>
            </w:r>
          </w:p>
        </w:tc>
      </w:tr>
      <w:tr w:rsidR="00B83023" w:rsidRPr="007F0FAF" w14:paraId="58657430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3A3D59CC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13</w:t>
            </w:r>
          </w:p>
        </w:tc>
        <w:tc>
          <w:tcPr>
            <w:tcW w:w="7830" w:type="dxa"/>
            <w:noWrap/>
            <w:hideMark/>
          </w:tcPr>
          <w:p w14:paraId="5EAAC571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 xml:space="preserve"> (alcohol* adj3 (drink* or </w:t>
            </w:r>
            <w:proofErr w:type="spellStart"/>
            <w:r w:rsidRPr="007F0FAF">
              <w:rPr>
                <w:rFonts w:ascii="Calibri" w:eastAsia="Calibri" w:hAnsi="Calibri" w:cs="Times New Roman"/>
                <w:lang w:val="en-US"/>
              </w:rPr>
              <w:t>consum</w:t>
            </w:r>
            <w:proofErr w:type="spellEnd"/>
            <w:r w:rsidRPr="007F0FAF">
              <w:rPr>
                <w:rFonts w:ascii="Calibri" w:eastAsia="Calibri" w:hAnsi="Calibri" w:cs="Times New Roman"/>
                <w:lang w:val="en-US"/>
              </w:rPr>
              <w:t>* or intake)).</w:t>
            </w:r>
            <w:proofErr w:type="spellStart"/>
            <w:r w:rsidRPr="007F0FAF">
              <w:rPr>
                <w:rFonts w:ascii="Calibri" w:eastAsia="Calibri" w:hAnsi="Calibri" w:cs="Times New Roman"/>
                <w:lang w:val="en-US"/>
              </w:rPr>
              <w:t>mp</w:t>
            </w:r>
            <w:proofErr w:type="spellEnd"/>
            <w:r w:rsidRPr="007F0FAF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</w:tr>
      <w:tr w:rsidR="00B83023" w:rsidRPr="007F0FAF" w14:paraId="0AF0143A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4727441B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14</w:t>
            </w:r>
          </w:p>
        </w:tc>
        <w:tc>
          <w:tcPr>
            <w:tcW w:w="7830" w:type="dxa"/>
            <w:noWrap/>
            <w:hideMark/>
          </w:tcPr>
          <w:p w14:paraId="486CA483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heavy drinking.mp.</w:t>
            </w:r>
          </w:p>
        </w:tc>
      </w:tr>
      <w:tr w:rsidR="00B83023" w:rsidRPr="007F0FAF" w14:paraId="4BA985BA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3744B85B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15</w:t>
            </w:r>
          </w:p>
        </w:tc>
        <w:tc>
          <w:tcPr>
            <w:tcW w:w="7830" w:type="dxa"/>
            <w:noWrap/>
            <w:hideMark/>
          </w:tcPr>
          <w:p w14:paraId="6261593E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alcoholic beverages/</w:t>
            </w:r>
          </w:p>
        </w:tc>
      </w:tr>
      <w:tr w:rsidR="00B83023" w:rsidRPr="007F0FAF" w14:paraId="3B23F3E0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417C011E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16</w:t>
            </w:r>
          </w:p>
        </w:tc>
        <w:tc>
          <w:tcPr>
            <w:tcW w:w="7830" w:type="dxa"/>
            <w:noWrap/>
            <w:hideMark/>
          </w:tcPr>
          <w:p w14:paraId="4D43BFDA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10 or 11 or 12 or 13 or 14 or 15</w:t>
            </w:r>
          </w:p>
        </w:tc>
      </w:tr>
      <w:tr w:rsidR="00B83023" w:rsidRPr="007F0FAF" w14:paraId="3FAC4BE3" w14:textId="77777777" w:rsidTr="007F0FAF">
        <w:trPr>
          <w:trHeight w:val="300"/>
        </w:trPr>
        <w:tc>
          <w:tcPr>
            <w:tcW w:w="738" w:type="dxa"/>
            <w:shd w:val="clear" w:color="auto" w:fill="D9D9D9"/>
            <w:noWrap/>
          </w:tcPr>
          <w:p w14:paraId="6D4F9E81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830" w:type="dxa"/>
            <w:shd w:val="clear" w:color="auto" w:fill="D9D9D9"/>
            <w:noWrap/>
          </w:tcPr>
          <w:p w14:paraId="2280BBAB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7F0FAF">
              <w:rPr>
                <w:rFonts w:ascii="Calibri" w:eastAsia="Calibri" w:hAnsi="Calibri" w:cs="Times New Roman"/>
                <w:b/>
                <w:lang w:val="en-US"/>
              </w:rPr>
              <w:t>Disease terms</w:t>
            </w:r>
          </w:p>
        </w:tc>
      </w:tr>
      <w:tr w:rsidR="00B83023" w:rsidRPr="007F0FAF" w14:paraId="51A3E9BB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4FE82938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17</w:t>
            </w:r>
          </w:p>
        </w:tc>
        <w:tc>
          <w:tcPr>
            <w:tcW w:w="7830" w:type="dxa"/>
            <w:noWrap/>
            <w:hideMark/>
          </w:tcPr>
          <w:p w14:paraId="18821673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liver diseases/</w:t>
            </w:r>
          </w:p>
        </w:tc>
      </w:tr>
      <w:tr w:rsidR="00B83023" w:rsidRPr="007F0FAF" w14:paraId="7D4BEC56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184A8E5E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18</w:t>
            </w:r>
          </w:p>
        </w:tc>
        <w:tc>
          <w:tcPr>
            <w:tcW w:w="7830" w:type="dxa"/>
            <w:noWrap/>
            <w:hideMark/>
          </w:tcPr>
          <w:p w14:paraId="7F44610B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liver cirrhosis/ or exp liver cirrhosis, alcoholic/ or exp liver cirrhosis, biliary/</w:t>
            </w:r>
          </w:p>
        </w:tc>
      </w:tr>
      <w:tr w:rsidR="00B83023" w:rsidRPr="007F0FAF" w14:paraId="39D90619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64B69D7F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19</w:t>
            </w:r>
          </w:p>
        </w:tc>
        <w:tc>
          <w:tcPr>
            <w:tcW w:w="7830" w:type="dxa"/>
            <w:noWrap/>
            <w:hideMark/>
          </w:tcPr>
          <w:p w14:paraId="4CC4ED86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fatty liver/ or exp fatty liver, alcoholic/ or exp non-alcoholic fatty liver disease/</w:t>
            </w:r>
          </w:p>
        </w:tc>
      </w:tr>
      <w:tr w:rsidR="00B83023" w:rsidRPr="007F0FAF" w14:paraId="353F5559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55CBAD72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20</w:t>
            </w:r>
          </w:p>
        </w:tc>
        <w:tc>
          <w:tcPr>
            <w:tcW w:w="7830" w:type="dxa"/>
            <w:noWrap/>
            <w:hideMark/>
          </w:tcPr>
          <w:p w14:paraId="01C9C962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steatohepatitis.mp.</w:t>
            </w:r>
          </w:p>
        </w:tc>
      </w:tr>
      <w:tr w:rsidR="00B83023" w:rsidRPr="007F0FAF" w14:paraId="6D220998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59B9F945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21</w:t>
            </w:r>
          </w:p>
        </w:tc>
        <w:tc>
          <w:tcPr>
            <w:tcW w:w="7830" w:type="dxa"/>
            <w:noWrap/>
            <w:hideMark/>
          </w:tcPr>
          <w:p w14:paraId="4E9CB6EA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steato-hepatitis.mp.</w:t>
            </w:r>
          </w:p>
        </w:tc>
      </w:tr>
      <w:tr w:rsidR="00B83023" w:rsidRPr="007F0FAF" w14:paraId="269711DE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4DD6FD36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22</w:t>
            </w:r>
          </w:p>
        </w:tc>
        <w:tc>
          <w:tcPr>
            <w:tcW w:w="7830" w:type="dxa"/>
            <w:noWrap/>
            <w:hideMark/>
          </w:tcPr>
          <w:p w14:paraId="4BBCD729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exp liver cirrhosis/</w:t>
            </w:r>
          </w:p>
        </w:tc>
      </w:tr>
      <w:tr w:rsidR="00B83023" w:rsidRPr="007F0FAF" w14:paraId="4EE2B6FB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0C95408D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23</w:t>
            </w:r>
          </w:p>
        </w:tc>
        <w:tc>
          <w:tcPr>
            <w:tcW w:w="7830" w:type="dxa"/>
            <w:noWrap/>
            <w:hideMark/>
          </w:tcPr>
          <w:p w14:paraId="54DA1EF6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exp liver fibrosis/</w:t>
            </w:r>
          </w:p>
        </w:tc>
      </w:tr>
      <w:tr w:rsidR="00B83023" w:rsidRPr="007F0FAF" w14:paraId="68A67B63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6A929F6F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24</w:t>
            </w:r>
          </w:p>
        </w:tc>
        <w:tc>
          <w:tcPr>
            <w:tcW w:w="7830" w:type="dxa"/>
            <w:noWrap/>
            <w:hideMark/>
          </w:tcPr>
          <w:p w14:paraId="15FB66E1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((hepatic or liver) and (fibrosis or cirrhosis)).</w:t>
            </w:r>
            <w:proofErr w:type="spellStart"/>
            <w:r w:rsidRPr="007F0FAF">
              <w:rPr>
                <w:rFonts w:ascii="Calibri" w:eastAsia="Calibri" w:hAnsi="Calibri" w:cs="Times New Roman"/>
                <w:lang w:val="en-US"/>
              </w:rPr>
              <w:t>mp</w:t>
            </w:r>
            <w:proofErr w:type="spellEnd"/>
            <w:r w:rsidRPr="007F0FAF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</w:tr>
      <w:tr w:rsidR="00B83023" w:rsidRPr="007F0FAF" w14:paraId="4C1AA78E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55D860E7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25</w:t>
            </w:r>
          </w:p>
        </w:tc>
        <w:tc>
          <w:tcPr>
            <w:tcW w:w="7830" w:type="dxa"/>
            <w:noWrap/>
            <w:hideMark/>
          </w:tcPr>
          <w:p w14:paraId="690A52E2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17 or 18 or 19 or 20 or 21 or 22 or 23 or 24</w:t>
            </w:r>
          </w:p>
        </w:tc>
      </w:tr>
      <w:tr w:rsidR="00B83023" w:rsidRPr="007F0FAF" w14:paraId="657E5318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359ACB4D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26</w:t>
            </w:r>
          </w:p>
        </w:tc>
        <w:tc>
          <w:tcPr>
            <w:tcW w:w="7830" w:type="dxa"/>
            <w:noWrap/>
            <w:hideMark/>
          </w:tcPr>
          <w:p w14:paraId="0E762536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9 and 16 and 25</w:t>
            </w:r>
          </w:p>
        </w:tc>
      </w:tr>
      <w:tr w:rsidR="00B83023" w:rsidRPr="007F0FAF" w14:paraId="0CE35652" w14:textId="77777777" w:rsidTr="007A5CEC">
        <w:trPr>
          <w:trHeight w:val="300"/>
        </w:trPr>
        <w:tc>
          <w:tcPr>
            <w:tcW w:w="738" w:type="dxa"/>
            <w:noWrap/>
            <w:hideMark/>
          </w:tcPr>
          <w:p w14:paraId="3A46AEB0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27</w:t>
            </w:r>
          </w:p>
        </w:tc>
        <w:tc>
          <w:tcPr>
            <w:tcW w:w="7830" w:type="dxa"/>
            <w:noWrap/>
            <w:hideMark/>
          </w:tcPr>
          <w:p w14:paraId="44A87027" w14:textId="77777777" w:rsidR="00B83023" w:rsidRPr="007F0FAF" w:rsidRDefault="00B83023" w:rsidP="007F0FA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F0FAF">
              <w:rPr>
                <w:rFonts w:ascii="Calibri" w:eastAsia="Calibri" w:hAnsi="Calibri" w:cs="Times New Roman"/>
                <w:lang w:val="en-US"/>
              </w:rPr>
              <w:t> remove duplicates from 26</w:t>
            </w:r>
          </w:p>
        </w:tc>
      </w:tr>
    </w:tbl>
    <w:p w14:paraId="08734C94" w14:textId="54B4F8B6" w:rsidR="00B83023" w:rsidRPr="007F0FAF" w:rsidRDefault="00B83023" w:rsidP="007F0FAF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Search was done on </w:t>
      </w:r>
      <w:r w:rsidR="000A1070">
        <w:rPr>
          <w:rFonts w:ascii="Calibri" w:eastAsia="Calibri" w:hAnsi="Calibri" w:cs="Times New Roman"/>
          <w:lang w:val="en-US"/>
        </w:rPr>
        <w:t>March 6</w:t>
      </w:r>
      <w:r w:rsidR="000A1070" w:rsidRPr="000A1070">
        <w:rPr>
          <w:rFonts w:ascii="Calibri" w:eastAsia="Calibri" w:hAnsi="Calibri" w:cs="Times New Roman"/>
          <w:vertAlign w:val="superscript"/>
          <w:lang w:val="en-US"/>
        </w:rPr>
        <w:t>th</w:t>
      </w:r>
      <w:r w:rsidR="000A1070">
        <w:rPr>
          <w:rFonts w:ascii="Calibri" w:eastAsia="Calibri" w:hAnsi="Calibri" w:cs="Times New Roman"/>
          <w:lang w:val="en-US"/>
        </w:rPr>
        <w:t xml:space="preserve"> 2019</w:t>
      </w:r>
      <w:r w:rsidRPr="007F0FAF">
        <w:rPr>
          <w:rFonts w:ascii="Calibri" w:eastAsia="Calibri" w:hAnsi="Calibri" w:cs="Times New Roman"/>
          <w:lang w:val="en-US"/>
        </w:rPr>
        <w:t xml:space="preserve"> with no date restrictions.</w:t>
      </w:r>
    </w:p>
    <w:p w14:paraId="4A4D7380" w14:textId="77777777" w:rsidR="00B83023" w:rsidRDefault="00B83023"/>
    <w:p w14:paraId="1854D603" w14:textId="77777777" w:rsidR="00B83023" w:rsidRDefault="00B83023"/>
    <w:p w14:paraId="09A2E2C5" w14:textId="77777777" w:rsidR="00B83023" w:rsidRDefault="00B83023"/>
    <w:p w14:paraId="48E26374" w14:textId="77777777" w:rsidR="00B83023" w:rsidRDefault="00B83023">
      <w:pPr>
        <w:sectPr w:rsidR="00B83023" w:rsidSect="0079372A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0E2259" w14:textId="77777777" w:rsidR="00B83023" w:rsidRPr="00652A98" w:rsidRDefault="00B83023" w:rsidP="005B7659">
      <w:pPr>
        <w:spacing w:after="0" w:line="240" w:lineRule="auto"/>
        <w:rPr>
          <w:rFonts w:cs="Times New Roman"/>
        </w:rPr>
      </w:pPr>
      <w:r>
        <w:rPr>
          <w:b/>
        </w:rPr>
        <w:t xml:space="preserve">Supplementary </w:t>
      </w:r>
      <w:r>
        <w:rPr>
          <w:rFonts w:cs="Times New Roman"/>
          <w:b/>
        </w:rPr>
        <w:t>Table 2</w:t>
      </w:r>
      <w:r w:rsidRPr="00652A98">
        <w:rPr>
          <w:rFonts w:cs="Times New Roman"/>
          <w:b/>
        </w:rPr>
        <w:t>.</w:t>
      </w:r>
      <w:r>
        <w:rPr>
          <w:rFonts w:cs="Times New Roman"/>
        </w:rPr>
        <w:t xml:space="preserve"> The Risk of Bias i</w:t>
      </w:r>
      <w:r w:rsidRPr="00652A98">
        <w:rPr>
          <w:rFonts w:cs="Times New Roman"/>
        </w:rPr>
        <w:t>n Non-randomized Studies – of Interventions (ROBINS-I) as</w:t>
      </w:r>
      <w:r>
        <w:rPr>
          <w:rFonts w:cs="Times New Roman"/>
        </w:rPr>
        <w:t>sessment tool</w:t>
      </w:r>
    </w:p>
    <w:tbl>
      <w:tblPr>
        <w:tblStyle w:val="TableGrid"/>
        <w:tblW w:w="1027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134"/>
        <w:gridCol w:w="1276"/>
        <w:gridCol w:w="1276"/>
        <w:gridCol w:w="1134"/>
        <w:gridCol w:w="1276"/>
        <w:gridCol w:w="1134"/>
        <w:gridCol w:w="1275"/>
      </w:tblGrid>
      <w:tr w:rsidR="00B83023" w:rsidRPr="00873B50" w14:paraId="4ABFEFB1" w14:textId="77777777" w:rsidTr="00391ACC"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487591" w14:textId="77777777" w:rsidR="00B83023" w:rsidRPr="00873B50" w:rsidRDefault="00B83023" w:rsidP="00652A9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  <w:lang w:val="en-US"/>
              </w:rPr>
            </w:pPr>
            <w:r w:rsidRPr="00873B50">
              <w:rPr>
                <w:rFonts w:ascii="Arial Narrow" w:eastAsia="Calibri" w:hAnsi="Arial Narrow" w:cs="Times New Roman"/>
                <w:b/>
                <w:sz w:val="18"/>
                <w:szCs w:val="18"/>
                <w:lang w:val="en-US"/>
              </w:rPr>
              <w:t>Study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30F38" w14:textId="77777777" w:rsidR="00B83023" w:rsidRPr="00873B50" w:rsidRDefault="00B83023" w:rsidP="00652A9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n-US"/>
              </w:rPr>
            </w:pPr>
            <w:r w:rsidRPr="00873B50">
              <w:rPr>
                <w:rFonts w:ascii="Arial Narrow" w:eastAsia="Calibri" w:hAnsi="Arial Narrow" w:cs="Times New Roman"/>
                <w:b/>
                <w:sz w:val="18"/>
                <w:szCs w:val="18"/>
                <w:lang w:val="en-CA"/>
              </w:rPr>
              <w:t>Bias due to confounding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BC57D" w14:textId="77777777" w:rsidR="00B83023" w:rsidRPr="00873B50" w:rsidRDefault="00B83023" w:rsidP="00652A9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n-US"/>
              </w:rPr>
            </w:pPr>
            <w:r w:rsidRPr="00873B50">
              <w:rPr>
                <w:rFonts w:ascii="Arial Narrow" w:eastAsia="Calibri" w:hAnsi="Arial Narrow" w:cs="Times New Roman"/>
                <w:b/>
                <w:sz w:val="18"/>
                <w:szCs w:val="18"/>
                <w:lang w:val="en-CA"/>
              </w:rPr>
              <w:t>Bias in selection of participants into the study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426B3" w14:textId="77777777" w:rsidR="00B83023" w:rsidRPr="00873B50" w:rsidRDefault="00B83023" w:rsidP="00652A9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n-CA"/>
              </w:rPr>
            </w:pPr>
            <w:r w:rsidRPr="00873B50">
              <w:rPr>
                <w:rFonts w:ascii="Arial Narrow" w:eastAsia="Calibri" w:hAnsi="Arial Narrow" w:cs="Times New Roman"/>
                <w:b/>
                <w:sz w:val="18"/>
                <w:szCs w:val="18"/>
                <w:lang w:val="en-CA"/>
              </w:rPr>
              <w:t>Bias in classification of exposures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D7625" w14:textId="77777777" w:rsidR="00B83023" w:rsidRPr="00873B50" w:rsidRDefault="00B83023" w:rsidP="00652A9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n-CA"/>
              </w:rPr>
            </w:pPr>
            <w:r w:rsidRPr="00873B50">
              <w:rPr>
                <w:rFonts w:ascii="Arial Narrow" w:eastAsia="Calibri" w:hAnsi="Arial Narrow" w:cs="Times New Roman"/>
                <w:b/>
                <w:sz w:val="18"/>
                <w:szCs w:val="18"/>
                <w:lang w:val="en-CA"/>
              </w:rPr>
              <w:t>Bias due to missing data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A5078" w14:textId="77777777" w:rsidR="00B83023" w:rsidRPr="00873B50" w:rsidRDefault="00B83023" w:rsidP="00652A9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n-US"/>
              </w:rPr>
            </w:pPr>
            <w:r w:rsidRPr="00873B50">
              <w:rPr>
                <w:rFonts w:ascii="Arial Narrow" w:eastAsia="Calibri" w:hAnsi="Arial Narrow" w:cs="Times New Roman"/>
                <w:b/>
                <w:sz w:val="18"/>
                <w:szCs w:val="18"/>
                <w:lang w:val="en-CA"/>
              </w:rPr>
              <w:t>Bias in measurement of outcomes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DDC11" w14:textId="77777777" w:rsidR="00B83023" w:rsidRPr="00873B50" w:rsidRDefault="00B83023" w:rsidP="00652A9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n-US"/>
              </w:rPr>
            </w:pPr>
            <w:r w:rsidRPr="00873B50">
              <w:rPr>
                <w:rFonts w:ascii="Arial Narrow" w:eastAsia="Calibri" w:hAnsi="Arial Narrow" w:cs="Times New Roman"/>
                <w:b/>
                <w:sz w:val="18"/>
                <w:szCs w:val="18"/>
                <w:lang w:val="en-CA"/>
              </w:rPr>
              <w:t>Bias in selection of the reported result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0552A" w14:textId="77777777" w:rsidR="00B83023" w:rsidRPr="00873B50" w:rsidRDefault="00B83023" w:rsidP="00652A9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en-US"/>
              </w:rPr>
            </w:pPr>
            <w:r w:rsidRPr="00873B50">
              <w:rPr>
                <w:rFonts w:ascii="Arial Narrow" w:eastAsia="Calibri" w:hAnsi="Arial Narrow" w:cs="Times New Roman"/>
                <w:b/>
                <w:sz w:val="18"/>
                <w:szCs w:val="18"/>
                <w:lang w:val="en-CA"/>
              </w:rPr>
              <w:t xml:space="preserve">Overall 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  <w:lang w:val="en-CA"/>
              </w:rPr>
              <w:t xml:space="preserve">risk of </w:t>
            </w:r>
            <w:r w:rsidRPr="00873B50">
              <w:rPr>
                <w:rFonts w:ascii="Arial Narrow" w:eastAsia="Calibri" w:hAnsi="Arial Narrow" w:cs="Times New Roman"/>
                <w:b/>
                <w:sz w:val="18"/>
                <w:szCs w:val="18"/>
                <w:lang w:val="en-CA"/>
              </w:rPr>
              <w:t>bias</w:t>
            </w:r>
          </w:p>
        </w:tc>
      </w:tr>
      <w:tr w:rsidR="00B83023" w:rsidRPr="00873B50" w14:paraId="369B54BC" w14:textId="77777777" w:rsidTr="00391ACC">
        <w:trPr>
          <w:trHeight w:val="325"/>
        </w:trPr>
        <w:tc>
          <w:tcPr>
            <w:tcW w:w="1765" w:type="dxa"/>
          </w:tcPr>
          <w:p w14:paraId="405B456C" w14:textId="77777777" w:rsidR="00B83023" w:rsidRPr="008A1C34" w:rsidRDefault="00B83023" w:rsidP="007255AD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A1C34">
              <w:rPr>
                <w:rFonts w:ascii="Arial Narrow" w:hAnsi="Arial Narrow" w:cs="Times New Roman"/>
                <w:sz w:val="20"/>
                <w:szCs w:val="20"/>
                <w:lang w:val="fr-CA"/>
              </w:rPr>
              <w:t>Askgaard</w:t>
            </w:r>
            <w:proofErr w:type="spellEnd"/>
            <w:r w:rsidRPr="008A1C34">
              <w:rPr>
                <w:rFonts w:ascii="Arial Narrow" w:hAnsi="Arial Narrow" w:cs="Times New Roman"/>
                <w:sz w:val="20"/>
                <w:szCs w:val="20"/>
                <w:lang w:val="fr-CA"/>
              </w:rPr>
              <w:t xml:space="preserve"> et al, 2015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fr-CA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8831E33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Moderate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92A3577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Moderate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351CCC7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429D121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3488281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FC36C73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7244C99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 xml:space="preserve">Moderate </w:t>
            </w:r>
          </w:p>
        </w:tc>
      </w:tr>
      <w:tr w:rsidR="00B83023" w:rsidRPr="00873B50" w14:paraId="02150435" w14:textId="77777777" w:rsidTr="00391ACC">
        <w:trPr>
          <w:trHeight w:val="325"/>
        </w:trPr>
        <w:tc>
          <w:tcPr>
            <w:tcW w:w="1765" w:type="dxa"/>
          </w:tcPr>
          <w:p w14:paraId="000E9142" w14:textId="77777777" w:rsidR="00B83023" w:rsidRPr="008A1C34" w:rsidRDefault="00B83023" w:rsidP="007255AD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A1C34">
              <w:rPr>
                <w:rFonts w:ascii="Arial Narrow" w:hAnsi="Arial Narrow" w:cs="Times New Roman"/>
                <w:sz w:val="20"/>
                <w:szCs w:val="20"/>
              </w:rPr>
              <w:t>Boffetta</w:t>
            </w:r>
            <w:proofErr w:type="spellEnd"/>
            <w:r w:rsidRPr="008A1C34">
              <w:rPr>
                <w:rFonts w:ascii="Arial Narrow" w:hAnsi="Arial Narrow" w:cs="Times New Roman"/>
                <w:sz w:val="20"/>
                <w:szCs w:val="20"/>
              </w:rPr>
              <w:t xml:space="preserve"> et al, 1990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auto"/>
          </w:tcPr>
          <w:p w14:paraId="49E7461A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Moderate</w:t>
            </w:r>
          </w:p>
        </w:tc>
        <w:tc>
          <w:tcPr>
            <w:tcW w:w="1276" w:type="dxa"/>
            <w:shd w:val="clear" w:color="auto" w:fill="auto"/>
          </w:tcPr>
          <w:p w14:paraId="487924F8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  <w:shd w:val="clear" w:color="auto" w:fill="auto"/>
          </w:tcPr>
          <w:p w14:paraId="6A8C172E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1B623ECB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  <w:shd w:val="clear" w:color="auto" w:fill="auto"/>
          </w:tcPr>
          <w:p w14:paraId="230FA79F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2A9E493E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5" w:type="dxa"/>
            <w:shd w:val="clear" w:color="auto" w:fill="auto"/>
          </w:tcPr>
          <w:p w14:paraId="156C9822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Moderate</w:t>
            </w:r>
          </w:p>
        </w:tc>
      </w:tr>
      <w:tr w:rsidR="00B83023" w:rsidRPr="00873B50" w14:paraId="32054124" w14:textId="77777777" w:rsidTr="00391ACC">
        <w:trPr>
          <w:trHeight w:val="325"/>
        </w:trPr>
        <w:tc>
          <w:tcPr>
            <w:tcW w:w="1765" w:type="dxa"/>
          </w:tcPr>
          <w:p w14:paraId="7B4F0D0A" w14:textId="77777777" w:rsidR="00B83023" w:rsidRPr="008A1C34" w:rsidRDefault="00B83023" w:rsidP="007255AD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bookmarkStart w:id="1" w:name="_Hlk519765489"/>
            <w:r w:rsidRPr="008A1C34">
              <w:rPr>
                <w:rFonts w:ascii="Arial Narrow" w:hAnsi="Arial Narrow" w:cs="Times New Roman"/>
                <w:sz w:val="20"/>
                <w:szCs w:val="20"/>
              </w:rPr>
              <w:t>Corrao et al, 1993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(3)</w:t>
            </w:r>
          </w:p>
        </w:tc>
        <w:tc>
          <w:tcPr>
            <w:tcW w:w="1134" w:type="dxa"/>
            <w:shd w:val="clear" w:color="auto" w:fill="auto"/>
          </w:tcPr>
          <w:p w14:paraId="22B423C9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Moderate</w:t>
            </w:r>
          </w:p>
        </w:tc>
        <w:tc>
          <w:tcPr>
            <w:tcW w:w="1276" w:type="dxa"/>
            <w:shd w:val="clear" w:color="auto" w:fill="auto"/>
          </w:tcPr>
          <w:p w14:paraId="73CD96D4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  <w:shd w:val="clear" w:color="auto" w:fill="auto"/>
          </w:tcPr>
          <w:p w14:paraId="312047CA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Moderate</w:t>
            </w:r>
          </w:p>
        </w:tc>
        <w:tc>
          <w:tcPr>
            <w:tcW w:w="1134" w:type="dxa"/>
            <w:shd w:val="clear" w:color="auto" w:fill="auto"/>
          </w:tcPr>
          <w:p w14:paraId="3E6EE521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  <w:shd w:val="clear" w:color="auto" w:fill="auto"/>
          </w:tcPr>
          <w:p w14:paraId="3F58E72C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50A96810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5" w:type="dxa"/>
            <w:shd w:val="clear" w:color="auto" w:fill="auto"/>
          </w:tcPr>
          <w:p w14:paraId="0E0A08EE" w14:textId="77777777" w:rsidR="00B83023" w:rsidRPr="007255AD" w:rsidRDefault="00B83023" w:rsidP="007255A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Moderate</w:t>
            </w:r>
          </w:p>
        </w:tc>
      </w:tr>
      <w:bookmarkEnd w:id="1"/>
      <w:tr w:rsidR="00B83023" w:rsidRPr="00873B50" w14:paraId="0A409267" w14:textId="77777777" w:rsidTr="00391ACC">
        <w:trPr>
          <w:trHeight w:val="325"/>
        </w:trPr>
        <w:tc>
          <w:tcPr>
            <w:tcW w:w="1765" w:type="dxa"/>
          </w:tcPr>
          <w:p w14:paraId="0EA0E224" w14:textId="77777777" w:rsidR="00B83023" w:rsidRPr="008A1C34" w:rsidRDefault="00B83023" w:rsidP="009D5968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8A1C34">
              <w:rPr>
                <w:rFonts w:ascii="Arial Narrow" w:hAnsi="Arial Narrow" w:cs="Times New Roman"/>
                <w:sz w:val="20"/>
                <w:szCs w:val="20"/>
              </w:rPr>
              <w:t>Corrao et al, 1997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(4)</w:t>
            </w:r>
          </w:p>
        </w:tc>
        <w:tc>
          <w:tcPr>
            <w:tcW w:w="1134" w:type="dxa"/>
            <w:shd w:val="clear" w:color="auto" w:fill="auto"/>
          </w:tcPr>
          <w:p w14:paraId="4D102D4F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Moderate</w:t>
            </w:r>
          </w:p>
        </w:tc>
        <w:tc>
          <w:tcPr>
            <w:tcW w:w="1276" w:type="dxa"/>
            <w:shd w:val="clear" w:color="auto" w:fill="auto"/>
          </w:tcPr>
          <w:p w14:paraId="00A70C51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  <w:shd w:val="clear" w:color="auto" w:fill="auto"/>
          </w:tcPr>
          <w:p w14:paraId="23902006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Moderate</w:t>
            </w:r>
          </w:p>
        </w:tc>
        <w:tc>
          <w:tcPr>
            <w:tcW w:w="1134" w:type="dxa"/>
            <w:shd w:val="clear" w:color="auto" w:fill="auto"/>
          </w:tcPr>
          <w:p w14:paraId="6B293A2E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  <w:shd w:val="clear" w:color="auto" w:fill="auto"/>
          </w:tcPr>
          <w:p w14:paraId="27A9DE4D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3AC1FB47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5" w:type="dxa"/>
            <w:shd w:val="clear" w:color="auto" w:fill="auto"/>
          </w:tcPr>
          <w:p w14:paraId="3ED19B53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D5968">
              <w:rPr>
                <w:rFonts w:ascii="Arial Narrow" w:hAnsi="Arial Narrow"/>
                <w:sz w:val="20"/>
                <w:szCs w:val="20"/>
              </w:rPr>
              <w:t>Moderate</w:t>
            </w:r>
          </w:p>
        </w:tc>
      </w:tr>
      <w:tr w:rsidR="00B83023" w:rsidRPr="00873B50" w14:paraId="165B8EDE" w14:textId="77777777" w:rsidTr="00391ACC">
        <w:trPr>
          <w:trHeight w:val="325"/>
        </w:trPr>
        <w:tc>
          <w:tcPr>
            <w:tcW w:w="1765" w:type="dxa"/>
          </w:tcPr>
          <w:p w14:paraId="6A3D2553" w14:textId="77777777" w:rsidR="00B83023" w:rsidRPr="008A1C34" w:rsidRDefault="00B83023" w:rsidP="009D5968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A1C34">
              <w:rPr>
                <w:rFonts w:ascii="Arial Narrow" w:hAnsi="Arial Narrow" w:cs="Times New Roman"/>
                <w:sz w:val="20"/>
                <w:szCs w:val="20"/>
                <w:lang w:val="es-ES"/>
              </w:rPr>
              <w:t>Fuchs et al, 1995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es-ES"/>
              </w:rPr>
              <w:t>(5)</w:t>
            </w:r>
          </w:p>
        </w:tc>
        <w:tc>
          <w:tcPr>
            <w:tcW w:w="1134" w:type="dxa"/>
            <w:shd w:val="clear" w:color="auto" w:fill="auto"/>
          </w:tcPr>
          <w:p w14:paraId="46CDCBED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 xml:space="preserve">Moderate </w:t>
            </w:r>
          </w:p>
        </w:tc>
        <w:tc>
          <w:tcPr>
            <w:tcW w:w="1276" w:type="dxa"/>
            <w:shd w:val="clear" w:color="auto" w:fill="auto"/>
          </w:tcPr>
          <w:p w14:paraId="601516B7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  <w:shd w:val="clear" w:color="auto" w:fill="auto"/>
          </w:tcPr>
          <w:p w14:paraId="24155F98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63012062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Unclear</w:t>
            </w:r>
          </w:p>
        </w:tc>
        <w:tc>
          <w:tcPr>
            <w:tcW w:w="1276" w:type="dxa"/>
            <w:shd w:val="clear" w:color="auto" w:fill="auto"/>
          </w:tcPr>
          <w:p w14:paraId="3D444B75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000FAB03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5" w:type="dxa"/>
            <w:shd w:val="clear" w:color="auto" w:fill="auto"/>
          </w:tcPr>
          <w:p w14:paraId="74204DF4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 xml:space="preserve">Moderate </w:t>
            </w:r>
          </w:p>
        </w:tc>
      </w:tr>
      <w:tr w:rsidR="00B83023" w:rsidRPr="00873B50" w14:paraId="3E3C91CC" w14:textId="77777777" w:rsidTr="00391ACC">
        <w:trPr>
          <w:trHeight w:val="325"/>
        </w:trPr>
        <w:tc>
          <w:tcPr>
            <w:tcW w:w="1765" w:type="dxa"/>
          </w:tcPr>
          <w:p w14:paraId="51849A43" w14:textId="77777777" w:rsidR="00B83023" w:rsidRPr="008A1C34" w:rsidRDefault="00B83023" w:rsidP="009D5968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8A1C34">
              <w:rPr>
                <w:rFonts w:ascii="Arial Narrow" w:hAnsi="Arial Narrow" w:cs="Times New Roman"/>
                <w:sz w:val="20"/>
                <w:szCs w:val="20"/>
              </w:rPr>
              <w:t>Garfinkel et al, 1988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(6)</w:t>
            </w:r>
          </w:p>
        </w:tc>
        <w:tc>
          <w:tcPr>
            <w:tcW w:w="1134" w:type="dxa"/>
            <w:shd w:val="clear" w:color="auto" w:fill="auto"/>
          </w:tcPr>
          <w:p w14:paraId="671EDE58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Serious</w:t>
            </w:r>
          </w:p>
        </w:tc>
        <w:tc>
          <w:tcPr>
            <w:tcW w:w="1276" w:type="dxa"/>
            <w:shd w:val="clear" w:color="auto" w:fill="auto"/>
          </w:tcPr>
          <w:p w14:paraId="2644C64A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  <w:shd w:val="clear" w:color="auto" w:fill="auto"/>
          </w:tcPr>
          <w:p w14:paraId="3777C313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0883809B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 xml:space="preserve">Unclear </w:t>
            </w:r>
          </w:p>
        </w:tc>
        <w:tc>
          <w:tcPr>
            <w:tcW w:w="1276" w:type="dxa"/>
            <w:shd w:val="clear" w:color="auto" w:fill="auto"/>
          </w:tcPr>
          <w:p w14:paraId="37E95F79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0F008265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5" w:type="dxa"/>
            <w:shd w:val="clear" w:color="auto" w:fill="auto"/>
          </w:tcPr>
          <w:p w14:paraId="21972393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Serious</w:t>
            </w:r>
          </w:p>
        </w:tc>
      </w:tr>
      <w:tr w:rsidR="00B83023" w:rsidRPr="00873B50" w14:paraId="076CCA25" w14:textId="77777777" w:rsidTr="00391ACC">
        <w:trPr>
          <w:trHeight w:val="325"/>
        </w:trPr>
        <w:tc>
          <w:tcPr>
            <w:tcW w:w="1765" w:type="dxa"/>
          </w:tcPr>
          <w:p w14:paraId="34B21F51" w14:textId="77777777" w:rsidR="00B83023" w:rsidRPr="008A1C34" w:rsidRDefault="00B83023" w:rsidP="009D5968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8A1C34">
              <w:rPr>
                <w:rFonts w:ascii="Arial Narrow" w:hAnsi="Arial Narrow" w:cs="Times New Roman"/>
                <w:sz w:val="20"/>
                <w:szCs w:val="20"/>
              </w:rPr>
              <w:t>Klatsky</w:t>
            </w:r>
            <w:proofErr w:type="spellEnd"/>
            <w:r w:rsidRPr="008A1C34">
              <w:rPr>
                <w:rFonts w:ascii="Arial Narrow" w:hAnsi="Arial Narrow" w:cs="Times New Roman"/>
                <w:sz w:val="20"/>
                <w:szCs w:val="20"/>
              </w:rPr>
              <w:t xml:space="preserve"> et al, 2003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(7)</w:t>
            </w:r>
          </w:p>
        </w:tc>
        <w:tc>
          <w:tcPr>
            <w:tcW w:w="1134" w:type="dxa"/>
          </w:tcPr>
          <w:p w14:paraId="306848F5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 xml:space="preserve">Moderate </w:t>
            </w:r>
          </w:p>
        </w:tc>
        <w:tc>
          <w:tcPr>
            <w:tcW w:w="1276" w:type="dxa"/>
          </w:tcPr>
          <w:p w14:paraId="2BC3B360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</w:tcPr>
          <w:p w14:paraId="0DC53196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</w:tcPr>
          <w:p w14:paraId="610BF473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</w:tcPr>
          <w:p w14:paraId="22ADB905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</w:tcPr>
          <w:p w14:paraId="7D9FB51A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5" w:type="dxa"/>
          </w:tcPr>
          <w:p w14:paraId="72F3A0CD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 xml:space="preserve">Moderate </w:t>
            </w:r>
          </w:p>
        </w:tc>
      </w:tr>
      <w:tr w:rsidR="00B83023" w:rsidRPr="00873B50" w14:paraId="794C0D9F" w14:textId="77777777" w:rsidTr="00391ACC">
        <w:trPr>
          <w:trHeight w:val="325"/>
        </w:trPr>
        <w:tc>
          <w:tcPr>
            <w:tcW w:w="1765" w:type="dxa"/>
          </w:tcPr>
          <w:p w14:paraId="73938FAE" w14:textId="77777777" w:rsidR="00B83023" w:rsidRPr="008A1C34" w:rsidRDefault="00B83023" w:rsidP="009D5968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8A1C34">
              <w:rPr>
                <w:rFonts w:ascii="Arial Narrow" w:hAnsi="Arial Narrow" w:cs="Times New Roman"/>
                <w:sz w:val="20"/>
                <w:szCs w:val="20"/>
              </w:rPr>
              <w:t>Liu et al, 2009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(8)</w:t>
            </w:r>
          </w:p>
        </w:tc>
        <w:tc>
          <w:tcPr>
            <w:tcW w:w="1134" w:type="dxa"/>
          </w:tcPr>
          <w:p w14:paraId="7EFC06C9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Moderate</w:t>
            </w:r>
          </w:p>
        </w:tc>
        <w:tc>
          <w:tcPr>
            <w:tcW w:w="1276" w:type="dxa"/>
          </w:tcPr>
          <w:p w14:paraId="259D4189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</w:tcPr>
          <w:p w14:paraId="1CE7E9A2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 xml:space="preserve">Moderate </w:t>
            </w:r>
          </w:p>
        </w:tc>
        <w:tc>
          <w:tcPr>
            <w:tcW w:w="1134" w:type="dxa"/>
          </w:tcPr>
          <w:p w14:paraId="07FA9C8F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</w:tcPr>
          <w:p w14:paraId="3454CFF9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</w:tcPr>
          <w:p w14:paraId="34BB5BE0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5" w:type="dxa"/>
          </w:tcPr>
          <w:p w14:paraId="12C060BE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Moderate</w:t>
            </w:r>
          </w:p>
        </w:tc>
      </w:tr>
      <w:tr w:rsidR="00B83023" w:rsidRPr="00873B50" w14:paraId="144922A1" w14:textId="77777777" w:rsidTr="00391ACC">
        <w:trPr>
          <w:trHeight w:val="325"/>
        </w:trPr>
        <w:tc>
          <w:tcPr>
            <w:tcW w:w="1765" w:type="dxa"/>
            <w:tcBorders>
              <w:bottom w:val="single" w:sz="4" w:space="0" w:color="auto"/>
            </w:tcBorders>
          </w:tcPr>
          <w:p w14:paraId="75B37A3B" w14:textId="77777777" w:rsidR="00B83023" w:rsidRPr="008A1C34" w:rsidRDefault="00B83023" w:rsidP="009D5968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A1C34">
              <w:rPr>
                <w:rFonts w:ascii="Arial Narrow" w:hAnsi="Arial Narrow" w:cs="Times New Roman"/>
                <w:sz w:val="20"/>
                <w:szCs w:val="20"/>
                <w:lang w:val="fr-CA"/>
              </w:rPr>
              <w:t>Yang et al, 2012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val="fr-CA"/>
              </w:rPr>
              <w:t>(9)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6511D0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690D17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27EB7E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8238B3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C5E6D3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34DE2E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>Low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3C6705" w14:textId="77777777" w:rsidR="00B83023" w:rsidRPr="007255AD" w:rsidRDefault="00B83023" w:rsidP="009D596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255AD">
              <w:rPr>
                <w:rFonts w:ascii="Arial Narrow" w:hAnsi="Arial Narrow"/>
                <w:sz w:val="20"/>
                <w:szCs w:val="20"/>
              </w:rPr>
              <w:t xml:space="preserve">Moderate </w:t>
            </w:r>
          </w:p>
        </w:tc>
      </w:tr>
    </w:tbl>
    <w:p w14:paraId="54C23EF9" w14:textId="77777777" w:rsidR="00B83023" w:rsidRDefault="00B83023"/>
    <w:p w14:paraId="3AF6B10C" w14:textId="77777777" w:rsidR="00B83023" w:rsidRDefault="00B83023" w:rsidP="00734AC4">
      <w:pPr>
        <w:spacing w:after="160" w:line="259" w:lineRule="auto"/>
      </w:pPr>
      <w:r>
        <w:br w:type="page"/>
      </w:r>
      <w:r>
        <w:rPr>
          <w:b/>
        </w:rPr>
        <w:t xml:space="preserve">Supplementary </w:t>
      </w:r>
      <w:r w:rsidRPr="00E20FAD">
        <w:rPr>
          <w:b/>
        </w:rPr>
        <w:t xml:space="preserve">Fig. </w:t>
      </w:r>
      <w:r>
        <w:rPr>
          <w:b/>
        </w:rPr>
        <w:t>1</w:t>
      </w:r>
      <w:r w:rsidRPr="00E20FAD">
        <w:rPr>
          <w:b/>
        </w:rPr>
        <w:t xml:space="preserve">. </w:t>
      </w:r>
      <w:r w:rsidRPr="00E20FAD">
        <w:t>Funnel plot for</w:t>
      </w:r>
      <w:r>
        <w:t xml:space="preserve"> cohort studies in drinkers of 1 or 2 drinks per day</w:t>
      </w:r>
      <w:r w:rsidRPr="00E20FAD">
        <w:t xml:space="preserve">, </w:t>
      </w:r>
      <w:r>
        <w:t xml:space="preserve">both sexes, </w:t>
      </w:r>
      <w:r w:rsidRPr="00E20FAD">
        <w:t>1988-2017</w:t>
      </w:r>
    </w:p>
    <w:p w14:paraId="24F2E3FD" w14:textId="77777777" w:rsidR="00B83023" w:rsidRDefault="00B83023" w:rsidP="00734AC4">
      <w:pPr>
        <w:spacing w:after="160" w:line="259" w:lineRule="auto"/>
      </w:pPr>
      <w:r w:rsidRPr="008C240F">
        <w:rPr>
          <w:noProof/>
        </w:rPr>
        <w:drawing>
          <wp:inline distT="0" distB="0" distL="0" distR="0" wp14:anchorId="60100EB3" wp14:editId="6310CE67">
            <wp:extent cx="5105400" cy="3733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13775" w14:textId="77777777" w:rsidR="00B83023" w:rsidRDefault="00B83023" w:rsidP="00734AC4">
      <w:pPr>
        <w:spacing w:after="160" w:line="259" w:lineRule="auto"/>
      </w:pPr>
      <w:r>
        <w:br w:type="page"/>
      </w:r>
    </w:p>
    <w:p w14:paraId="36592F1D" w14:textId="77777777" w:rsidR="00B83023" w:rsidRDefault="00B83023" w:rsidP="00734AC4">
      <w:pPr>
        <w:spacing w:after="160" w:line="259" w:lineRule="auto"/>
      </w:pPr>
      <w:bookmarkStart w:id="2" w:name="_Hlk511830431"/>
      <w:r>
        <w:rPr>
          <w:b/>
        </w:rPr>
        <w:t xml:space="preserve">Supplementary </w:t>
      </w:r>
      <w:r w:rsidRPr="00E20FAD">
        <w:rPr>
          <w:b/>
        </w:rPr>
        <w:t xml:space="preserve">Fig. </w:t>
      </w:r>
      <w:r>
        <w:rPr>
          <w:b/>
        </w:rPr>
        <w:t>2</w:t>
      </w:r>
      <w:r w:rsidRPr="00E20FAD">
        <w:rPr>
          <w:b/>
        </w:rPr>
        <w:t xml:space="preserve">. </w:t>
      </w:r>
      <w:r w:rsidRPr="00E20FAD">
        <w:t>Influence of omitting a single study</w:t>
      </w:r>
      <w:bookmarkEnd w:id="2"/>
      <w:r w:rsidRPr="00E20FAD">
        <w:t xml:space="preserve"> for</w:t>
      </w:r>
      <w:r>
        <w:t xml:space="preserve"> cohort studies in drinkers of 1 or 2 drinks per day</w:t>
      </w:r>
      <w:r w:rsidRPr="00E20FAD">
        <w:t>,</w:t>
      </w:r>
      <w:r>
        <w:t xml:space="preserve"> both sexes,</w:t>
      </w:r>
      <w:r w:rsidRPr="00E20FAD">
        <w:t xml:space="preserve"> 1988-2017</w:t>
      </w:r>
    </w:p>
    <w:p w14:paraId="16713A70" w14:textId="77777777" w:rsidR="00B83023" w:rsidRDefault="00B83023" w:rsidP="00734AC4">
      <w:pPr>
        <w:spacing w:after="160" w:line="259" w:lineRule="auto"/>
      </w:pPr>
      <w:r w:rsidRPr="008C240F">
        <w:rPr>
          <w:noProof/>
        </w:rPr>
        <w:drawing>
          <wp:inline distT="0" distB="0" distL="0" distR="0" wp14:anchorId="16CB3C68" wp14:editId="0DD92658">
            <wp:extent cx="548640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B986E" w14:textId="77777777" w:rsidR="00B83023" w:rsidRDefault="00B83023" w:rsidP="00734AC4">
      <w:pPr>
        <w:spacing w:after="160" w:line="259" w:lineRule="auto"/>
      </w:pPr>
      <w:r>
        <w:br w:type="page"/>
      </w:r>
      <w:r w:rsidRPr="001C6E41">
        <w:rPr>
          <w:b/>
        </w:rPr>
        <w:t xml:space="preserve">Supplementary Fig. </w:t>
      </w:r>
      <w:r>
        <w:rPr>
          <w:b/>
        </w:rPr>
        <w:t>3</w:t>
      </w:r>
      <w:r w:rsidRPr="001C6E41">
        <w:rPr>
          <w:b/>
        </w:rPr>
        <w:t>.</w:t>
      </w:r>
      <w:r w:rsidRPr="001C6E41">
        <w:t xml:space="preserve"> Forest plot of liver cirrhosis risk by alcohol consumption (in comparison to long-term abstainers) in cohort studies in women, 1988-2017</w:t>
      </w:r>
    </w:p>
    <w:p w14:paraId="53738136" w14:textId="77777777" w:rsidR="00B83023" w:rsidRDefault="00B83023" w:rsidP="00734AC4">
      <w:pPr>
        <w:spacing w:after="160" w:line="259" w:lineRule="auto"/>
      </w:pPr>
      <w:r w:rsidRPr="001C6E41">
        <w:rPr>
          <w:noProof/>
        </w:rPr>
        <w:drawing>
          <wp:inline distT="0" distB="0" distL="0" distR="0" wp14:anchorId="5EA0B929" wp14:editId="56EC46C4">
            <wp:extent cx="5943600" cy="5278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0D8E0" w14:textId="77777777" w:rsidR="00B83023" w:rsidRDefault="00B83023" w:rsidP="00734AC4">
      <w:pPr>
        <w:spacing w:after="160" w:line="259" w:lineRule="auto"/>
      </w:pPr>
      <w:r>
        <w:t>Adjusted for age, smoking, and body weight.</w:t>
      </w:r>
    </w:p>
    <w:p w14:paraId="19FCBE34" w14:textId="77777777" w:rsidR="00B83023" w:rsidRDefault="00B83023" w:rsidP="00734AC4">
      <w:pPr>
        <w:spacing w:after="160" w:line="259" w:lineRule="auto"/>
      </w:pPr>
    </w:p>
    <w:p w14:paraId="1019868B" w14:textId="77777777" w:rsidR="00B83023" w:rsidRDefault="00B83023">
      <w:pPr>
        <w:spacing w:after="160" w:line="259" w:lineRule="auto"/>
      </w:pPr>
    </w:p>
    <w:p w14:paraId="3E4B3812" w14:textId="77777777" w:rsidR="00B83023" w:rsidRDefault="00B8302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6B2DF81" w14:textId="77777777" w:rsidR="00B83023" w:rsidRDefault="00B83023" w:rsidP="0082590A">
      <w:pPr>
        <w:spacing w:after="160" w:line="259" w:lineRule="auto"/>
        <w:rPr>
          <w:rFonts w:cs="Times New Roman"/>
          <w:b/>
        </w:rPr>
      </w:pPr>
      <w:r>
        <w:rPr>
          <w:b/>
        </w:rPr>
        <w:t xml:space="preserve">Supplementary </w:t>
      </w:r>
      <w:r w:rsidRPr="00E20FAD">
        <w:rPr>
          <w:b/>
        </w:rPr>
        <w:t xml:space="preserve">Fig. </w:t>
      </w:r>
      <w:r>
        <w:rPr>
          <w:b/>
        </w:rPr>
        <w:t>4</w:t>
      </w:r>
      <w:r w:rsidRPr="00E20FAD">
        <w:rPr>
          <w:b/>
        </w:rPr>
        <w:t xml:space="preserve">. </w:t>
      </w:r>
      <w:r>
        <w:rPr>
          <w:rFonts w:cs="Times New Roman"/>
        </w:rPr>
        <w:t>Dose-response relationship</w:t>
      </w:r>
      <w:r w:rsidRPr="0036082A">
        <w:rPr>
          <w:rFonts w:cs="Times New Roman"/>
        </w:rPr>
        <w:t xml:space="preserve"> of liver cirrhosis risk by alcohol consumption </w:t>
      </w:r>
      <w:r>
        <w:rPr>
          <w:rFonts w:cs="Times New Roman"/>
        </w:rPr>
        <w:t xml:space="preserve">in relation to long-term abstainers in men </w:t>
      </w:r>
      <w:r w:rsidRPr="0036082A">
        <w:rPr>
          <w:rFonts w:cs="Times New Roman"/>
        </w:rPr>
        <w:t>in cohort studies, 1988-2017</w:t>
      </w:r>
    </w:p>
    <w:p w14:paraId="77355750" w14:textId="77777777" w:rsidR="00B83023" w:rsidRDefault="00B83023" w:rsidP="0082590A">
      <w:pPr>
        <w:spacing w:after="160" w:line="259" w:lineRule="auto"/>
        <w:rPr>
          <w:rFonts w:cs="Times New Roman"/>
          <w:b/>
        </w:rPr>
      </w:pPr>
      <w:r w:rsidRPr="00095166">
        <w:rPr>
          <w:rFonts w:cs="Times New Roman"/>
          <w:b/>
          <w:noProof/>
        </w:rPr>
        <w:drawing>
          <wp:inline distT="0" distB="0" distL="0" distR="0" wp14:anchorId="4163A41F" wp14:editId="269C07B7">
            <wp:extent cx="5099050" cy="37274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39724" w14:textId="77777777" w:rsidR="00B83023" w:rsidRPr="0036082A" w:rsidRDefault="00B83023" w:rsidP="0082590A">
      <w:pPr>
        <w:spacing w:after="160" w:line="259" w:lineRule="auto"/>
        <w:rPr>
          <w:rFonts w:cs="Times New Roman"/>
        </w:rPr>
      </w:pPr>
      <w:r w:rsidRPr="0036082A">
        <w:rPr>
          <w:rFonts w:cs="Times New Roman"/>
        </w:rPr>
        <w:t>CI</w:t>
      </w:r>
      <w:r>
        <w:rPr>
          <w:rFonts w:cs="Times New Roman"/>
        </w:rPr>
        <w:t xml:space="preserve"> =</w:t>
      </w:r>
      <w:r w:rsidRPr="0036082A">
        <w:rPr>
          <w:rFonts w:cs="Times New Roman"/>
        </w:rPr>
        <w:t xml:space="preserve"> confidence interval</w:t>
      </w:r>
      <w:r>
        <w:rPr>
          <w:rFonts w:cs="Times New Roman"/>
        </w:rPr>
        <w:t>.</w:t>
      </w:r>
    </w:p>
    <w:p w14:paraId="0BAA1C52" w14:textId="77777777" w:rsidR="00B83023" w:rsidRDefault="00B83023" w:rsidP="0082590A">
      <w:pPr>
        <w:spacing w:after="160" w:line="259" w:lineRule="auto"/>
      </w:pPr>
    </w:p>
    <w:p w14:paraId="180D19E8" w14:textId="77777777" w:rsidR="00B83023" w:rsidRDefault="00B83023" w:rsidP="0082590A">
      <w:pPr>
        <w:spacing w:after="160" w:line="259" w:lineRule="auto"/>
      </w:pPr>
      <w:r>
        <w:br w:type="page"/>
      </w:r>
    </w:p>
    <w:p w14:paraId="49A7A1E3" w14:textId="77777777" w:rsidR="00B83023" w:rsidRDefault="00B83023" w:rsidP="0082590A">
      <w:pPr>
        <w:spacing w:after="160" w:line="259" w:lineRule="auto"/>
        <w:rPr>
          <w:rFonts w:cs="Times New Roman"/>
          <w:b/>
        </w:rPr>
      </w:pPr>
      <w:r>
        <w:rPr>
          <w:b/>
        </w:rPr>
        <w:t xml:space="preserve">Supplementary </w:t>
      </w:r>
      <w:r w:rsidRPr="00E20FAD">
        <w:rPr>
          <w:b/>
        </w:rPr>
        <w:t xml:space="preserve">Fig. </w:t>
      </w:r>
      <w:r>
        <w:rPr>
          <w:b/>
        </w:rPr>
        <w:t>5</w:t>
      </w:r>
      <w:r w:rsidRPr="00E20FAD">
        <w:rPr>
          <w:b/>
        </w:rPr>
        <w:t xml:space="preserve">. </w:t>
      </w:r>
      <w:r>
        <w:rPr>
          <w:rFonts w:cs="Times New Roman"/>
        </w:rPr>
        <w:t>Dose-response relationship</w:t>
      </w:r>
      <w:r w:rsidRPr="0036082A">
        <w:rPr>
          <w:rFonts w:cs="Times New Roman"/>
        </w:rPr>
        <w:t xml:space="preserve"> of liver cirrhosis risk by alcohol consumption </w:t>
      </w:r>
      <w:r>
        <w:rPr>
          <w:rFonts w:cs="Times New Roman"/>
        </w:rPr>
        <w:t xml:space="preserve">in relation to long-term abstainers in women </w:t>
      </w:r>
      <w:r w:rsidRPr="0036082A">
        <w:rPr>
          <w:rFonts w:cs="Times New Roman"/>
        </w:rPr>
        <w:t>in cohort studies, 1988-2017</w:t>
      </w:r>
    </w:p>
    <w:p w14:paraId="3EFA5BAE" w14:textId="77777777" w:rsidR="00B83023" w:rsidRDefault="00B83023" w:rsidP="0082590A">
      <w:pPr>
        <w:spacing w:after="160" w:line="259" w:lineRule="auto"/>
        <w:rPr>
          <w:rFonts w:cs="Times New Roman"/>
          <w:b/>
        </w:rPr>
      </w:pPr>
      <w:r w:rsidRPr="00095166">
        <w:rPr>
          <w:rFonts w:cs="Times New Roman"/>
          <w:b/>
          <w:noProof/>
        </w:rPr>
        <w:drawing>
          <wp:inline distT="0" distB="0" distL="0" distR="0" wp14:anchorId="4AE0B1C6" wp14:editId="2910DEE9">
            <wp:extent cx="5099050" cy="37274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BF05D" w14:textId="77777777" w:rsidR="00B83023" w:rsidRPr="0036082A" w:rsidRDefault="00B83023" w:rsidP="0082590A">
      <w:pPr>
        <w:spacing w:after="160" w:line="259" w:lineRule="auto"/>
        <w:rPr>
          <w:rFonts w:cs="Times New Roman"/>
        </w:rPr>
      </w:pPr>
      <w:r w:rsidRPr="0036082A">
        <w:rPr>
          <w:rFonts w:cs="Times New Roman"/>
        </w:rPr>
        <w:t>CI</w:t>
      </w:r>
      <w:r>
        <w:rPr>
          <w:rFonts w:cs="Times New Roman"/>
        </w:rPr>
        <w:t xml:space="preserve"> =</w:t>
      </w:r>
      <w:r w:rsidRPr="0036082A">
        <w:rPr>
          <w:rFonts w:cs="Times New Roman"/>
        </w:rPr>
        <w:t xml:space="preserve"> confidence interval</w:t>
      </w:r>
      <w:r>
        <w:rPr>
          <w:rFonts w:cs="Times New Roman"/>
        </w:rPr>
        <w:t>.</w:t>
      </w:r>
    </w:p>
    <w:p w14:paraId="6A60E491" w14:textId="77777777" w:rsidR="00B83023" w:rsidRDefault="00B83023">
      <w:pPr>
        <w:spacing w:after="160" w:line="259" w:lineRule="auto"/>
      </w:pPr>
      <w:r>
        <w:br w:type="page"/>
      </w:r>
    </w:p>
    <w:p w14:paraId="222D8524" w14:textId="77777777" w:rsidR="00B83023" w:rsidRPr="00AB1945" w:rsidRDefault="00B83023" w:rsidP="00822124">
      <w:pPr>
        <w:spacing w:after="240" w:line="240" w:lineRule="auto"/>
        <w:rPr>
          <w:rFonts w:cs="Times New Roman"/>
          <w:b/>
        </w:rPr>
      </w:pPr>
      <w:r>
        <w:rPr>
          <w:b/>
        </w:rPr>
        <w:t xml:space="preserve">Supplementary </w:t>
      </w:r>
      <w:r w:rsidRPr="00E20FAD">
        <w:rPr>
          <w:b/>
        </w:rPr>
        <w:t xml:space="preserve">Fig. </w:t>
      </w:r>
      <w:r>
        <w:rPr>
          <w:b/>
        </w:rPr>
        <w:t>6</w:t>
      </w:r>
      <w:r w:rsidRPr="00E20FAD">
        <w:rPr>
          <w:b/>
        </w:rPr>
        <w:t xml:space="preserve">. </w:t>
      </w:r>
      <w:r w:rsidRPr="00E805E8">
        <w:rPr>
          <w:rFonts w:cs="Times New Roman"/>
        </w:rPr>
        <w:t>Forest plot of liver cirrhosis risk by alcohol consumption</w:t>
      </w:r>
      <w:r>
        <w:rPr>
          <w:rFonts w:cs="Times New Roman"/>
        </w:rPr>
        <w:t xml:space="preserve"> (in comparison to long-term abstainers)</w:t>
      </w:r>
      <w:r w:rsidRPr="00E805E8">
        <w:rPr>
          <w:rFonts w:cs="Times New Roman"/>
        </w:rPr>
        <w:t xml:space="preserve"> in </w:t>
      </w:r>
      <w:r>
        <w:rPr>
          <w:rFonts w:cs="Times New Roman"/>
        </w:rPr>
        <w:t>case-control</w:t>
      </w:r>
      <w:r w:rsidRPr="00E805E8">
        <w:rPr>
          <w:rFonts w:cs="Times New Roman"/>
        </w:rPr>
        <w:t xml:space="preserve"> studies</w:t>
      </w:r>
      <w:r>
        <w:rPr>
          <w:rFonts w:cs="Times New Roman"/>
        </w:rPr>
        <w:t xml:space="preserve"> in men</w:t>
      </w:r>
      <w:r w:rsidRPr="00E805E8">
        <w:rPr>
          <w:rFonts w:cs="Times New Roman"/>
        </w:rPr>
        <w:t>, 1988-2017</w:t>
      </w:r>
    </w:p>
    <w:p w14:paraId="47597039" w14:textId="77777777" w:rsidR="00B83023" w:rsidRDefault="00B83023">
      <w:pPr>
        <w:spacing w:after="160" w:line="259" w:lineRule="auto"/>
      </w:pPr>
      <w:r w:rsidRPr="00F714B9">
        <w:rPr>
          <w:noProof/>
        </w:rPr>
        <w:drawing>
          <wp:inline distT="0" distB="0" distL="0" distR="0" wp14:anchorId="07444C4B" wp14:editId="622F7CD6">
            <wp:extent cx="5943600" cy="47028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312BF" w14:textId="77777777" w:rsidR="00B83023" w:rsidRPr="00E020E9" w:rsidRDefault="00B83023" w:rsidP="00822124">
      <w:pPr>
        <w:spacing w:after="240" w:line="240" w:lineRule="auto"/>
        <w:rPr>
          <w:rFonts w:cs="Times New Roman"/>
        </w:rPr>
      </w:pPr>
      <w:r w:rsidRPr="002D5CF0">
        <w:rPr>
          <w:rFonts w:cs="Times New Roman"/>
        </w:rPr>
        <w:t>Relative risk on the log scale.</w:t>
      </w:r>
      <w:r>
        <w:rPr>
          <w:rFonts w:cs="Times New Roman"/>
        </w:rPr>
        <w:t xml:space="preserve"> 1 standard drink = </w:t>
      </w:r>
      <w:r w:rsidRPr="00E020E9">
        <w:rPr>
          <w:rFonts w:cs="Times New Roman"/>
        </w:rPr>
        <w:t>12 grams pure ethanol per day.</w:t>
      </w:r>
      <w:r>
        <w:rPr>
          <w:rFonts w:cs="Times New Roman"/>
        </w:rPr>
        <w:t xml:space="preserve"> RR = relative risk. </w:t>
      </w:r>
    </w:p>
    <w:p w14:paraId="3B6313A3" w14:textId="77777777" w:rsidR="00B83023" w:rsidRPr="006432FD" w:rsidRDefault="00B83023" w:rsidP="00822124">
      <w:pPr>
        <w:spacing w:after="240" w:line="240" w:lineRule="auto"/>
        <w:rPr>
          <w:rFonts w:cs="Times New Roman"/>
        </w:rPr>
      </w:pPr>
    </w:p>
    <w:p w14:paraId="62F51D6B" w14:textId="77777777" w:rsidR="00B83023" w:rsidRDefault="00B83023">
      <w:pPr>
        <w:spacing w:after="160" w:line="259" w:lineRule="auto"/>
      </w:pPr>
    </w:p>
    <w:p w14:paraId="70767D77" w14:textId="77777777" w:rsidR="00B83023" w:rsidRDefault="00B83023">
      <w:pPr>
        <w:spacing w:after="160" w:line="259" w:lineRule="auto"/>
      </w:pPr>
      <w:r>
        <w:br w:type="page"/>
      </w:r>
    </w:p>
    <w:p w14:paraId="0CB83824" w14:textId="77777777" w:rsidR="00B83023" w:rsidRPr="00AB1945" w:rsidRDefault="00B83023" w:rsidP="00822124">
      <w:pPr>
        <w:spacing w:after="240" w:line="240" w:lineRule="auto"/>
        <w:rPr>
          <w:rFonts w:cs="Times New Roman"/>
          <w:b/>
        </w:rPr>
      </w:pPr>
      <w:r>
        <w:rPr>
          <w:b/>
        </w:rPr>
        <w:t xml:space="preserve">Supplementary </w:t>
      </w:r>
      <w:r w:rsidRPr="00E20FAD">
        <w:rPr>
          <w:b/>
        </w:rPr>
        <w:t xml:space="preserve">Fig. </w:t>
      </w:r>
      <w:r>
        <w:rPr>
          <w:b/>
        </w:rPr>
        <w:t>7</w:t>
      </w:r>
      <w:r w:rsidRPr="00E20FAD">
        <w:rPr>
          <w:b/>
        </w:rPr>
        <w:t xml:space="preserve">. </w:t>
      </w:r>
      <w:r w:rsidRPr="00E805E8">
        <w:rPr>
          <w:rFonts w:cs="Times New Roman"/>
        </w:rPr>
        <w:t>Forest plot of liver cirrhosis risk by alcohol consumption</w:t>
      </w:r>
      <w:r>
        <w:rPr>
          <w:rFonts w:cs="Times New Roman"/>
        </w:rPr>
        <w:t xml:space="preserve"> (in comparison to long-term abstainers)</w:t>
      </w:r>
      <w:r w:rsidRPr="00E805E8">
        <w:rPr>
          <w:rFonts w:cs="Times New Roman"/>
        </w:rPr>
        <w:t xml:space="preserve"> in </w:t>
      </w:r>
      <w:r>
        <w:rPr>
          <w:rFonts w:cs="Times New Roman"/>
        </w:rPr>
        <w:t>case-control</w:t>
      </w:r>
      <w:r w:rsidRPr="00E805E8">
        <w:rPr>
          <w:rFonts w:cs="Times New Roman"/>
        </w:rPr>
        <w:t xml:space="preserve"> studies</w:t>
      </w:r>
      <w:r>
        <w:rPr>
          <w:rFonts w:cs="Times New Roman"/>
        </w:rPr>
        <w:t xml:space="preserve"> in women</w:t>
      </w:r>
      <w:r w:rsidRPr="00E805E8">
        <w:rPr>
          <w:rFonts w:cs="Times New Roman"/>
        </w:rPr>
        <w:t>, 1988-2017</w:t>
      </w:r>
    </w:p>
    <w:p w14:paraId="124E84F0" w14:textId="77777777" w:rsidR="00B83023" w:rsidRDefault="00B83023">
      <w:pPr>
        <w:spacing w:after="160" w:line="259" w:lineRule="auto"/>
      </w:pPr>
      <w:r w:rsidRPr="00F714B9">
        <w:rPr>
          <w:noProof/>
        </w:rPr>
        <w:drawing>
          <wp:inline distT="0" distB="0" distL="0" distR="0" wp14:anchorId="52D5024C" wp14:editId="50C5EE4E">
            <wp:extent cx="5943600" cy="45631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A614" w14:textId="77777777" w:rsidR="00B83023" w:rsidRPr="00E020E9" w:rsidRDefault="00B83023" w:rsidP="00822124">
      <w:pPr>
        <w:spacing w:after="240" w:line="240" w:lineRule="auto"/>
        <w:rPr>
          <w:rFonts w:cs="Times New Roman"/>
        </w:rPr>
      </w:pPr>
      <w:r w:rsidRPr="002D5CF0">
        <w:rPr>
          <w:rFonts w:cs="Times New Roman"/>
        </w:rPr>
        <w:t>Relative risk on the log scale.</w:t>
      </w:r>
      <w:r>
        <w:rPr>
          <w:rFonts w:cs="Times New Roman"/>
        </w:rPr>
        <w:t xml:space="preserve"> 1 standard drink = </w:t>
      </w:r>
      <w:r w:rsidRPr="00E020E9">
        <w:rPr>
          <w:rFonts w:cs="Times New Roman"/>
        </w:rPr>
        <w:t>12 grams pure ethanol per day.</w:t>
      </w:r>
      <w:r>
        <w:rPr>
          <w:rFonts w:cs="Times New Roman"/>
        </w:rPr>
        <w:t xml:space="preserve"> RR = relative risk. </w:t>
      </w:r>
    </w:p>
    <w:p w14:paraId="094644A1" w14:textId="77777777" w:rsidR="00B83023" w:rsidRPr="006432FD" w:rsidRDefault="00B83023" w:rsidP="00822124">
      <w:pPr>
        <w:spacing w:after="240" w:line="240" w:lineRule="auto"/>
        <w:rPr>
          <w:rFonts w:cs="Times New Roman"/>
        </w:rPr>
      </w:pPr>
    </w:p>
    <w:p w14:paraId="67C39586" w14:textId="77777777" w:rsidR="00B83023" w:rsidRDefault="00B83023">
      <w:pPr>
        <w:spacing w:after="160" w:line="259" w:lineRule="auto"/>
      </w:pPr>
    </w:p>
    <w:p w14:paraId="554C28FE" w14:textId="77777777" w:rsidR="00B83023" w:rsidRDefault="00B83023">
      <w:pPr>
        <w:spacing w:after="160" w:line="259" w:lineRule="auto"/>
      </w:pPr>
      <w:r>
        <w:br w:type="page"/>
      </w:r>
    </w:p>
    <w:p w14:paraId="65CD8704" w14:textId="77777777" w:rsidR="00B83023" w:rsidRPr="00DD68C1" w:rsidRDefault="00B83023">
      <w:pPr>
        <w:rPr>
          <w:b/>
        </w:rPr>
      </w:pPr>
      <w:r>
        <w:rPr>
          <w:b/>
        </w:rPr>
        <w:t xml:space="preserve">Supplementary </w:t>
      </w:r>
      <w:r w:rsidRPr="00DD68C1">
        <w:rPr>
          <w:b/>
        </w:rPr>
        <w:t>References</w:t>
      </w:r>
    </w:p>
    <w:p w14:paraId="18C19021" w14:textId="77777777" w:rsidR="00B83023" w:rsidRPr="00CC6431" w:rsidRDefault="00B83023" w:rsidP="00CC6431">
      <w:pPr>
        <w:pStyle w:val="EndNoteBibliography"/>
        <w:spacing w:after="0"/>
      </w:pPr>
      <w:r w:rsidRPr="00CC6431">
        <w:t>1.</w:t>
      </w:r>
      <w:r w:rsidRPr="00CC6431">
        <w:tab/>
        <w:t>Askgaard G, Gronbaek M, Kjaer MS, et al. Alcohol drinking pattern and risk of alcoholic liver cirrhosis: a prospective cohort study. J Hepatol 2015;62:1061-7.</w:t>
      </w:r>
    </w:p>
    <w:p w14:paraId="54C2F623" w14:textId="77777777" w:rsidR="00B83023" w:rsidRPr="00CC6431" w:rsidRDefault="00B83023" w:rsidP="00CC6431">
      <w:pPr>
        <w:pStyle w:val="EndNoteBibliography"/>
        <w:spacing w:after="0"/>
      </w:pPr>
      <w:r w:rsidRPr="00CC6431">
        <w:t>2.</w:t>
      </w:r>
      <w:r w:rsidRPr="00CC6431">
        <w:tab/>
        <w:t>Boffetta P, Garfinkel L. Alcohol drinking and mortality among men enrolled in an American Cancer Society prospective study. Epidemiology 1990;1:342-8.</w:t>
      </w:r>
    </w:p>
    <w:p w14:paraId="566986BD" w14:textId="77777777" w:rsidR="00B83023" w:rsidRPr="00CC6431" w:rsidRDefault="00B83023" w:rsidP="00CC6431">
      <w:pPr>
        <w:pStyle w:val="EndNoteBibliography"/>
        <w:spacing w:after="0"/>
      </w:pPr>
      <w:r w:rsidRPr="00CC6431">
        <w:t>3.</w:t>
      </w:r>
      <w:r w:rsidRPr="00CC6431">
        <w:tab/>
        <w:t>Corrao G, Arico S, Lepore R, et al. Amount and duration of alcohol intake as risk factors of symptomatic liver cirrhosis: a case-control study. J Clin Epidemiol 1993;46:601-7.</w:t>
      </w:r>
    </w:p>
    <w:p w14:paraId="2962DB53" w14:textId="77777777" w:rsidR="00B83023" w:rsidRPr="00CC6431" w:rsidRDefault="00B83023" w:rsidP="00CC6431">
      <w:pPr>
        <w:pStyle w:val="EndNoteBibliography"/>
        <w:spacing w:after="0"/>
      </w:pPr>
      <w:r w:rsidRPr="00CC6431">
        <w:t>4.</w:t>
      </w:r>
      <w:r w:rsidRPr="00CC6431">
        <w:tab/>
        <w:t>Corrao G, Arico S, Zambon A, et al. Female sex and the risk of liver cirrhosis. Collaborative Groups for the Study of Liver Diseases in Italy. Scand J Gastroenterol 1997;32:1174-80.</w:t>
      </w:r>
    </w:p>
    <w:p w14:paraId="5084D0C0" w14:textId="77777777" w:rsidR="00B83023" w:rsidRPr="00DB2B9D" w:rsidRDefault="00B83023" w:rsidP="00CC6431">
      <w:pPr>
        <w:pStyle w:val="EndNoteBibliography"/>
        <w:spacing w:after="0"/>
        <w:rPr>
          <w:lang w:val="de-DE"/>
        </w:rPr>
      </w:pPr>
      <w:r w:rsidRPr="00CC6431">
        <w:t>5.</w:t>
      </w:r>
      <w:r w:rsidRPr="00CC6431">
        <w:tab/>
        <w:t xml:space="preserve">Fuchs CS, Stampfer MJ, Colditz GA, et al. Alcohol consumption and mortality among women. </w:t>
      </w:r>
      <w:r w:rsidRPr="00DB2B9D">
        <w:rPr>
          <w:lang w:val="de-DE"/>
        </w:rPr>
        <w:t>N Engl J Med 1995;332:1245-50.</w:t>
      </w:r>
    </w:p>
    <w:p w14:paraId="1249282D" w14:textId="77777777" w:rsidR="00B83023" w:rsidRPr="00CC6431" w:rsidRDefault="00B83023" w:rsidP="00CC6431">
      <w:pPr>
        <w:pStyle w:val="EndNoteBibliography"/>
        <w:spacing w:after="0"/>
      </w:pPr>
      <w:r w:rsidRPr="00DB2B9D">
        <w:rPr>
          <w:lang w:val="de-DE"/>
        </w:rPr>
        <w:t>6.</w:t>
      </w:r>
      <w:r w:rsidRPr="00DB2B9D">
        <w:rPr>
          <w:lang w:val="de-DE"/>
        </w:rPr>
        <w:tab/>
        <w:t xml:space="preserve">Garfinkel L, Boffetta P, Stellman SD. </w:t>
      </w:r>
      <w:r w:rsidRPr="00CC6431">
        <w:t>Alcohol and breast cancer: a cohort study. Prev Med 1988;17:686-93.</w:t>
      </w:r>
    </w:p>
    <w:p w14:paraId="1B96F255" w14:textId="77777777" w:rsidR="00B83023" w:rsidRPr="00CC6431" w:rsidRDefault="00B83023" w:rsidP="00CC6431">
      <w:pPr>
        <w:pStyle w:val="EndNoteBibliography"/>
        <w:spacing w:after="0"/>
      </w:pPr>
      <w:r w:rsidRPr="00CC6431">
        <w:t>7.</w:t>
      </w:r>
      <w:r w:rsidRPr="00CC6431">
        <w:tab/>
        <w:t>Klatsky AL, Friedman GD, Armstrong MA, et al. Wine, liquor, beer, and mortality. Am J Epidemiol 2003;158:585-95.</w:t>
      </w:r>
    </w:p>
    <w:p w14:paraId="08DB7243" w14:textId="77777777" w:rsidR="00B83023" w:rsidRPr="00CC6431" w:rsidRDefault="00B83023" w:rsidP="00CC6431">
      <w:pPr>
        <w:pStyle w:val="EndNoteBibliography"/>
        <w:spacing w:after="0"/>
      </w:pPr>
      <w:r w:rsidRPr="00CC6431">
        <w:t>8.</w:t>
      </w:r>
      <w:r w:rsidRPr="00CC6431">
        <w:tab/>
        <w:t>Liu B, Balkwill A, Roddam A, et al. Separate and joint effects of alcohol and smoking on the risks of cirrhosis and gallbladder disease in middle-aged women. Am J Epidemiol 2009;169:153-60.</w:t>
      </w:r>
    </w:p>
    <w:p w14:paraId="65BB1D79" w14:textId="02B3AFDD" w:rsidR="00B83023" w:rsidRPr="00CC6431" w:rsidRDefault="00B83023" w:rsidP="00CC6431">
      <w:pPr>
        <w:pStyle w:val="EndNoteBibliography"/>
      </w:pPr>
      <w:r w:rsidRPr="00CC6431">
        <w:t>9.</w:t>
      </w:r>
      <w:r w:rsidRPr="00CC6431">
        <w:tab/>
        <w:t>Yang L, Zhou M, Sherliker P, et al. Alcohol drinking and overall and cause-specific mortality in China: nationally representative prospective study of 220,000 men with 15 years of follow-up. International J Epidemiol</w:t>
      </w:r>
      <w:bookmarkStart w:id="3" w:name="_GoBack"/>
      <w:bookmarkEnd w:id="3"/>
      <w:r w:rsidRPr="00CC6431">
        <w:t xml:space="preserve"> 2012;41:1101-1113.</w:t>
      </w:r>
    </w:p>
    <w:p w14:paraId="5666A072" w14:textId="77777777" w:rsidR="00B83023" w:rsidRDefault="00B83023"/>
    <w:p w14:paraId="3A260810" w14:textId="77777777" w:rsidR="00CD7397" w:rsidRDefault="00CD7397"/>
    <w:sectPr w:rsidR="00CD7397" w:rsidSect="005B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3E791" w14:textId="77777777" w:rsidR="00B03DFF" w:rsidRDefault="00B03DFF">
      <w:pPr>
        <w:spacing w:after="0" w:line="240" w:lineRule="auto"/>
      </w:pPr>
      <w:r>
        <w:separator/>
      </w:r>
    </w:p>
  </w:endnote>
  <w:endnote w:type="continuationSeparator" w:id="0">
    <w:p w14:paraId="1D1F679F" w14:textId="77777777" w:rsidR="00B03DFF" w:rsidRDefault="00B0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143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1D670" w14:textId="77777777" w:rsidR="00156F47" w:rsidRDefault="00B830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0C5DC2" w14:textId="77777777" w:rsidR="00156F47" w:rsidRDefault="00B0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7265A" w14:textId="77777777" w:rsidR="00B03DFF" w:rsidRDefault="00B03DFF">
      <w:pPr>
        <w:spacing w:after="0" w:line="240" w:lineRule="auto"/>
      </w:pPr>
      <w:r>
        <w:separator/>
      </w:r>
    </w:p>
  </w:footnote>
  <w:footnote w:type="continuationSeparator" w:id="0">
    <w:p w14:paraId="1EFFB7FE" w14:textId="77777777" w:rsidR="00B03DFF" w:rsidRDefault="00B0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42D"/>
    <w:multiLevelType w:val="hybridMultilevel"/>
    <w:tmpl w:val="96D63CD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A31"/>
    <w:multiLevelType w:val="hybridMultilevel"/>
    <w:tmpl w:val="F7FC04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04E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012521"/>
    <w:multiLevelType w:val="hybridMultilevel"/>
    <w:tmpl w:val="28908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359E6"/>
    <w:multiLevelType w:val="multilevel"/>
    <w:tmpl w:val="50F6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A3ECB"/>
    <w:multiLevelType w:val="multilevel"/>
    <w:tmpl w:val="7C789D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D751CF9"/>
    <w:multiLevelType w:val="hybridMultilevel"/>
    <w:tmpl w:val="41302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753E3"/>
    <w:multiLevelType w:val="singleLevel"/>
    <w:tmpl w:val="C7C68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6CAE2D6E"/>
    <w:multiLevelType w:val="hybridMultilevel"/>
    <w:tmpl w:val="ED3833C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83023"/>
    <w:rsid w:val="000A1070"/>
    <w:rsid w:val="0024455A"/>
    <w:rsid w:val="00274DFD"/>
    <w:rsid w:val="004D3E8C"/>
    <w:rsid w:val="005277F9"/>
    <w:rsid w:val="00640019"/>
    <w:rsid w:val="00B03DFF"/>
    <w:rsid w:val="00B83023"/>
    <w:rsid w:val="00C05A58"/>
    <w:rsid w:val="00CB380B"/>
    <w:rsid w:val="00CD7397"/>
    <w:rsid w:val="00D66AF1"/>
    <w:rsid w:val="00DA5233"/>
    <w:rsid w:val="00D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4D43"/>
  <w15:chartTrackingRefBased/>
  <w15:docId w15:val="{FF81ACEF-6EB5-4BA7-9390-5720CA3A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023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83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02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3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02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02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2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B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3023"/>
    <w:pPr>
      <w:spacing w:after="0" w:line="240" w:lineRule="auto"/>
    </w:pPr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B8302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302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8302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83023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830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302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2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3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23"/>
    <w:rPr>
      <w:lang w:val="en-GB"/>
    </w:rPr>
  </w:style>
  <w:style w:type="paragraph" w:styleId="ListParagraph">
    <w:name w:val="List Paragraph"/>
    <w:basedOn w:val="Normal"/>
    <w:uiPriority w:val="34"/>
    <w:qFormat/>
    <w:rsid w:val="00B830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3023"/>
    <w:rPr>
      <w:rFonts w:ascii="Calibri" w:hAnsi="Calibri"/>
      <w:b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302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02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3023"/>
    <w:rPr>
      <w:vertAlign w:val="superscript"/>
    </w:rPr>
  </w:style>
  <w:style w:type="character" w:customStyle="1" w:styleId="apple-converted-space">
    <w:name w:val="apple-converted-space"/>
    <w:basedOn w:val="DefaultParagraphFont"/>
    <w:rsid w:val="00B83023"/>
  </w:style>
  <w:style w:type="character" w:customStyle="1" w:styleId="highlight">
    <w:name w:val="highlight"/>
    <w:basedOn w:val="DefaultParagraphFont"/>
    <w:rsid w:val="00B83023"/>
  </w:style>
  <w:style w:type="table" w:customStyle="1" w:styleId="LightShading1">
    <w:name w:val="Light Shading1"/>
    <w:basedOn w:val="TableNormal"/>
    <w:next w:val="LightShading"/>
    <w:uiPriority w:val="60"/>
    <w:rsid w:val="00B83023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unhideWhenUsed/>
    <w:rsid w:val="00B8302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ention">
    <w:name w:val="Mention"/>
    <w:basedOn w:val="DefaultParagraphFont"/>
    <w:uiPriority w:val="99"/>
    <w:semiHidden/>
    <w:unhideWhenUsed/>
    <w:rsid w:val="00B83023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830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30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2019-04-01T02:07:00Z</dcterms:created>
  <dcterms:modified xsi:type="dcterms:W3CDTF">2019-04-01T02:07:00Z</dcterms:modified>
</cp:coreProperties>
</file>