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05" w:rsidRDefault="00047305" w:rsidP="005C13D1">
      <w:pPr>
        <w:pStyle w:val="CommentText"/>
        <w:spacing w:before="24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ONLINE SUPPLEMENTARY MATERIAL</w:t>
      </w:r>
    </w:p>
    <w:p w:rsidR="00EE1698" w:rsidRDefault="00EE1698" w:rsidP="005C13D1">
      <w:pPr>
        <w:pStyle w:val="CommentText"/>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A.1 Estimation of Model Inputs</w:t>
      </w:r>
    </w:p>
    <w:p w:rsidR="005C13D1" w:rsidRDefault="005C13D1" w:rsidP="005C13D1">
      <w:pPr>
        <w:pStyle w:val="CommentText"/>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Estimation of Transition Probabilities</w:t>
      </w:r>
    </w:p>
    <w:p w:rsidR="005C13D1" w:rsidRPr="005C13D1" w:rsidRDefault="005C13D1" w:rsidP="005C13D1">
      <w:pPr>
        <w:pStyle w:val="CommentText"/>
        <w:spacing w:before="240" w:line="480" w:lineRule="auto"/>
        <w:jc w:val="both"/>
        <w:rPr>
          <w:rFonts w:ascii="Times New Roman" w:hAnsi="Times New Roman" w:cs="Times New Roman"/>
          <w:i/>
          <w:sz w:val="24"/>
          <w:szCs w:val="24"/>
        </w:rPr>
      </w:pPr>
      <w:r w:rsidRPr="005C13D1">
        <w:rPr>
          <w:rFonts w:ascii="Times New Roman" w:hAnsi="Times New Roman" w:cs="Times New Roman"/>
          <w:i/>
          <w:sz w:val="24"/>
          <w:szCs w:val="24"/>
        </w:rPr>
        <w:t>Complications</w:t>
      </w:r>
    </w:p>
    <w:p w:rsidR="005C13D1" w:rsidRDefault="005C13D1" w:rsidP="005C13D1">
      <w:pPr>
        <w:pStyle w:val="CommentText"/>
        <w:spacing w:before="24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Short run complications from aspiration therapy or bariatric surgery could occur after treatment in year 1. As the A-tube </w:t>
      </w:r>
      <w:proofErr w:type="gramStart"/>
      <w:r>
        <w:rPr>
          <w:rFonts w:ascii="Times New Roman" w:hAnsi="Times New Roman" w:cs="Times New Roman"/>
          <w:sz w:val="24"/>
          <w:szCs w:val="24"/>
        </w:rPr>
        <w:t>is regularly replaced</w:t>
      </w:r>
      <w:proofErr w:type="gramEnd"/>
      <w:r>
        <w:rPr>
          <w:rFonts w:ascii="Times New Roman" w:hAnsi="Times New Roman" w:cs="Times New Roman"/>
          <w:sz w:val="24"/>
          <w:szCs w:val="24"/>
        </w:rPr>
        <w:t xml:space="preserve"> and remains inside patient’s body, we assumed that patients faced a risk of long run complications from aspiration therapy every year they were on the treatment. We assumed that this risk was equal for each year on aspiration therapy</w:t>
      </w:r>
      <w:r w:rsidR="0050408E">
        <w:rPr>
          <w:rFonts w:ascii="Times New Roman" w:hAnsi="Times New Roman" w:cs="Times New Roman"/>
          <w:sz w:val="24"/>
          <w:szCs w:val="24"/>
        </w:rPr>
        <w:t>.</w:t>
      </w:r>
      <w:r>
        <w:rPr>
          <w:rFonts w:ascii="Times New Roman" w:hAnsi="Times New Roman" w:cs="Times New Roman"/>
          <w:sz w:val="24"/>
          <w:szCs w:val="24"/>
        </w:rPr>
        <w:t xml:space="preserve"> The risk of annual major and minor complications (3.7% and 9.8%, respectively) was based on Nystrom et al. (2018)</w:t>
      </w:r>
      <w:r w:rsidR="006F3BC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147005">
        <w:rPr>
          <w:rFonts w:ascii="Times New Roman" w:hAnsi="Times New Roman" w:cs="Times New Roman"/>
          <w:sz w:val="24"/>
          <w:szCs w:val="24"/>
        </w:rPr>
        <w:instrText xml:space="preserve"> ADDIN ZOTERO_ITEM CSL_CITATION {"citationID":"ptWqmrXV","properties":{"formattedCitation":"(1)","plainCitation":"(1)","noteIndex":0},"citationItems":[{"id":824,"uris":["http://zotero.org/users/4010183/items/9PJ26K9C"],"uri":["http://zotero.org/users/4010183/items/9PJ26K9C"],"itemData":{"id":824,"type":"article-journal","title":"Aspiration therapy as a tool to treat obesity: 1-to 4-year results in a 201-patient multi-center post-market European Registry Study","container-title":"Obesity surgery","page":"1-9","author":[{"family":"Nyström","given":"Max"},{"family":"Machytka","given":"Evzen"},{"family":"Norén","given":"Erik"},{"family":"Testoni","given":"Pier Alberto"},{"family":"Janssen","given":"Ignace"},{"family":"Homedes","given":"Jesus Turró"},{"family":"Perez","given":"Jorge Carlos Espinos"},{"family":"Arau","given":"Roman Turro"}],"issued":{"date-parts":[["2018"]]}}}],"schema":"https://github.com/citation-style-language/schema/raw/master/csl-citation.json"} </w:instrText>
      </w:r>
      <w:r>
        <w:rPr>
          <w:rFonts w:ascii="Times New Roman" w:hAnsi="Times New Roman" w:cs="Times New Roman"/>
          <w:sz w:val="24"/>
          <w:szCs w:val="24"/>
        </w:rPr>
        <w:fldChar w:fldCharType="separate"/>
      </w:r>
      <w:r w:rsidR="00297135" w:rsidRPr="00297135">
        <w:rPr>
          <w:rFonts w:ascii="Times New Roman" w:hAnsi="Times New Roman" w:cs="Times New Roman"/>
          <w:sz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Meanwhile, </w:t>
      </w:r>
      <w:r w:rsidRPr="003277FC">
        <w:rPr>
          <w:rFonts w:ascii="Times New Roman" w:hAnsi="Times New Roman" w:cs="Times New Roman"/>
          <w:sz w:val="24"/>
          <w:szCs w:val="24"/>
        </w:rPr>
        <w:t xml:space="preserve"> </w:t>
      </w:r>
      <w:r w:rsidR="00F06CB0">
        <w:rPr>
          <w:rFonts w:ascii="Times New Roman" w:hAnsi="Times New Roman" w:cs="Times New Roman"/>
          <w:sz w:val="24"/>
          <w:szCs w:val="24"/>
        </w:rPr>
        <w:t>risk of complications after bariatric surgery were obtained from the most recent</w:t>
      </w:r>
      <w:r w:rsidR="009F4A45">
        <w:rPr>
          <w:rFonts w:ascii="Times New Roman" w:hAnsi="Times New Roman" w:cs="Times New Roman"/>
          <w:sz w:val="24"/>
          <w:szCs w:val="24"/>
        </w:rPr>
        <w:t>, high quality</w:t>
      </w:r>
      <w:r w:rsidR="00F06CB0">
        <w:rPr>
          <w:rFonts w:ascii="Times New Roman" w:hAnsi="Times New Roman" w:cs="Times New Roman"/>
          <w:sz w:val="24"/>
          <w:szCs w:val="24"/>
        </w:rPr>
        <w:t xml:space="preserve"> randomized controlled trial</w:t>
      </w:r>
      <w:r w:rsidR="009F4A45">
        <w:rPr>
          <w:rFonts w:ascii="Times New Roman" w:hAnsi="Times New Roman" w:cs="Times New Roman"/>
          <w:sz w:val="24"/>
          <w:szCs w:val="24"/>
        </w:rPr>
        <w:t xml:space="preserve"> comparing gastric bypass with sleeve gastrectomy</w:t>
      </w:r>
      <w:r w:rsidR="006F3BC4">
        <w:rPr>
          <w:rFonts w:ascii="Times New Roman" w:hAnsi="Times New Roman" w:cs="Times New Roman"/>
          <w:sz w:val="24"/>
          <w:szCs w:val="24"/>
        </w:rPr>
        <w:t xml:space="preserve"> </w:t>
      </w:r>
      <w:r w:rsidR="009F4A45">
        <w:rPr>
          <w:rFonts w:ascii="Times New Roman" w:hAnsi="Times New Roman" w:cs="Times New Roman"/>
          <w:sz w:val="24"/>
          <w:szCs w:val="24"/>
        </w:rPr>
        <w:fldChar w:fldCharType="begin"/>
      </w:r>
      <w:r w:rsidR="009F4A45">
        <w:rPr>
          <w:rFonts w:ascii="Times New Roman" w:hAnsi="Times New Roman" w:cs="Times New Roman"/>
          <w:sz w:val="24"/>
          <w:szCs w:val="24"/>
        </w:rPr>
        <w:instrText xml:space="preserve"> ADDIN ZOTERO_ITEM CSL_CITATION {"citationID":"lx479CpL","properties":{"formattedCitation":"(2)","plainCitation":"(2)","noteIndex":0},"citationItems":[{"id":2211,"uris":["http://zotero.org/users/4010183/items/IU6W5FCB"],"uri":["http://zotero.org/users/4010183/items/IU6W5FCB"],"itemData":{"id":2211,"type":"article-journal","title":"Effect of laparoscopic sleeve gastrectomy vs laparoscopic Roux-en-Y gastric bypass on weight loss at 5 years among patients with morbid obesity: the SLEEVEPASS randomized clinical trial","container-title":"Jama","page":"241-254","volume":"319","issue":"3","author":[{"family":"Salminen","given":"Paulina"},{"family":"Helmiö","given":"Mika"},{"family":"Ovaska","given":"Jari"},{"family":"Juuti","given":"Anne"},{"family":"Leivonen","given":"Marja"},{"family":"Peromaa-Haavisto","given":"Pipsa"},{"family":"Hurme","given":"Saija"},{"family":"Soinio","given":"Minna"},{"family":"Nuutila","given":"Pirjo"},{"family":"Victorzon","given":"Mikael"}],"issued":{"date-parts":[["2018"]]}}}],"schema":"https://github.com/citation-style-language/schema/raw/master/csl-citation.json"} </w:instrText>
      </w:r>
      <w:r w:rsidR="009F4A45">
        <w:rPr>
          <w:rFonts w:ascii="Times New Roman" w:hAnsi="Times New Roman" w:cs="Times New Roman"/>
          <w:sz w:val="24"/>
          <w:szCs w:val="24"/>
        </w:rPr>
        <w:fldChar w:fldCharType="separate"/>
      </w:r>
      <w:r w:rsidR="009F4A45" w:rsidRPr="009F4A45">
        <w:rPr>
          <w:rFonts w:ascii="Times New Roman" w:hAnsi="Times New Roman" w:cs="Times New Roman"/>
          <w:sz w:val="24"/>
        </w:rPr>
        <w:t>(2)</w:t>
      </w:r>
      <w:r w:rsidR="009F4A45">
        <w:rPr>
          <w:rFonts w:ascii="Times New Roman" w:hAnsi="Times New Roman" w:cs="Times New Roman"/>
          <w:sz w:val="24"/>
          <w:szCs w:val="24"/>
        </w:rPr>
        <w:fldChar w:fldCharType="end"/>
      </w:r>
      <w:r w:rsidR="00F06CB0">
        <w:rPr>
          <w:rFonts w:ascii="Times New Roman" w:hAnsi="Times New Roman" w:cs="Times New Roman"/>
          <w:sz w:val="24"/>
          <w:szCs w:val="24"/>
        </w:rPr>
        <w:t xml:space="preserve"> (results using data on complication risks from another recent, high-</w:t>
      </w:r>
      <w:r w:rsidR="009F4A45">
        <w:rPr>
          <w:rFonts w:ascii="Times New Roman" w:hAnsi="Times New Roman" w:cs="Times New Roman"/>
          <w:sz w:val="24"/>
          <w:szCs w:val="24"/>
        </w:rPr>
        <w:t>quality</w:t>
      </w:r>
      <w:r w:rsidR="00F06CB0">
        <w:rPr>
          <w:rFonts w:ascii="Times New Roman" w:hAnsi="Times New Roman" w:cs="Times New Roman"/>
          <w:sz w:val="24"/>
          <w:szCs w:val="24"/>
        </w:rPr>
        <w:t xml:space="preserve"> randomized controlle</w:t>
      </w:r>
      <w:r w:rsidR="006F3BC4">
        <w:rPr>
          <w:rFonts w:ascii="Times New Roman" w:hAnsi="Times New Roman" w:cs="Times New Roman"/>
          <w:sz w:val="24"/>
          <w:szCs w:val="24"/>
        </w:rPr>
        <w:t>d trial are shown in section A.3</w:t>
      </w:r>
      <w:r w:rsidR="00F06CB0">
        <w:rPr>
          <w:rFonts w:ascii="Times New Roman" w:hAnsi="Times New Roman" w:cs="Times New Roman"/>
          <w:sz w:val="24"/>
          <w:szCs w:val="24"/>
        </w:rPr>
        <w:t xml:space="preserve"> below).  </w:t>
      </w:r>
      <w:r w:rsidR="009F4A45">
        <w:rPr>
          <w:rFonts w:ascii="Times New Roman" w:hAnsi="Times New Roman" w:cs="Times New Roman"/>
          <w:sz w:val="24"/>
          <w:szCs w:val="24"/>
        </w:rPr>
        <w:t xml:space="preserve">As data on long-run complication risks from these randomized controlled trials was only available for the first 5 years, </w:t>
      </w:r>
      <w:r w:rsidRPr="003277FC">
        <w:rPr>
          <w:rFonts w:ascii="Times New Roman" w:hAnsi="Times New Roman" w:cs="Times New Roman"/>
          <w:sz w:val="24"/>
          <w:szCs w:val="24"/>
        </w:rPr>
        <w:t>we assume</w:t>
      </w:r>
      <w:r>
        <w:rPr>
          <w:rFonts w:ascii="Times New Roman" w:hAnsi="Times New Roman" w:cs="Times New Roman"/>
          <w:sz w:val="24"/>
          <w:szCs w:val="24"/>
        </w:rPr>
        <w:t>d</w:t>
      </w:r>
      <w:r w:rsidRPr="003277FC">
        <w:rPr>
          <w:rFonts w:ascii="Times New Roman" w:hAnsi="Times New Roman" w:cs="Times New Roman"/>
          <w:sz w:val="24"/>
          <w:szCs w:val="24"/>
        </w:rPr>
        <w:t xml:space="preserve"> that</w:t>
      </w:r>
      <w:r w:rsidRPr="000D0A8D">
        <w:rPr>
          <w:rFonts w:ascii="Times New Roman" w:hAnsi="Times New Roman" w:cs="Times New Roman"/>
          <w:sz w:val="24"/>
          <w:szCs w:val="24"/>
        </w:rPr>
        <w:t xml:space="preserve"> </w:t>
      </w:r>
      <w:r>
        <w:rPr>
          <w:rFonts w:ascii="Times New Roman" w:hAnsi="Times New Roman" w:cs="Times New Roman"/>
          <w:bCs/>
          <w:sz w:val="24"/>
          <w:szCs w:val="24"/>
        </w:rPr>
        <w:t xml:space="preserve">the risk of long-run complications with bariatric surgery occurred in years 1 to </w:t>
      </w:r>
      <w:r w:rsidR="00D970AB">
        <w:rPr>
          <w:rFonts w:ascii="Times New Roman" w:hAnsi="Times New Roman" w:cs="Times New Roman"/>
          <w:bCs/>
          <w:sz w:val="24"/>
          <w:szCs w:val="24"/>
        </w:rPr>
        <w:t>5</w:t>
      </w:r>
      <w:r>
        <w:rPr>
          <w:rFonts w:ascii="Times New Roman" w:hAnsi="Times New Roman" w:cs="Times New Roman"/>
          <w:bCs/>
          <w:sz w:val="24"/>
          <w:szCs w:val="24"/>
        </w:rPr>
        <w:t xml:space="preserve">.  </w:t>
      </w:r>
    </w:p>
    <w:p w:rsidR="005C13D1" w:rsidRPr="005C13D1" w:rsidRDefault="005C13D1" w:rsidP="005C13D1">
      <w:pPr>
        <w:pStyle w:val="CommentText"/>
        <w:spacing w:before="240" w:line="480" w:lineRule="auto"/>
        <w:jc w:val="both"/>
        <w:rPr>
          <w:rFonts w:ascii="Times New Roman" w:hAnsi="Times New Roman" w:cs="Times New Roman"/>
          <w:bCs/>
          <w:i/>
          <w:sz w:val="24"/>
          <w:szCs w:val="24"/>
        </w:rPr>
      </w:pPr>
      <w:r w:rsidRPr="005C13D1">
        <w:rPr>
          <w:rFonts w:ascii="Times New Roman" w:hAnsi="Times New Roman" w:cs="Times New Roman"/>
          <w:bCs/>
          <w:i/>
          <w:sz w:val="24"/>
          <w:szCs w:val="24"/>
        </w:rPr>
        <w:t>Discontinuation of Treatment</w:t>
      </w:r>
    </w:p>
    <w:p w:rsidR="005C13D1" w:rsidRDefault="005C13D1" w:rsidP="005C13D1">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our model, the probability of discontinuation of </w:t>
      </w:r>
      <w:r w:rsidR="00277E3A">
        <w:rPr>
          <w:rFonts w:ascii="Times New Roman" w:hAnsi="Times New Roman" w:cs="Times New Roman"/>
          <w:sz w:val="24"/>
          <w:szCs w:val="24"/>
        </w:rPr>
        <w:t>aspiration</w:t>
      </w:r>
      <w:r>
        <w:rPr>
          <w:rFonts w:ascii="Times New Roman" w:hAnsi="Times New Roman" w:cs="Times New Roman"/>
          <w:sz w:val="24"/>
          <w:szCs w:val="24"/>
        </w:rPr>
        <w:t xml:space="preserve"> therapy is based on Nystrom et al. (2018)</w:t>
      </w:r>
      <w:r w:rsidR="006F3BC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147005">
        <w:rPr>
          <w:rFonts w:ascii="Times New Roman" w:hAnsi="Times New Roman" w:cs="Times New Roman"/>
          <w:sz w:val="24"/>
          <w:szCs w:val="24"/>
        </w:rPr>
        <w:instrText xml:space="preserve"> ADDIN ZOTERO_ITEM CSL_CITATION {"citationID":"hx5PW01a","properties":{"formattedCitation":"(1)","plainCitation":"(1)","noteIndex":0},"citationItems":[{"id":824,"uris":["http://zotero.org/users/4010183/items/9PJ26K9C"],"uri":["http://zotero.org/users/4010183/items/9PJ26K9C"],"itemData":{"id":824,"type":"article-journal","title":"Aspiration therapy as a tool to treat obesity: 1-to 4-year results in a 201-patient multi-center post-market European Registry Study","container-title":"Obesity surgery","page":"1-9","author":[{"family":"Nyström","given":"Max"},{"family":"Machytka","given":"Evzen"},{"family":"Norén","given":"Erik"},{"family":"Testoni","given":"Pier Alberto"},{"family":"Janssen","given":"Ignace"},{"family":"Homedes","given":"Jesus Turró"},{"family":"Perez","given":"Jorge Carlos Espinos"},{"family":"Arau","given":"Roman Turro"}],"issued":{"date-parts":[["2018"]]}}}],"schema":"https://github.com/citation-style-language/schema/raw/master/csl-citation.json"} </w:instrText>
      </w:r>
      <w:r>
        <w:rPr>
          <w:rFonts w:ascii="Times New Roman" w:hAnsi="Times New Roman" w:cs="Times New Roman"/>
          <w:sz w:val="24"/>
          <w:szCs w:val="24"/>
        </w:rPr>
        <w:fldChar w:fldCharType="separate"/>
      </w:r>
      <w:r w:rsidR="00297135" w:rsidRPr="00297135">
        <w:rPr>
          <w:rFonts w:ascii="Times New Roman" w:hAnsi="Times New Roman" w:cs="Times New Roman"/>
          <w:sz w:val="24"/>
        </w:rPr>
        <w:t>(1)</w:t>
      </w:r>
      <w:r>
        <w:rPr>
          <w:rFonts w:ascii="Times New Roman" w:hAnsi="Times New Roman" w:cs="Times New Roman"/>
          <w:sz w:val="24"/>
          <w:szCs w:val="24"/>
        </w:rPr>
        <w:fldChar w:fldCharType="end"/>
      </w:r>
      <w:r>
        <w:rPr>
          <w:rFonts w:ascii="Times New Roman" w:hAnsi="Times New Roman" w:cs="Times New Roman"/>
          <w:sz w:val="24"/>
          <w:szCs w:val="24"/>
        </w:rPr>
        <w:t>—0.09, 0.1</w:t>
      </w:r>
      <w:r w:rsidR="005E49BD">
        <w:rPr>
          <w:rFonts w:ascii="Times New Roman" w:hAnsi="Times New Roman" w:cs="Times New Roman"/>
          <w:sz w:val="24"/>
          <w:szCs w:val="24"/>
        </w:rPr>
        <w:t>6</w:t>
      </w:r>
      <w:r>
        <w:rPr>
          <w:rFonts w:ascii="Times New Roman" w:hAnsi="Times New Roman" w:cs="Times New Roman"/>
          <w:sz w:val="24"/>
          <w:szCs w:val="24"/>
        </w:rPr>
        <w:t>, 0.1</w:t>
      </w:r>
      <w:r w:rsidR="005E49BD">
        <w:rPr>
          <w:rFonts w:ascii="Times New Roman" w:hAnsi="Times New Roman" w:cs="Times New Roman"/>
          <w:sz w:val="24"/>
          <w:szCs w:val="24"/>
        </w:rPr>
        <w:t>6</w:t>
      </w:r>
      <w:r>
        <w:rPr>
          <w:rFonts w:ascii="Times New Roman" w:hAnsi="Times New Roman" w:cs="Times New Roman"/>
          <w:sz w:val="24"/>
          <w:szCs w:val="24"/>
        </w:rPr>
        <w:t xml:space="preserve"> and 0.1</w:t>
      </w:r>
      <w:r w:rsidR="005E49BD">
        <w:rPr>
          <w:rFonts w:ascii="Times New Roman" w:hAnsi="Times New Roman" w:cs="Times New Roman"/>
          <w:sz w:val="24"/>
          <w:szCs w:val="24"/>
        </w:rPr>
        <w:t>7</w:t>
      </w:r>
      <w:r>
        <w:rPr>
          <w:rFonts w:ascii="Times New Roman" w:hAnsi="Times New Roman" w:cs="Times New Roman"/>
          <w:sz w:val="24"/>
          <w:szCs w:val="24"/>
        </w:rPr>
        <w:t xml:space="preserve"> in years 1 through 4, respectively. Given the lack of data beyond the fourth year, we assumed that patients who continued on the therapy for 4 years remained on it for the rest of their life. This is plausible as these patients would have both tolerated the therapy and responded to it. Gastric bypass </w:t>
      </w:r>
      <w:proofErr w:type="gramStart"/>
      <w:r>
        <w:rPr>
          <w:rFonts w:ascii="Times New Roman" w:hAnsi="Times New Roman" w:cs="Times New Roman"/>
          <w:sz w:val="24"/>
          <w:szCs w:val="24"/>
        </w:rPr>
        <w:t>is rarely reversed</w:t>
      </w:r>
      <w:proofErr w:type="gramEnd"/>
      <w:r>
        <w:rPr>
          <w:rFonts w:ascii="Times New Roman" w:hAnsi="Times New Roman" w:cs="Times New Roman"/>
          <w:sz w:val="24"/>
          <w:szCs w:val="24"/>
        </w:rPr>
        <w:t xml:space="preserve"> and sleeve gastrectomy is irreversible. Hence, reversal of these procedures </w:t>
      </w:r>
      <w:proofErr w:type="gramStart"/>
      <w:r>
        <w:rPr>
          <w:rFonts w:ascii="Times New Roman" w:hAnsi="Times New Roman" w:cs="Times New Roman"/>
          <w:sz w:val="24"/>
          <w:szCs w:val="24"/>
        </w:rPr>
        <w:t>was not modelled</w:t>
      </w:r>
      <w:proofErr w:type="gramEnd"/>
      <w:r>
        <w:rPr>
          <w:rFonts w:ascii="Times New Roman" w:hAnsi="Times New Roman" w:cs="Times New Roman"/>
          <w:sz w:val="24"/>
          <w:szCs w:val="24"/>
        </w:rPr>
        <w:t>.</w:t>
      </w:r>
    </w:p>
    <w:p w:rsidR="005C13D1" w:rsidRPr="00AA2150" w:rsidRDefault="005C13D1" w:rsidP="005C13D1">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During the time that patients discontinue aspiration therapy, we assumed that they would experience BMI increase of a magnitude similar to that of an obese individual (BMI &gt;=30 kg/m</w:t>
      </w:r>
      <w:r w:rsidRPr="009F7521">
        <w:rPr>
          <w:rFonts w:ascii="Times New Roman" w:hAnsi="Times New Roman" w:cs="Times New Roman"/>
          <w:sz w:val="24"/>
          <w:szCs w:val="24"/>
          <w:vertAlign w:val="superscript"/>
        </w:rPr>
        <w:t>2</w:t>
      </w:r>
      <w:r>
        <w:rPr>
          <w:rFonts w:ascii="Times New Roman" w:hAnsi="Times New Roman" w:cs="Times New Roman"/>
          <w:sz w:val="24"/>
          <w:szCs w:val="24"/>
        </w:rPr>
        <w:t>) who does not undergo weight loss treatment, namely, a BMI increase of 0.175kg/m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each year</w:t>
      </w:r>
      <w:r w:rsidR="006F3BC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9F4A45">
        <w:rPr>
          <w:rFonts w:ascii="Times New Roman" w:hAnsi="Times New Roman" w:cs="Times New Roman"/>
          <w:sz w:val="24"/>
          <w:szCs w:val="24"/>
        </w:rPr>
        <w:instrText xml:space="preserve"> ADDIN ZOTERO_ITEM CSL_CITATION {"citationID":"OKv7YM0K","properties":{"formattedCitation":"(3)","plainCitation":"(3)","noteIndex":0},"citationItems":[{"id":798,"uris":["http://zotero.org/users/4010183/items/XRPWVWC6"],"uri":["http://zotero.org/users/4010183/items/XRPWVWC6"],"itemData":{"id":798,"type":"article-journal","title":"Mid-term Body Mass Index increase among obese and non-obese individuals in middle life and deprivation status: a cohort study","container-title":"BMC Public Health","page":"32","volume":"5","issue":"1","author":[{"family":"Lyratzopoulos","given":"Georgios"},{"family":"McElduff","given":"Patrick"},{"family":"Heller","given":"Richard F."},{"family":"Hanily","given":"Margaret"},{"family":"Lewis","given":"Philip S."}],"issued":{"date-parts":[["2005"]]}}}],"schema":"https://github.com/citation-style-language/schema/raw/master/csl-citation.json"} </w:instrText>
      </w:r>
      <w:r>
        <w:rPr>
          <w:rFonts w:ascii="Times New Roman" w:hAnsi="Times New Roman" w:cs="Times New Roman"/>
          <w:sz w:val="24"/>
          <w:szCs w:val="24"/>
        </w:rPr>
        <w:fldChar w:fldCharType="separate"/>
      </w:r>
      <w:r w:rsidR="009F4A45" w:rsidRPr="009F4A45">
        <w:rPr>
          <w:rFonts w:ascii="Times New Roman" w:hAnsi="Times New Roman" w:cs="Times New Roman"/>
          <w:sz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C13D1" w:rsidRPr="005C13D1" w:rsidRDefault="005C13D1" w:rsidP="005C13D1">
      <w:pPr>
        <w:pStyle w:val="CommentText"/>
        <w:spacing w:before="240" w:line="480" w:lineRule="auto"/>
        <w:jc w:val="both"/>
        <w:rPr>
          <w:rFonts w:ascii="Times New Roman" w:hAnsi="Times New Roman" w:cs="Times New Roman"/>
          <w:i/>
          <w:sz w:val="24"/>
          <w:szCs w:val="24"/>
        </w:rPr>
      </w:pPr>
      <w:r w:rsidRPr="005C13D1">
        <w:rPr>
          <w:rFonts w:ascii="Times New Roman" w:hAnsi="Times New Roman" w:cs="Times New Roman"/>
          <w:i/>
          <w:sz w:val="24"/>
          <w:szCs w:val="24"/>
        </w:rPr>
        <w:t>Estimation of Transition Probabilities</w:t>
      </w:r>
    </w:p>
    <w:p w:rsidR="005C13D1" w:rsidRDefault="005C13D1" w:rsidP="005C13D1">
      <w:pPr>
        <w:spacing w:before="240" w:line="480" w:lineRule="auto"/>
        <w:jc w:val="both"/>
        <w:rPr>
          <w:rFonts w:ascii="Times New Roman" w:hAnsi="Times New Roman" w:cs="Times New Roman"/>
          <w:sz w:val="24"/>
          <w:szCs w:val="24"/>
        </w:rPr>
      </w:pPr>
      <w:r w:rsidRPr="007F36E7">
        <w:rPr>
          <w:rFonts w:ascii="Times New Roman" w:hAnsi="Times New Roman" w:cs="Times New Roman"/>
          <w:sz w:val="24"/>
          <w:szCs w:val="24"/>
        </w:rPr>
        <w:t>To obtain transition probabilities across BMI health states, we simulated a hypothetical cohort of 1000 patients with BMI 35-55 kg/m</w:t>
      </w:r>
      <w:r w:rsidRPr="007F36E7">
        <w:rPr>
          <w:rFonts w:ascii="Times New Roman" w:hAnsi="Times New Roman" w:cs="Times New Roman"/>
          <w:sz w:val="24"/>
          <w:szCs w:val="24"/>
          <w:vertAlign w:val="superscript"/>
        </w:rPr>
        <w:t xml:space="preserve">2 </w:t>
      </w:r>
      <w:r w:rsidRPr="007F36E7">
        <w:rPr>
          <w:rFonts w:ascii="Times New Roman" w:hAnsi="Times New Roman" w:cs="Times New Roman"/>
          <w:sz w:val="24"/>
          <w:szCs w:val="24"/>
        </w:rPr>
        <w:t>such that the proportion of patients in Obese 2 and Obese 3 categories mimicked the actual proportions among US obese adults, i.e.</w:t>
      </w:r>
      <w:r>
        <w:rPr>
          <w:rFonts w:ascii="Times New Roman" w:hAnsi="Times New Roman" w:cs="Times New Roman"/>
          <w:sz w:val="24"/>
          <w:szCs w:val="24"/>
        </w:rPr>
        <w:t>,</w:t>
      </w:r>
      <w:r w:rsidRPr="007F36E7">
        <w:rPr>
          <w:rFonts w:ascii="Times New Roman" w:hAnsi="Times New Roman" w:cs="Times New Roman"/>
          <w:sz w:val="24"/>
          <w:szCs w:val="24"/>
        </w:rPr>
        <w:t xml:space="preserve"> 56% and 44%, respectively</w:t>
      </w:r>
      <w:r w:rsidRPr="007F36E7">
        <w:rPr>
          <w:rFonts w:ascii="Times New Roman" w:hAnsi="Times New Roman" w:cs="Times New Roman"/>
          <w:sz w:val="24"/>
          <w:szCs w:val="24"/>
        </w:rPr>
        <w:fldChar w:fldCharType="begin"/>
      </w:r>
      <w:r w:rsidR="009F4A45">
        <w:rPr>
          <w:rFonts w:ascii="Times New Roman" w:hAnsi="Times New Roman" w:cs="Times New Roman"/>
          <w:sz w:val="24"/>
          <w:szCs w:val="24"/>
        </w:rPr>
        <w:instrText xml:space="preserve"> ADDIN ZOTERO_ITEM CSL_CITATION {"citationID":"X8N9QnlA","properties":{"formattedCitation":"(4)","plainCitation":"(4)","noteIndex":0},"citationItems":[{"id":811,"uris":["http://zotero.org/users/4010183/items/VQ5MP4IY"],"uri":["http://zotero.org/users/4010183/items/VQ5MP4IY"],"itemData":{"id":811,"type":"webpage","title":"Health, United States: Table 058: Normal weight, overweight, and obesity among adults aged 20 and over, by selected characteristics: United States, selected years 1988–1994 through 2013–2016","abstract":"National Center for Health Statistics","URL":"https://www.cdc.gov/nchs/hus/contents2017.htm","language":"en-us","author":[{"family":"CDC","given":""}],"issued":{"date-parts":[["2018",10,10]]},"accessed":{"date-parts":[["2018",10,20]]}}}],"schema":"https://github.com/citation-style-language/schema/raw/master/csl-citation.json"} </w:instrText>
      </w:r>
      <w:r w:rsidRPr="007F36E7">
        <w:rPr>
          <w:rFonts w:ascii="Times New Roman" w:hAnsi="Times New Roman" w:cs="Times New Roman"/>
          <w:sz w:val="24"/>
          <w:szCs w:val="24"/>
        </w:rPr>
        <w:fldChar w:fldCharType="separate"/>
      </w:r>
      <w:r w:rsidR="009F4A45" w:rsidRPr="009F4A45">
        <w:rPr>
          <w:rFonts w:ascii="Times New Roman" w:hAnsi="Times New Roman" w:cs="Times New Roman"/>
          <w:sz w:val="24"/>
        </w:rPr>
        <w:t>(4)</w:t>
      </w:r>
      <w:r w:rsidRPr="007F36E7">
        <w:rPr>
          <w:rFonts w:ascii="Times New Roman" w:hAnsi="Times New Roman" w:cs="Times New Roman"/>
          <w:sz w:val="24"/>
          <w:szCs w:val="24"/>
        </w:rPr>
        <w:fldChar w:fldCharType="end"/>
      </w:r>
      <w:r w:rsidRPr="007F36E7">
        <w:rPr>
          <w:rFonts w:ascii="Times New Roman" w:hAnsi="Times New Roman" w:cs="Times New Roman"/>
          <w:sz w:val="24"/>
          <w:szCs w:val="24"/>
        </w:rPr>
        <w:t xml:space="preserve">. Next, for each procedure, we converted the weight loss effects measured in annual mean </w:t>
      </w:r>
      <w:proofErr w:type="gramStart"/>
      <w:r w:rsidRPr="007F36E7">
        <w:rPr>
          <w:rFonts w:ascii="Times New Roman" w:hAnsi="Times New Roman" w:cs="Times New Roman"/>
          <w:sz w:val="24"/>
          <w:szCs w:val="24"/>
        </w:rPr>
        <w:t>%EWL</w:t>
      </w:r>
      <w:proofErr w:type="gramEnd"/>
      <w:r w:rsidRPr="007F36E7">
        <w:rPr>
          <w:rFonts w:ascii="Times New Roman" w:hAnsi="Times New Roman" w:cs="Times New Roman"/>
          <w:sz w:val="24"/>
          <w:szCs w:val="24"/>
        </w:rPr>
        <w:t xml:space="preserve"> obtained from the literature into average annual change in BMI</w:t>
      </w:r>
      <w:r w:rsidRPr="007B09A7">
        <w:rPr>
          <w:rStyle w:val="FootnoteReference"/>
        </w:rPr>
        <w:footnoteReference w:id="1"/>
      </w:r>
      <w:r w:rsidRPr="007F36E7">
        <w:rPr>
          <w:rFonts w:ascii="Times New Roman" w:hAnsi="Times New Roman" w:cs="Times New Roman"/>
          <w:sz w:val="24"/>
          <w:szCs w:val="24"/>
        </w:rPr>
        <w:t xml:space="preserve">. The estimated change in BMI </w:t>
      </w:r>
      <w:proofErr w:type="gramStart"/>
      <w:r w:rsidRPr="007F36E7">
        <w:rPr>
          <w:rFonts w:ascii="Times New Roman" w:hAnsi="Times New Roman" w:cs="Times New Roman"/>
          <w:sz w:val="24"/>
          <w:szCs w:val="24"/>
        </w:rPr>
        <w:t>was then applied</w:t>
      </w:r>
      <w:proofErr w:type="gramEnd"/>
      <w:r w:rsidRPr="007F36E7">
        <w:rPr>
          <w:rFonts w:ascii="Times New Roman" w:hAnsi="Times New Roman" w:cs="Times New Roman"/>
          <w:sz w:val="24"/>
          <w:szCs w:val="24"/>
        </w:rPr>
        <w:t xml:space="preserve"> to the initial BMI for each individual to obtain the BMI at the end of each year. Finally, transition probabilities across BMI states </w:t>
      </w:r>
      <w:proofErr w:type="gramStart"/>
      <w:r w:rsidRPr="007F36E7">
        <w:rPr>
          <w:rFonts w:ascii="Times New Roman" w:hAnsi="Times New Roman" w:cs="Times New Roman"/>
          <w:sz w:val="24"/>
          <w:szCs w:val="24"/>
        </w:rPr>
        <w:t>were estimated</w:t>
      </w:r>
      <w:proofErr w:type="gramEnd"/>
      <w:r w:rsidRPr="007F36E7">
        <w:rPr>
          <w:rFonts w:ascii="Times New Roman" w:hAnsi="Times New Roman" w:cs="Times New Roman"/>
          <w:sz w:val="24"/>
          <w:szCs w:val="24"/>
        </w:rPr>
        <w:t xml:space="preserve"> as the proportion of patients in each BMI state who move to each of the other BMI states.</w:t>
      </w:r>
      <w:r>
        <w:rPr>
          <w:rFonts w:ascii="Times New Roman" w:hAnsi="Times New Roman" w:cs="Times New Roman"/>
          <w:sz w:val="24"/>
          <w:szCs w:val="24"/>
        </w:rPr>
        <w:t xml:space="preserve">  Beyond the 4-5-year time period for which </w:t>
      </w:r>
      <w:proofErr w:type="gramStart"/>
      <w:r>
        <w:rPr>
          <w:rFonts w:ascii="Times New Roman" w:hAnsi="Times New Roman" w:cs="Times New Roman"/>
          <w:sz w:val="24"/>
          <w:szCs w:val="24"/>
        </w:rPr>
        <w:t>weight loss effect data</w:t>
      </w:r>
      <w:proofErr w:type="gramEnd"/>
      <w:r>
        <w:rPr>
          <w:rFonts w:ascii="Times New Roman" w:hAnsi="Times New Roman" w:cs="Times New Roman"/>
          <w:sz w:val="24"/>
          <w:szCs w:val="24"/>
        </w:rPr>
        <w:t xml:space="preserve"> are available, we assumed that the BMI remains unchanged for patients who continued treatment. Hence, probability of transition from one BMI state to another for these patients is zero. Among patients who discontinue treatment in years 1-4, we assumed an annual BMI increase of 0.175kg/m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7F36E7">
        <w:rPr>
          <w:rFonts w:ascii="Times New Roman" w:hAnsi="Times New Roman" w:cs="Times New Roman"/>
          <w:sz w:val="24"/>
          <w:szCs w:val="24"/>
        </w:rPr>
        <w:t>(average increase for obese individuals who do not undergo treatment) and applied the similar calculation for transition probabilities describe</w:t>
      </w:r>
      <w:r>
        <w:rPr>
          <w:rFonts w:ascii="Times New Roman" w:hAnsi="Times New Roman" w:cs="Times New Roman"/>
          <w:sz w:val="24"/>
          <w:szCs w:val="24"/>
        </w:rPr>
        <w:t>d</w:t>
      </w:r>
      <w:r w:rsidRPr="007F36E7">
        <w:rPr>
          <w:rFonts w:ascii="Times New Roman" w:hAnsi="Times New Roman" w:cs="Times New Roman"/>
          <w:sz w:val="24"/>
          <w:szCs w:val="24"/>
        </w:rPr>
        <w:t xml:space="preserve"> above.</w:t>
      </w:r>
      <w:r>
        <w:rPr>
          <w:rFonts w:ascii="Times New Roman" w:hAnsi="Times New Roman" w:cs="Times New Roman"/>
          <w:sz w:val="24"/>
          <w:szCs w:val="24"/>
        </w:rPr>
        <w:t xml:space="preserve"> </w:t>
      </w:r>
    </w:p>
    <w:p w:rsidR="006F3BC4" w:rsidRDefault="006F3BC4" w:rsidP="005C13D1">
      <w:pPr>
        <w:pStyle w:val="CommentText"/>
        <w:spacing w:before="240" w:line="480" w:lineRule="auto"/>
        <w:jc w:val="both"/>
        <w:rPr>
          <w:rFonts w:ascii="Times New Roman" w:hAnsi="Times New Roman" w:cs="Times New Roman"/>
          <w:b/>
          <w:sz w:val="24"/>
          <w:szCs w:val="24"/>
        </w:rPr>
      </w:pPr>
    </w:p>
    <w:p w:rsidR="006F3BC4" w:rsidRDefault="006F3BC4" w:rsidP="005C13D1">
      <w:pPr>
        <w:pStyle w:val="CommentText"/>
        <w:spacing w:before="240" w:line="480" w:lineRule="auto"/>
        <w:jc w:val="both"/>
        <w:rPr>
          <w:rFonts w:ascii="Times New Roman" w:hAnsi="Times New Roman" w:cs="Times New Roman"/>
          <w:b/>
          <w:sz w:val="24"/>
          <w:szCs w:val="24"/>
        </w:rPr>
      </w:pPr>
    </w:p>
    <w:p w:rsidR="005C13D1" w:rsidRDefault="005C13D1" w:rsidP="005C13D1">
      <w:pPr>
        <w:pStyle w:val="CommentText"/>
        <w:spacing w:before="240" w:line="480" w:lineRule="auto"/>
        <w:jc w:val="both"/>
        <w:rPr>
          <w:rFonts w:ascii="Times New Roman" w:hAnsi="Times New Roman" w:cs="Times New Roman"/>
          <w:b/>
          <w:sz w:val="24"/>
          <w:szCs w:val="24"/>
        </w:rPr>
      </w:pPr>
      <w:r w:rsidRPr="005C13D1">
        <w:rPr>
          <w:rFonts w:ascii="Times New Roman" w:hAnsi="Times New Roman" w:cs="Times New Roman"/>
          <w:b/>
          <w:sz w:val="24"/>
          <w:szCs w:val="24"/>
        </w:rPr>
        <w:lastRenderedPageBreak/>
        <w:t>Estimation of costs</w:t>
      </w:r>
    </w:p>
    <w:p w:rsidR="00461756" w:rsidRPr="00461756" w:rsidRDefault="00461756" w:rsidP="005C13D1">
      <w:pPr>
        <w:pStyle w:val="CommentText"/>
        <w:spacing w:before="240" w:line="480" w:lineRule="auto"/>
        <w:jc w:val="both"/>
        <w:rPr>
          <w:rFonts w:ascii="Times New Roman" w:hAnsi="Times New Roman" w:cs="Times New Roman"/>
          <w:i/>
          <w:sz w:val="24"/>
          <w:szCs w:val="24"/>
        </w:rPr>
      </w:pPr>
      <w:r w:rsidRPr="00461756">
        <w:rPr>
          <w:rFonts w:ascii="Times New Roman" w:hAnsi="Times New Roman" w:cs="Times New Roman"/>
          <w:i/>
          <w:sz w:val="24"/>
          <w:szCs w:val="24"/>
        </w:rPr>
        <w:t xml:space="preserve">Costs of </w:t>
      </w:r>
      <w:r>
        <w:rPr>
          <w:rFonts w:ascii="Times New Roman" w:hAnsi="Times New Roman" w:cs="Times New Roman"/>
          <w:i/>
          <w:sz w:val="24"/>
          <w:szCs w:val="24"/>
        </w:rPr>
        <w:t>F</w:t>
      </w:r>
      <w:r w:rsidRPr="00461756">
        <w:rPr>
          <w:rFonts w:ascii="Times New Roman" w:hAnsi="Times New Roman" w:cs="Times New Roman"/>
          <w:i/>
          <w:sz w:val="24"/>
          <w:szCs w:val="24"/>
        </w:rPr>
        <w:t xml:space="preserve">ollow up, </w:t>
      </w:r>
      <w:r>
        <w:rPr>
          <w:rFonts w:ascii="Times New Roman" w:hAnsi="Times New Roman" w:cs="Times New Roman"/>
          <w:i/>
          <w:sz w:val="24"/>
          <w:szCs w:val="24"/>
        </w:rPr>
        <w:t>M</w:t>
      </w:r>
      <w:r w:rsidRPr="00461756">
        <w:rPr>
          <w:rFonts w:ascii="Times New Roman" w:hAnsi="Times New Roman" w:cs="Times New Roman"/>
          <w:i/>
          <w:sz w:val="24"/>
          <w:szCs w:val="24"/>
        </w:rPr>
        <w:t xml:space="preserve">aintenance and </w:t>
      </w:r>
      <w:r>
        <w:rPr>
          <w:rFonts w:ascii="Times New Roman" w:hAnsi="Times New Roman" w:cs="Times New Roman"/>
          <w:i/>
          <w:sz w:val="24"/>
          <w:szCs w:val="24"/>
        </w:rPr>
        <w:t>D</w:t>
      </w:r>
      <w:r w:rsidRPr="00461756">
        <w:rPr>
          <w:rFonts w:ascii="Times New Roman" w:hAnsi="Times New Roman" w:cs="Times New Roman"/>
          <w:i/>
          <w:sz w:val="24"/>
          <w:szCs w:val="24"/>
        </w:rPr>
        <w:t xml:space="preserve">iscontinuation of </w:t>
      </w:r>
      <w:r>
        <w:rPr>
          <w:rFonts w:ascii="Times New Roman" w:hAnsi="Times New Roman" w:cs="Times New Roman"/>
          <w:i/>
          <w:sz w:val="24"/>
          <w:szCs w:val="24"/>
        </w:rPr>
        <w:t>T</w:t>
      </w:r>
      <w:r w:rsidRPr="00461756">
        <w:rPr>
          <w:rFonts w:ascii="Times New Roman" w:hAnsi="Times New Roman" w:cs="Times New Roman"/>
          <w:i/>
          <w:sz w:val="24"/>
          <w:szCs w:val="24"/>
        </w:rPr>
        <w:t>reatment</w:t>
      </w:r>
    </w:p>
    <w:p w:rsidR="00297135" w:rsidRDefault="005C13D1" w:rsidP="00461756">
      <w:pPr>
        <w:pStyle w:val="CommentText"/>
        <w:spacing w:before="240" w:line="480" w:lineRule="auto"/>
        <w:jc w:val="both"/>
        <w:rPr>
          <w:rFonts w:ascii="Times New Roman" w:hAnsi="Times New Roman" w:cs="Times New Roman"/>
          <w:sz w:val="24"/>
          <w:szCs w:val="24"/>
        </w:rPr>
      </w:pPr>
      <w:r>
        <w:rPr>
          <w:rFonts w:ascii="Times New Roman" w:hAnsi="Times New Roman" w:cs="Times New Roman"/>
          <w:sz w:val="24"/>
          <w:szCs w:val="24"/>
        </w:rPr>
        <w:t>Patients who are treated with aspiration therapy require 8 follow-up visits in year 1 and 4 visits each year beyond year 1</w:t>
      </w:r>
      <w:r w:rsidR="006F3BC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9F4A45">
        <w:rPr>
          <w:rFonts w:ascii="Times New Roman" w:hAnsi="Times New Roman" w:cs="Times New Roman"/>
          <w:sz w:val="24"/>
          <w:szCs w:val="24"/>
        </w:rPr>
        <w:instrText xml:space="preserve"> ADDIN ZOTERO_ITEM CSL_CITATION {"citationID":"8lMUH46x","properties":{"formattedCitation":"(6)","plainCitation":"(6)","noteIndex":0},"citationItems":[{"id":805,"uris":["http://zotero.org/users/4010183/items/IRIUFDKP"],"uri":["http://zotero.org/users/4010183/items/IRIUFDKP"],"itemData":{"id":805,"type":"webpage","title":"AspireAssist-Clinician Guide","URL":"https://www.accessdata.fda.gov/cdrh_docs/pdf15/p150024d.pdf","author":[{"family":"Aspire Bariatrics","given":""}],"issued":{"date-parts":[["2015"]]},"accessed":{"date-parts":[["2018",10,20]]}}}],"schema":"https://github.com/citation-style-language/schema/raw/master/csl-citation.json"} </w:instrText>
      </w:r>
      <w:r>
        <w:rPr>
          <w:rFonts w:ascii="Times New Roman" w:hAnsi="Times New Roman" w:cs="Times New Roman"/>
          <w:sz w:val="24"/>
          <w:szCs w:val="24"/>
        </w:rPr>
        <w:fldChar w:fldCharType="separate"/>
      </w:r>
      <w:r w:rsidR="009F4A45" w:rsidRPr="009F4A45">
        <w:rPr>
          <w:rFonts w:ascii="Times New Roman" w:hAnsi="Times New Roman" w:cs="Times New Roman"/>
          <w:sz w:val="24"/>
        </w:rPr>
        <w:t>(6)</w:t>
      </w:r>
      <w:r>
        <w:rPr>
          <w:rFonts w:ascii="Times New Roman" w:hAnsi="Times New Roman" w:cs="Times New Roman"/>
          <w:sz w:val="24"/>
          <w:szCs w:val="24"/>
        </w:rPr>
        <w:fldChar w:fldCharType="end"/>
      </w:r>
      <w:r>
        <w:rPr>
          <w:rFonts w:ascii="Times New Roman" w:hAnsi="Times New Roman" w:cs="Times New Roman"/>
          <w:sz w:val="24"/>
          <w:szCs w:val="24"/>
        </w:rPr>
        <w:t>. For patients undergoing bariatric surgery,</w:t>
      </w:r>
      <w:r w:rsidR="00D970AB">
        <w:rPr>
          <w:rFonts w:ascii="Times New Roman" w:hAnsi="Times New Roman" w:cs="Times New Roman"/>
          <w:sz w:val="24"/>
          <w:szCs w:val="24"/>
        </w:rPr>
        <w:t xml:space="preserve"> follow up visits were based on recommendations by the A</w:t>
      </w:r>
      <w:r w:rsidR="00D970AB" w:rsidRPr="002B07DD">
        <w:rPr>
          <w:rFonts w:ascii="Times New Roman" w:hAnsi="Times New Roman" w:cs="Times New Roman"/>
          <w:sz w:val="24"/>
          <w:szCs w:val="24"/>
        </w:rPr>
        <w:t>merican Society for Metabolic and Bariatric Surgery’s clinical practice guidelines</w:t>
      </w:r>
      <w:r w:rsidR="006F3BC4">
        <w:rPr>
          <w:rFonts w:ascii="Times New Roman" w:hAnsi="Times New Roman" w:cs="Times New Roman"/>
          <w:sz w:val="24"/>
          <w:szCs w:val="24"/>
        </w:rPr>
        <w:t xml:space="preserve"> </w:t>
      </w:r>
      <w:r w:rsidR="00D970AB">
        <w:rPr>
          <w:rFonts w:ascii="Times New Roman" w:hAnsi="Times New Roman" w:cs="Times New Roman"/>
          <w:sz w:val="24"/>
          <w:szCs w:val="24"/>
        </w:rPr>
        <w:fldChar w:fldCharType="begin"/>
      </w:r>
      <w:r w:rsidR="009F4A45">
        <w:rPr>
          <w:rFonts w:ascii="Times New Roman" w:hAnsi="Times New Roman" w:cs="Times New Roman"/>
          <w:sz w:val="24"/>
          <w:szCs w:val="24"/>
        </w:rPr>
        <w:instrText xml:space="preserve"> ADDIN ZOTERO_ITEM CSL_CITATION {"citationID":"omDpuLAJ","properties":{"formattedCitation":"(7)","plainCitation":"(7)","noteIndex":0},"citationItems":[{"id":2212,"uris":["http://zotero.org/users/4010183/items/QMU877AE"],"uri":["http://zotero.org/users/4010183/items/QMU877AE"],"itemData":{"id":2212,"type":"webpage","title":"Clinical Practice Guidelines for the Support of the Bariatric Surgery Patient | ASMBS","container-title":"American Society for Metabolic and Bariatric Surgery","abstract":"Clinical Practice Guidelines for the Perioperative Nutritional, Metabolic, and Nonsurgical Support of the Bariatric Surgery Patient","URL":"https://asmbs.org/resources/clinical-practice-guidelines-for-the-perioperative-nutritional-metabolic-and-nonsurgical-support-of-the-bariatric-surgery-patient","language":"en-US","issued":{"date-parts":[["2013",3,1]]},"accessed":{"date-parts":[["2019",3,27]]}}}],"schema":"https://github.com/citation-style-language/schema/raw/master/csl-citation.json"} </w:instrText>
      </w:r>
      <w:r w:rsidR="00D970AB">
        <w:rPr>
          <w:rFonts w:ascii="Times New Roman" w:hAnsi="Times New Roman" w:cs="Times New Roman"/>
          <w:sz w:val="24"/>
          <w:szCs w:val="24"/>
        </w:rPr>
        <w:fldChar w:fldCharType="separate"/>
      </w:r>
      <w:r w:rsidR="009F4A45" w:rsidRPr="009F4A45">
        <w:rPr>
          <w:rFonts w:ascii="Times New Roman" w:hAnsi="Times New Roman" w:cs="Times New Roman"/>
          <w:sz w:val="24"/>
        </w:rPr>
        <w:t>(7)</w:t>
      </w:r>
      <w:r w:rsidR="00D970AB">
        <w:rPr>
          <w:rFonts w:ascii="Times New Roman" w:hAnsi="Times New Roman" w:cs="Times New Roman"/>
          <w:sz w:val="24"/>
          <w:szCs w:val="24"/>
        </w:rPr>
        <w:fldChar w:fldCharType="end"/>
      </w:r>
      <w:r w:rsidR="00D970AB">
        <w:rPr>
          <w:rFonts w:ascii="Times New Roman" w:hAnsi="Times New Roman" w:cs="Times New Roman"/>
          <w:sz w:val="24"/>
          <w:szCs w:val="24"/>
        </w:rPr>
        <w:t>.</w:t>
      </w:r>
      <w:r>
        <w:rPr>
          <w:rFonts w:ascii="Times New Roman" w:hAnsi="Times New Roman" w:cs="Times New Roman"/>
          <w:sz w:val="24"/>
          <w:szCs w:val="24"/>
        </w:rPr>
        <w:t xml:space="preserve"> </w:t>
      </w:r>
      <w:r w:rsidR="00D970AB">
        <w:rPr>
          <w:rFonts w:ascii="Times New Roman" w:hAnsi="Times New Roman" w:cs="Times New Roman"/>
          <w:sz w:val="24"/>
          <w:szCs w:val="24"/>
        </w:rPr>
        <w:t>G</w:t>
      </w:r>
      <w:r>
        <w:rPr>
          <w:rFonts w:ascii="Times New Roman" w:hAnsi="Times New Roman" w:cs="Times New Roman"/>
          <w:sz w:val="24"/>
          <w:szCs w:val="24"/>
        </w:rPr>
        <w:t xml:space="preserve">astric bypass </w:t>
      </w:r>
      <w:r w:rsidR="00D970AB">
        <w:rPr>
          <w:rFonts w:ascii="Times New Roman" w:hAnsi="Times New Roman" w:cs="Times New Roman"/>
          <w:sz w:val="24"/>
          <w:szCs w:val="24"/>
        </w:rPr>
        <w:t xml:space="preserve">patients require </w:t>
      </w:r>
      <w:proofErr w:type="gramStart"/>
      <w:r w:rsidR="00D970AB">
        <w:rPr>
          <w:rFonts w:ascii="Times New Roman" w:hAnsi="Times New Roman" w:cs="Times New Roman"/>
          <w:sz w:val="24"/>
          <w:szCs w:val="24"/>
        </w:rPr>
        <w:t>5</w:t>
      </w:r>
      <w:proofErr w:type="gramEnd"/>
      <w:r w:rsidR="00D970AB">
        <w:rPr>
          <w:rFonts w:ascii="Times New Roman" w:hAnsi="Times New Roman" w:cs="Times New Roman"/>
          <w:sz w:val="24"/>
          <w:szCs w:val="24"/>
        </w:rPr>
        <w:t xml:space="preserve"> visits in year 1, 3 visits in year 2 and 2 visits year 3 onwards. Sleeve gastrectomy patients require fewer follow-up visits: </w:t>
      </w:r>
      <w:proofErr w:type="gramStart"/>
      <w:r w:rsidR="00D970AB">
        <w:rPr>
          <w:rFonts w:ascii="Times New Roman" w:hAnsi="Times New Roman" w:cs="Times New Roman"/>
          <w:sz w:val="24"/>
          <w:szCs w:val="24"/>
        </w:rPr>
        <w:t>5</w:t>
      </w:r>
      <w:proofErr w:type="gramEnd"/>
      <w:r w:rsidR="00D970AB">
        <w:rPr>
          <w:rFonts w:ascii="Times New Roman" w:hAnsi="Times New Roman" w:cs="Times New Roman"/>
          <w:sz w:val="24"/>
          <w:szCs w:val="24"/>
        </w:rPr>
        <w:t xml:space="preserve"> visits in year 1, 2 visits in year 2 and 1 visit year 3 onwards. </w:t>
      </w:r>
      <w:r>
        <w:rPr>
          <w:rFonts w:ascii="Times New Roman" w:hAnsi="Times New Roman" w:cs="Times New Roman"/>
          <w:sz w:val="24"/>
          <w:szCs w:val="24"/>
        </w:rPr>
        <w:t xml:space="preserve">Patients on aspiration therapy also incur costs of replacement of A-tube and external connector. </w:t>
      </w:r>
      <w:r>
        <w:rPr>
          <w:rFonts w:ascii="Times New Roman" w:hAnsi="Times New Roman" w:cs="Times New Roman"/>
          <w:bCs/>
          <w:sz w:val="24"/>
          <w:szCs w:val="24"/>
        </w:rPr>
        <w:t>We accounted for a 40% probability of replacement of A-tube every 4 years (corresponding to an annual probability of 12%) as found by Nystrom et al. (2018)</w:t>
      </w:r>
      <w:r>
        <w:rPr>
          <w:rFonts w:ascii="Times New Roman" w:hAnsi="Times New Roman" w:cs="Times New Roman"/>
          <w:bCs/>
          <w:sz w:val="24"/>
          <w:szCs w:val="24"/>
        </w:rPr>
        <w:fldChar w:fldCharType="begin"/>
      </w:r>
      <w:r w:rsidR="00147005">
        <w:rPr>
          <w:rFonts w:ascii="Times New Roman" w:hAnsi="Times New Roman" w:cs="Times New Roman"/>
          <w:bCs/>
          <w:sz w:val="24"/>
          <w:szCs w:val="24"/>
        </w:rPr>
        <w:instrText xml:space="preserve"> ADDIN ZOTERO_ITEM CSL_CITATION {"citationID":"V1MQSblY","properties":{"formattedCitation":"(1)","plainCitation":"(1)","noteIndex":0},"citationItems":[{"id":824,"uris":["http://zotero.org/users/4010183/items/9PJ26K9C"],"uri":["http://zotero.org/users/4010183/items/9PJ26K9C"],"itemData":{"id":824,"type":"article-journal","title":"Aspiration therapy as a tool to treat obesity: 1-to 4-year results in a 201-patient multi-center post-market European Registry Study","container-title":"Obesity surgery","page":"1-9","author":[{"family":"Nyström","given":"Max"},{"family":"Machytka","given":"Evzen"},{"family":"Norén","given":"Erik"},{"family":"Testoni","given":"Pier Alberto"},{"family":"Janssen","given":"Ignace"},{"family":"Homedes","given":"Jesus Turró"},{"family":"Perez","given":"Jorge Carlos Espinos"},{"family":"Arau","given":"Roman Turro"}],"issued":{"date-parts":[["2018"]]}}}],"schema":"https://github.com/citation-style-language/schema/raw/master/csl-citation.json"} </w:instrText>
      </w:r>
      <w:r>
        <w:rPr>
          <w:rFonts w:ascii="Times New Roman" w:hAnsi="Times New Roman" w:cs="Times New Roman"/>
          <w:bCs/>
          <w:sz w:val="24"/>
          <w:szCs w:val="24"/>
        </w:rPr>
        <w:fldChar w:fldCharType="separate"/>
      </w:r>
      <w:r w:rsidR="00297135" w:rsidRPr="00297135">
        <w:rPr>
          <w:rFonts w:ascii="Times New Roman" w:hAnsi="Times New Roman" w:cs="Times New Roman"/>
          <w:sz w:val="24"/>
        </w:rPr>
        <w:t>(1)</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and replacement of external connector every 6 weeks</w:t>
      </w:r>
      <w:r w:rsidR="0070509C">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sidR="009F4A45">
        <w:rPr>
          <w:rFonts w:ascii="Times New Roman" w:hAnsi="Times New Roman" w:cs="Times New Roman"/>
          <w:bCs/>
          <w:sz w:val="24"/>
          <w:szCs w:val="24"/>
        </w:rPr>
        <w:instrText xml:space="preserve"> ADDIN ZOTERO_ITEM CSL_CITATION {"citationID":"UGpUADKq","properties":{"formattedCitation":"(8)","plainCitation":"(8)","noteIndex":0},"citationItems":[{"id":806,"uris":["http://zotero.org/users/4010183/items/WW894I3R"],"uri":["http://zotero.org/users/4010183/items/WW894I3R"],"itemData":{"id":806,"type":"webpage","title":"AspireAssist-Patient Guide","URL":"https://www.accessdata.fda.gov/cdrh_docs/pdf15/p150024c.pdf","author":[{"family":"Aspire Bariatrics","given":""}],"issued":{"date-parts":[["2015"]]},"accessed":{"date-parts":[["2018",10,20]]}}}],"schema":"https://github.com/citation-style-language/schema/raw/master/csl-citation.json"} </w:instrText>
      </w:r>
      <w:r>
        <w:rPr>
          <w:rFonts w:ascii="Times New Roman" w:hAnsi="Times New Roman" w:cs="Times New Roman"/>
          <w:bCs/>
          <w:sz w:val="24"/>
          <w:szCs w:val="24"/>
        </w:rPr>
        <w:fldChar w:fldCharType="separate"/>
      </w:r>
      <w:r w:rsidR="009F4A45" w:rsidRPr="009F4A45">
        <w:rPr>
          <w:rFonts w:ascii="Times New Roman" w:hAnsi="Times New Roman" w:cs="Times New Roman"/>
          <w:sz w:val="24"/>
        </w:rPr>
        <w:t>(8)</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461756">
        <w:rPr>
          <w:rFonts w:ascii="Times New Roman" w:hAnsi="Times New Roman" w:cs="Times New Roman"/>
          <w:sz w:val="24"/>
          <w:szCs w:val="24"/>
        </w:rPr>
        <w:t>We assumed the cost of replacement of A-tube was half the cost of the initial procedure as the A-tube is replaced at the same stoma site</w:t>
      </w:r>
      <w:r w:rsidR="0070509C">
        <w:rPr>
          <w:rFonts w:ascii="Times New Roman" w:hAnsi="Times New Roman" w:cs="Times New Roman"/>
          <w:sz w:val="24"/>
          <w:szCs w:val="24"/>
        </w:rPr>
        <w:t xml:space="preserve"> </w:t>
      </w:r>
      <w:r w:rsidR="00461756">
        <w:rPr>
          <w:rFonts w:ascii="Times New Roman" w:hAnsi="Times New Roman" w:cs="Times New Roman"/>
          <w:sz w:val="24"/>
          <w:szCs w:val="24"/>
        </w:rPr>
        <w:fldChar w:fldCharType="begin"/>
      </w:r>
      <w:r w:rsidR="009F4A45">
        <w:rPr>
          <w:rFonts w:ascii="Times New Roman" w:hAnsi="Times New Roman" w:cs="Times New Roman"/>
          <w:sz w:val="24"/>
          <w:szCs w:val="24"/>
        </w:rPr>
        <w:instrText xml:space="preserve"> ADDIN ZOTERO_ITEM CSL_CITATION {"citationID":"2Zzuk8Xr","properties":{"formattedCitation":"(8)","plainCitation":"(8)","noteIndex":0},"citationItems":[{"id":806,"uris":["http://zotero.org/users/4010183/items/WW894I3R"],"uri":["http://zotero.org/users/4010183/items/WW894I3R"],"itemData":{"id":806,"type":"webpage","title":"AspireAssist-Patient Guide","URL":"https://www.accessdata.fda.gov/cdrh_docs/pdf15/p150024c.pdf","author":[{"family":"Aspire Bariatrics","given":""}],"issued":{"date-parts":[["2015"]]},"accessed":{"date-parts":[["2018",10,20]]}}}],"schema":"https://github.com/citation-style-language/schema/raw/master/csl-citation.json"} </w:instrText>
      </w:r>
      <w:r w:rsidR="00461756">
        <w:rPr>
          <w:rFonts w:ascii="Times New Roman" w:hAnsi="Times New Roman" w:cs="Times New Roman"/>
          <w:sz w:val="24"/>
          <w:szCs w:val="24"/>
        </w:rPr>
        <w:fldChar w:fldCharType="separate"/>
      </w:r>
      <w:r w:rsidR="009F4A45" w:rsidRPr="009F4A45">
        <w:rPr>
          <w:rFonts w:ascii="Times New Roman" w:hAnsi="Times New Roman" w:cs="Times New Roman"/>
          <w:sz w:val="24"/>
        </w:rPr>
        <w:t>(8)</w:t>
      </w:r>
      <w:r w:rsidR="00461756">
        <w:rPr>
          <w:rFonts w:ascii="Times New Roman" w:hAnsi="Times New Roman" w:cs="Times New Roman"/>
          <w:sz w:val="24"/>
          <w:szCs w:val="24"/>
        </w:rPr>
        <w:fldChar w:fldCharType="end"/>
      </w:r>
      <w:r w:rsidR="00461756">
        <w:rPr>
          <w:rFonts w:ascii="Times New Roman" w:hAnsi="Times New Roman" w:cs="Times New Roman"/>
          <w:sz w:val="24"/>
          <w:szCs w:val="24"/>
        </w:rPr>
        <w:t xml:space="preserve"> </w:t>
      </w:r>
      <w:r>
        <w:rPr>
          <w:rFonts w:ascii="Times New Roman" w:hAnsi="Times New Roman" w:cs="Times New Roman"/>
          <w:sz w:val="24"/>
          <w:szCs w:val="24"/>
        </w:rPr>
        <w:t>and the cost of A-tube removal was 1/4</w:t>
      </w:r>
      <w:r w:rsidRPr="009F7521">
        <w:rPr>
          <w:rFonts w:ascii="Times New Roman" w:hAnsi="Times New Roman" w:cs="Times New Roman"/>
          <w:sz w:val="24"/>
          <w:szCs w:val="24"/>
          <w:vertAlign w:val="superscript"/>
        </w:rPr>
        <w:t>th</w:t>
      </w:r>
      <w:r>
        <w:rPr>
          <w:rFonts w:ascii="Times New Roman" w:hAnsi="Times New Roman" w:cs="Times New Roman"/>
          <w:sz w:val="24"/>
          <w:szCs w:val="24"/>
        </w:rPr>
        <w:t xml:space="preserve"> that of the initial procedure; these costs were varied in the sensitivity analyses. </w:t>
      </w:r>
    </w:p>
    <w:p w:rsidR="00461756" w:rsidRPr="00461756" w:rsidRDefault="00461756" w:rsidP="00461756">
      <w:pPr>
        <w:pStyle w:val="CommentText"/>
        <w:spacing w:before="240" w:line="480" w:lineRule="auto"/>
        <w:jc w:val="both"/>
        <w:rPr>
          <w:rFonts w:ascii="Times New Roman" w:hAnsi="Times New Roman" w:cs="Times New Roman"/>
          <w:b/>
          <w:bCs/>
          <w:sz w:val="24"/>
          <w:szCs w:val="24"/>
        </w:rPr>
      </w:pPr>
      <w:r w:rsidRPr="00461756">
        <w:rPr>
          <w:rFonts w:ascii="Times New Roman" w:hAnsi="Times New Roman" w:cs="Times New Roman"/>
          <w:b/>
          <w:bCs/>
          <w:sz w:val="24"/>
          <w:szCs w:val="24"/>
        </w:rPr>
        <w:t>Estimation of Effectiveness</w:t>
      </w:r>
    </w:p>
    <w:p w:rsidR="00461756" w:rsidRPr="00461756" w:rsidRDefault="00461756" w:rsidP="00461756">
      <w:pPr>
        <w:pStyle w:val="CommentText"/>
        <w:spacing w:before="240" w:line="480" w:lineRule="auto"/>
        <w:jc w:val="both"/>
        <w:rPr>
          <w:rFonts w:ascii="Times New Roman" w:hAnsi="Times New Roman" w:cs="Times New Roman"/>
          <w:bCs/>
          <w:i/>
          <w:sz w:val="24"/>
          <w:szCs w:val="24"/>
        </w:rPr>
      </w:pPr>
      <w:r w:rsidRPr="00461756">
        <w:rPr>
          <w:rFonts w:ascii="Times New Roman" w:hAnsi="Times New Roman" w:cs="Times New Roman"/>
          <w:bCs/>
          <w:i/>
          <w:sz w:val="24"/>
          <w:szCs w:val="24"/>
        </w:rPr>
        <w:t>Disutility from Treatment</w:t>
      </w:r>
    </w:p>
    <w:p w:rsidR="00461756" w:rsidRPr="00461756" w:rsidRDefault="00461756" w:rsidP="00461756">
      <w:pPr>
        <w:pStyle w:val="CommentText"/>
        <w:spacing w:before="240" w:line="480" w:lineRule="auto"/>
        <w:jc w:val="both"/>
        <w:rPr>
          <w:rFonts w:ascii="Times New Roman" w:hAnsi="Times New Roman" w:cs="Times New Roman"/>
          <w:bCs/>
          <w:sz w:val="24"/>
          <w:szCs w:val="24"/>
        </w:rPr>
      </w:pPr>
      <w:r>
        <w:rPr>
          <w:rFonts w:ascii="Times New Roman" w:hAnsi="Times New Roman" w:cs="Times New Roman"/>
          <w:sz w:val="24"/>
          <w:szCs w:val="24"/>
          <w:lang w:val="en-GB"/>
        </w:rPr>
        <w:t xml:space="preserve">Following other published studies, </w:t>
      </w:r>
      <w:r>
        <w:rPr>
          <w:rFonts w:ascii="Times New Roman" w:hAnsi="Times New Roman" w:cs="Times New Roman"/>
          <w:sz w:val="24"/>
          <w:szCs w:val="24"/>
        </w:rPr>
        <w:t xml:space="preserve">we assumed that disutility associated with bariatric surgery and its major complications lasted for 6 weeks while disutility from any minor complications lasted for 4 weeks </w:t>
      </w:r>
      <w:r>
        <w:rPr>
          <w:rFonts w:ascii="Times New Roman" w:hAnsi="Times New Roman" w:cs="Times New Roman"/>
          <w:sz w:val="24"/>
          <w:szCs w:val="24"/>
        </w:rPr>
        <w:fldChar w:fldCharType="begin"/>
      </w:r>
      <w:r w:rsidR="009F4A45">
        <w:rPr>
          <w:rFonts w:ascii="Times New Roman" w:hAnsi="Times New Roman" w:cs="Times New Roman"/>
          <w:sz w:val="24"/>
          <w:szCs w:val="24"/>
        </w:rPr>
        <w:instrText xml:space="preserve"> ADDIN ZOTERO_ITEM CSL_CITATION {"citationID":"jwknhuQY","properties":{"formattedCitation":"(9)","plainCitation":"(9)","noteIndex":0},"citationItems":[{"id":823,"uris":["http://zotero.org/users/4010183/items/HLGIJ8PW"],"uri":["http://zotero.org/users/4010183/items/HLGIJ8PW"],"itemData":{"id":823,"type":"article-journal","title":"Cost-effectiveness of laparoscopic gastric banding and bypass for morbid obesity.","container-title":"The American journal of managed care","page":"e174-87","volume":"16","issue":"7","author":[{"family":"Campbell","given":"Joanna"},{"family":"McGarry","given":"Lisa A."},{"family":"Shikora","given":"Scott A."},{"family":"Hale","given":"Brent C."},{"family":"Lee","given":"Jeffrey T."},{"family":"Weinstein","given":"Milton C."}],"issued":{"date-parts":[["2010"]]}}}],"schema":"https://github.com/citation-style-language/schema/raw/master/csl-citation.json"} </w:instrText>
      </w:r>
      <w:r>
        <w:rPr>
          <w:rFonts w:ascii="Times New Roman" w:hAnsi="Times New Roman" w:cs="Times New Roman"/>
          <w:sz w:val="24"/>
          <w:szCs w:val="24"/>
        </w:rPr>
        <w:fldChar w:fldCharType="separate"/>
      </w:r>
      <w:r w:rsidR="009F4A45" w:rsidRPr="009F4A45">
        <w:rPr>
          <w:rFonts w:ascii="Times New Roman" w:hAnsi="Times New Roman" w:cs="Times New Roman"/>
          <w:sz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No data were available on disutility associated with aspiration therapy. However, as aspiration therapy is less invasive and recovery after the procedure is faster </w:t>
      </w:r>
      <w:r>
        <w:rPr>
          <w:rFonts w:ascii="Times New Roman" w:hAnsi="Times New Roman" w:cs="Times New Roman"/>
          <w:sz w:val="24"/>
          <w:szCs w:val="24"/>
        </w:rPr>
        <w:fldChar w:fldCharType="begin"/>
      </w:r>
      <w:r w:rsidR="009F4A45">
        <w:rPr>
          <w:rFonts w:ascii="Times New Roman" w:hAnsi="Times New Roman" w:cs="Times New Roman"/>
          <w:sz w:val="24"/>
          <w:szCs w:val="24"/>
        </w:rPr>
        <w:instrText xml:space="preserve"> ADDIN ZOTERO_ITEM CSL_CITATION {"citationID":"ACt7ituc","properties":{"formattedCitation":"(10)","plainCitation":"(10)","noteIndex":0},"citationItems":[{"id":797,"uris":["http://zotero.org/users/4010183/items/RBKKB865"],"uri":["http://zotero.org/users/4010183/items/RBKKB865"],"itemData":{"id":797,"type":"webpage","title":"The AspireAssist","container-title":"AspireAssist Non-Surgical Weight Loss Procedure","abstract":"Aspire Bariatrics created The AspireAssist, the #1 weight loss device in the country. To learn all about The AspireAssist, visit our website today!","URL":"https://www.aspirebariatrics.com/about-the-aspireassist/","author":[{"family":"Aspire Bariatrics","given":""}],"issued":{"date-parts":[["2017"]]},"accessed":{"date-parts":[["2018",10,21]]}}}],"schema":"https://github.com/citation-style-language/schema/raw/master/csl-citation.json"} </w:instrText>
      </w:r>
      <w:r>
        <w:rPr>
          <w:rFonts w:ascii="Times New Roman" w:hAnsi="Times New Roman" w:cs="Times New Roman"/>
          <w:sz w:val="24"/>
          <w:szCs w:val="24"/>
        </w:rPr>
        <w:fldChar w:fldCharType="separate"/>
      </w:r>
      <w:r w:rsidR="009F4A45" w:rsidRPr="009F4A45">
        <w:rPr>
          <w:rFonts w:ascii="Times New Roman" w:hAnsi="Times New Roman" w:cs="Times New Roman"/>
          <w:sz w:val="24"/>
        </w:rPr>
        <w:t>(10)</w:t>
      </w:r>
      <w:r>
        <w:rPr>
          <w:rFonts w:ascii="Times New Roman" w:hAnsi="Times New Roman" w:cs="Times New Roman"/>
          <w:sz w:val="24"/>
          <w:szCs w:val="24"/>
        </w:rPr>
        <w:fldChar w:fldCharType="end"/>
      </w:r>
      <w:r>
        <w:rPr>
          <w:rFonts w:ascii="Times New Roman" w:hAnsi="Times New Roman" w:cs="Times New Roman"/>
          <w:sz w:val="24"/>
          <w:szCs w:val="24"/>
        </w:rPr>
        <w:t>, we assumed disutility due to the initial procedure and its complications was half of the respective utility decrements for bariatric surgery and only lasted for 4 weeks.</w:t>
      </w:r>
    </w:p>
    <w:p w:rsidR="00C9657A" w:rsidRDefault="00C9657A"/>
    <w:p w:rsidR="00ED08F2" w:rsidRDefault="00ED08F2" w:rsidP="004672BF">
      <w:pPr>
        <w:spacing w:line="480" w:lineRule="auto"/>
        <w:rPr>
          <w:rFonts w:ascii="Times New Roman" w:hAnsi="Times New Roman" w:cs="Times New Roman"/>
          <w:b/>
          <w:sz w:val="24"/>
        </w:rPr>
      </w:pPr>
      <w:r>
        <w:rPr>
          <w:rFonts w:ascii="Times New Roman" w:hAnsi="Times New Roman" w:cs="Times New Roman"/>
          <w:b/>
          <w:sz w:val="24"/>
        </w:rPr>
        <w:lastRenderedPageBreak/>
        <w:t>A.2</w:t>
      </w:r>
      <w:r w:rsidRPr="00C9657A">
        <w:rPr>
          <w:rFonts w:ascii="Times New Roman" w:hAnsi="Times New Roman" w:cs="Times New Roman"/>
          <w:b/>
          <w:sz w:val="24"/>
        </w:rPr>
        <w:t xml:space="preserve"> Results </w:t>
      </w:r>
      <w:r>
        <w:rPr>
          <w:rFonts w:ascii="Times New Roman" w:hAnsi="Times New Roman" w:cs="Times New Roman"/>
          <w:b/>
          <w:sz w:val="24"/>
        </w:rPr>
        <w:t>for</w:t>
      </w:r>
      <w:r w:rsidRPr="00C9657A">
        <w:rPr>
          <w:rFonts w:ascii="Times New Roman" w:hAnsi="Times New Roman" w:cs="Times New Roman"/>
          <w:b/>
          <w:sz w:val="24"/>
        </w:rPr>
        <w:t xml:space="preserve"> alternative scenarios of discontinuation of Aspiration therapy</w:t>
      </w:r>
    </w:p>
    <w:p w:rsidR="007B09A7" w:rsidRPr="00E85D34" w:rsidRDefault="007B09A7" w:rsidP="004672BF">
      <w:pPr>
        <w:spacing w:line="480" w:lineRule="auto"/>
        <w:jc w:val="both"/>
        <w:rPr>
          <w:rFonts w:ascii="Times New Roman" w:hAnsi="Times New Roman" w:cs="Times New Roman"/>
          <w:sz w:val="24"/>
        </w:rPr>
      </w:pPr>
      <w:r w:rsidRPr="00E85D34">
        <w:rPr>
          <w:rFonts w:ascii="Times New Roman" w:hAnsi="Times New Roman" w:cs="Times New Roman"/>
          <w:sz w:val="24"/>
        </w:rPr>
        <w:t>We varied the proportion of patients who discontinue aspiration therapy after 4 years</w:t>
      </w:r>
      <w:r w:rsidR="00CB5512">
        <w:rPr>
          <w:rFonts w:ascii="Times New Roman" w:hAnsi="Times New Roman" w:cs="Times New Roman"/>
          <w:sz w:val="24"/>
        </w:rPr>
        <w:t xml:space="preserve"> (25%, 75% and 100% versus </w:t>
      </w:r>
      <w:r w:rsidRPr="00E85D34">
        <w:rPr>
          <w:rFonts w:ascii="Times New Roman" w:hAnsi="Times New Roman" w:cs="Times New Roman"/>
          <w:sz w:val="24"/>
        </w:rPr>
        <w:t>47%</w:t>
      </w:r>
      <w:r w:rsidR="00CB5512">
        <w:rPr>
          <w:rFonts w:ascii="Times New Roman" w:hAnsi="Times New Roman" w:cs="Times New Roman"/>
          <w:sz w:val="24"/>
        </w:rPr>
        <w:t xml:space="preserve"> in base case).</w:t>
      </w:r>
      <w:r w:rsidRPr="00E85D34">
        <w:rPr>
          <w:rFonts w:ascii="Times New Roman" w:hAnsi="Times New Roman" w:cs="Times New Roman"/>
          <w:sz w:val="24"/>
        </w:rPr>
        <w:t xml:space="preserve"> In all scenarios, aspiration therapy remain</w:t>
      </w:r>
      <w:r>
        <w:rPr>
          <w:rFonts w:ascii="Times New Roman" w:hAnsi="Times New Roman" w:cs="Times New Roman"/>
          <w:sz w:val="24"/>
        </w:rPr>
        <w:t>ed</w:t>
      </w:r>
      <w:r w:rsidRPr="00E85D34">
        <w:rPr>
          <w:rFonts w:ascii="Times New Roman" w:hAnsi="Times New Roman" w:cs="Times New Roman"/>
          <w:sz w:val="24"/>
        </w:rPr>
        <w:t xml:space="preserve"> </w:t>
      </w:r>
      <w:r w:rsidR="00630E58">
        <w:rPr>
          <w:rFonts w:ascii="Times New Roman" w:hAnsi="Times New Roman" w:cs="Times New Roman"/>
          <w:sz w:val="24"/>
        </w:rPr>
        <w:t>dominated by bariatric surgery and was cost-effective relative to no treatment.</w:t>
      </w:r>
    </w:p>
    <w:p w:rsidR="00ED08F2" w:rsidRDefault="00ED08F2" w:rsidP="004672BF">
      <w:pPr>
        <w:spacing w:line="480" w:lineRule="auto"/>
        <w:rPr>
          <w:rFonts w:ascii="Times New Roman" w:hAnsi="Times New Roman" w:cs="Times New Roman"/>
          <w:b/>
        </w:rPr>
      </w:pPr>
    </w:p>
    <w:p w:rsidR="00ED08F2" w:rsidRPr="001E5212" w:rsidRDefault="00ED08F2" w:rsidP="00ED08F2">
      <w:pPr>
        <w:rPr>
          <w:rFonts w:ascii="Times New Roman" w:hAnsi="Times New Roman" w:cs="Times New Roman"/>
        </w:rPr>
      </w:pPr>
      <w:r w:rsidRPr="001E5212">
        <w:rPr>
          <w:rFonts w:ascii="Times New Roman" w:hAnsi="Times New Roman" w:cs="Times New Roman"/>
        </w:rPr>
        <w:t>Table A.</w:t>
      </w:r>
      <w:r>
        <w:rPr>
          <w:rFonts w:ascii="Times New Roman" w:hAnsi="Times New Roman" w:cs="Times New Roman"/>
        </w:rPr>
        <w:t>2</w:t>
      </w:r>
      <w:r w:rsidRPr="001E5212">
        <w:rPr>
          <w:rFonts w:ascii="Times New Roman" w:hAnsi="Times New Roman" w:cs="Times New Roman"/>
        </w:rPr>
        <w:t>.1: Incremental Cost-Effectiveness Results, alternative discontinuation rates of aspiration therapy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58"/>
        <w:gridCol w:w="3058"/>
      </w:tblGrid>
      <w:tr w:rsidR="007B09A7" w:rsidRPr="007B09A7" w:rsidTr="004F0F28">
        <w:tc>
          <w:tcPr>
            <w:tcW w:w="3058" w:type="dxa"/>
            <w:tcBorders>
              <w:top w:val="single" w:sz="4" w:space="0" w:color="auto"/>
              <w:bottom w:val="single" w:sz="4" w:space="0" w:color="auto"/>
            </w:tcBorders>
            <w:shd w:val="clear" w:color="auto" w:fill="BFBFBF" w:themeFill="background1" w:themeFillShade="BF"/>
          </w:tcPr>
          <w:p w:rsidR="007B09A7" w:rsidRPr="007B09A7" w:rsidRDefault="007B09A7" w:rsidP="004672BF">
            <w:pPr>
              <w:spacing w:line="480" w:lineRule="auto"/>
              <w:jc w:val="both"/>
              <w:rPr>
                <w:rFonts w:ascii="Times New Roman" w:hAnsi="Times New Roman" w:cs="Times New Roman"/>
                <w:b/>
              </w:rPr>
            </w:pPr>
            <w:r w:rsidRPr="007B09A7">
              <w:rPr>
                <w:rFonts w:ascii="Times New Roman" w:hAnsi="Times New Roman" w:cs="Times New Roman"/>
                <w:b/>
              </w:rPr>
              <w:t>Scenario</w:t>
            </w:r>
          </w:p>
        </w:tc>
        <w:tc>
          <w:tcPr>
            <w:tcW w:w="3058" w:type="dxa"/>
            <w:tcBorders>
              <w:top w:val="single" w:sz="4" w:space="0" w:color="auto"/>
              <w:bottom w:val="single" w:sz="4" w:space="0" w:color="auto"/>
            </w:tcBorders>
            <w:shd w:val="clear" w:color="auto" w:fill="BFBFBF" w:themeFill="background1" w:themeFillShade="BF"/>
          </w:tcPr>
          <w:p w:rsidR="007B09A7" w:rsidRPr="007B09A7" w:rsidRDefault="007B09A7" w:rsidP="004672BF">
            <w:pPr>
              <w:spacing w:line="480" w:lineRule="auto"/>
              <w:jc w:val="center"/>
              <w:rPr>
                <w:rFonts w:ascii="Times New Roman" w:hAnsi="Times New Roman" w:cs="Times New Roman"/>
                <w:b/>
              </w:rPr>
            </w:pPr>
            <w:r w:rsidRPr="007B09A7">
              <w:rPr>
                <w:rFonts w:ascii="Times New Roman" w:hAnsi="Times New Roman" w:cs="Times New Roman"/>
                <w:b/>
              </w:rPr>
              <w:t>Aspiration therapy compared with bariatric surgery</w:t>
            </w:r>
          </w:p>
        </w:tc>
        <w:tc>
          <w:tcPr>
            <w:tcW w:w="3058" w:type="dxa"/>
            <w:tcBorders>
              <w:top w:val="single" w:sz="4" w:space="0" w:color="auto"/>
              <w:bottom w:val="single" w:sz="4" w:space="0" w:color="auto"/>
            </w:tcBorders>
            <w:shd w:val="clear" w:color="auto" w:fill="BFBFBF" w:themeFill="background1" w:themeFillShade="BF"/>
          </w:tcPr>
          <w:p w:rsidR="007B09A7" w:rsidRPr="007B09A7" w:rsidRDefault="007B09A7" w:rsidP="004672BF">
            <w:pPr>
              <w:spacing w:line="480" w:lineRule="auto"/>
              <w:jc w:val="center"/>
              <w:rPr>
                <w:rFonts w:ascii="Times New Roman" w:hAnsi="Times New Roman" w:cs="Times New Roman"/>
                <w:b/>
              </w:rPr>
            </w:pPr>
            <w:r w:rsidRPr="007B09A7">
              <w:rPr>
                <w:rFonts w:ascii="Times New Roman" w:hAnsi="Times New Roman" w:cs="Times New Roman"/>
                <w:b/>
              </w:rPr>
              <w:t>Aspiration therapy compared with no treatment</w:t>
            </w:r>
          </w:p>
        </w:tc>
      </w:tr>
      <w:tr w:rsidR="007B09A7" w:rsidRPr="007B09A7" w:rsidTr="004F0F28">
        <w:tc>
          <w:tcPr>
            <w:tcW w:w="3058" w:type="dxa"/>
            <w:tcBorders>
              <w:top w:val="single" w:sz="4" w:space="0" w:color="auto"/>
            </w:tcBorders>
          </w:tcPr>
          <w:p w:rsidR="007B09A7" w:rsidRPr="007B09A7" w:rsidRDefault="007B09A7" w:rsidP="004672BF">
            <w:pPr>
              <w:spacing w:line="480" w:lineRule="auto"/>
              <w:jc w:val="both"/>
              <w:rPr>
                <w:rFonts w:ascii="Times New Roman" w:hAnsi="Times New Roman" w:cs="Times New Roman"/>
              </w:rPr>
            </w:pPr>
            <w:r w:rsidRPr="007B09A7">
              <w:rPr>
                <w:rFonts w:ascii="Times New Roman" w:hAnsi="Times New Roman" w:cs="Times New Roman"/>
              </w:rPr>
              <w:t>25% discontinue after year 4</w:t>
            </w:r>
          </w:p>
        </w:tc>
        <w:tc>
          <w:tcPr>
            <w:tcW w:w="3058" w:type="dxa"/>
            <w:tcBorders>
              <w:top w:val="single" w:sz="4" w:space="0" w:color="auto"/>
            </w:tcBorders>
          </w:tcPr>
          <w:p w:rsidR="007B09A7" w:rsidRPr="007B09A7" w:rsidRDefault="007B09A7" w:rsidP="004672BF">
            <w:pPr>
              <w:spacing w:line="480" w:lineRule="auto"/>
              <w:jc w:val="center"/>
              <w:rPr>
                <w:rFonts w:ascii="Times New Roman" w:hAnsi="Times New Roman" w:cs="Times New Roman"/>
              </w:rPr>
            </w:pPr>
            <w:r w:rsidRPr="007B09A7">
              <w:rPr>
                <w:rFonts w:ascii="Times New Roman" w:hAnsi="Times New Roman" w:cs="Times New Roman"/>
              </w:rPr>
              <w:t>Dominated</w:t>
            </w:r>
          </w:p>
        </w:tc>
        <w:tc>
          <w:tcPr>
            <w:tcW w:w="3058" w:type="dxa"/>
            <w:tcBorders>
              <w:top w:val="single" w:sz="4" w:space="0" w:color="auto"/>
            </w:tcBorders>
          </w:tcPr>
          <w:p w:rsidR="007B09A7" w:rsidRPr="007B09A7" w:rsidRDefault="007B09A7" w:rsidP="004672BF">
            <w:pPr>
              <w:spacing w:line="480" w:lineRule="auto"/>
              <w:jc w:val="center"/>
              <w:rPr>
                <w:rFonts w:ascii="Times New Roman" w:hAnsi="Times New Roman" w:cs="Times New Roman"/>
              </w:rPr>
            </w:pPr>
            <w:r w:rsidRPr="007B09A7">
              <w:rPr>
                <w:rFonts w:ascii="Times New Roman" w:hAnsi="Times New Roman" w:cs="Times New Roman"/>
              </w:rPr>
              <w:t>$16,574/QALY</w:t>
            </w:r>
          </w:p>
        </w:tc>
      </w:tr>
      <w:tr w:rsidR="007B09A7" w:rsidRPr="007B09A7" w:rsidTr="004F0F28">
        <w:tc>
          <w:tcPr>
            <w:tcW w:w="3058" w:type="dxa"/>
          </w:tcPr>
          <w:p w:rsidR="007B09A7" w:rsidRPr="007B09A7" w:rsidRDefault="007B09A7" w:rsidP="004672BF">
            <w:pPr>
              <w:spacing w:line="480" w:lineRule="auto"/>
              <w:jc w:val="both"/>
              <w:rPr>
                <w:rFonts w:ascii="Times New Roman" w:hAnsi="Times New Roman" w:cs="Times New Roman"/>
              </w:rPr>
            </w:pPr>
            <w:r w:rsidRPr="007B09A7">
              <w:rPr>
                <w:rFonts w:ascii="Times New Roman" w:hAnsi="Times New Roman" w:cs="Times New Roman"/>
              </w:rPr>
              <w:t>47% discontinue after year 4 (base case)</w:t>
            </w:r>
          </w:p>
        </w:tc>
        <w:tc>
          <w:tcPr>
            <w:tcW w:w="3058" w:type="dxa"/>
          </w:tcPr>
          <w:p w:rsidR="007B09A7" w:rsidRPr="007B09A7" w:rsidRDefault="007B09A7" w:rsidP="004672BF">
            <w:pPr>
              <w:spacing w:line="480" w:lineRule="auto"/>
              <w:jc w:val="center"/>
              <w:rPr>
                <w:rFonts w:ascii="Times New Roman" w:hAnsi="Times New Roman" w:cs="Times New Roman"/>
              </w:rPr>
            </w:pPr>
            <w:r w:rsidRPr="007B09A7">
              <w:rPr>
                <w:rFonts w:ascii="Times New Roman" w:hAnsi="Times New Roman" w:cs="Times New Roman"/>
              </w:rPr>
              <w:t>Dominated</w:t>
            </w:r>
          </w:p>
        </w:tc>
        <w:tc>
          <w:tcPr>
            <w:tcW w:w="3058" w:type="dxa"/>
          </w:tcPr>
          <w:p w:rsidR="007B09A7" w:rsidRPr="007B09A7" w:rsidRDefault="007B09A7" w:rsidP="004672BF">
            <w:pPr>
              <w:spacing w:line="480" w:lineRule="auto"/>
              <w:jc w:val="center"/>
              <w:rPr>
                <w:rFonts w:ascii="Times New Roman" w:hAnsi="Times New Roman" w:cs="Times New Roman"/>
              </w:rPr>
            </w:pPr>
            <w:r w:rsidRPr="007B09A7">
              <w:rPr>
                <w:rFonts w:ascii="Times New Roman" w:hAnsi="Times New Roman" w:cs="Times New Roman"/>
              </w:rPr>
              <w:t>$17,549/QALY</w:t>
            </w:r>
          </w:p>
        </w:tc>
      </w:tr>
      <w:tr w:rsidR="007B09A7" w:rsidRPr="007B09A7" w:rsidTr="004F0F28">
        <w:tc>
          <w:tcPr>
            <w:tcW w:w="3058" w:type="dxa"/>
          </w:tcPr>
          <w:p w:rsidR="007B09A7" w:rsidRPr="007B09A7" w:rsidRDefault="007B09A7" w:rsidP="004672BF">
            <w:pPr>
              <w:spacing w:line="480" w:lineRule="auto"/>
              <w:jc w:val="both"/>
              <w:rPr>
                <w:rFonts w:ascii="Times New Roman" w:hAnsi="Times New Roman" w:cs="Times New Roman"/>
              </w:rPr>
            </w:pPr>
            <w:r w:rsidRPr="007B09A7">
              <w:rPr>
                <w:rFonts w:ascii="Times New Roman" w:hAnsi="Times New Roman" w:cs="Times New Roman"/>
              </w:rPr>
              <w:t>75% discontinue after year 4</w:t>
            </w:r>
          </w:p>
        </w:tc>
        <w:tc>
          <w:tcPr>
            <w:tcW w:w="3058" w:type="dxa"/>
          </w:tcPr>
          <w:p w:rsidR="007B09A7" w:rsidRPr="007B09A7" w:rsidRDefault="007B09A7" w:rsidP="004672BF">
            <w:pPr>
              <w:spacing w:line="480" w:lineRule="auto"/>
              <w:jc w:val="center"/>
              <w:rPr>
                <w:rFonts w:ascii="Times New Roman" w:hAnsi="Times New Roman" w:cs="Times New Roman"/>
              </w:rPr>
            </w:pPr>
            <w:r w:rsidRPr="007B09A7">
              <w:rPr>
                <w:rFonts w:ascii="Times New Roman" w:hAnsi="Times New Roman" w:cs="Times New Roman"/>
              </w:rPr>
              <w:t>Dominated</w:t>
            </w:r>
          </w:p>
        </w:tc>
        <w:tc>
          <w:tcPr>
            <w:tcW w:w="3058" w:type="dxa"/>
          </w:tcPr>
          <w:p w:rsidR="007B09A7" w:rsidRPr="007B09A7" w:rsidRDefault="007B09A7" w:rsidP="004672BF">
            <w:pPr>
              <w:spacing w:line="480" w:lineRule="auto"/>
              <w:jc w:val="center"/>
              <w:rPr>
                <w:rFonts w:ascii="Times New Roman" w:hAnsi="Times New Roman" w:cs="Times New Roman"/>
              </w:rPr>
            </w:pPr>
            <w:r w:rsidRPr="007B09A7">
              <w:rPr>
                <w:rFonts w:ascii="Times New Roman" w:hAnsi="Times New Roman" w:cs="Times New Roman"/>
              </w:rPr>
              <w:t>$20,077/QALY</w:t>
            </w:r>
          </w:p>
        </w:tc>
      </w:tr>
      <w:tr w:rsidR="00645285" w:rsidRPr="007B09A7" w:rsidTr="004F0F28">
        <w:tc>
          <w:tcPr>
            <w:tcW w:w="3058" w:type="dxa"/>
          </w:tcPr>
          <w:p w:rsidR="00645285" w:rsidRPr="007B09A7" w:rsidRDefault="00645285" w:rsidP="00645285">
            <w:pPr>
              <w:spacing w:line="480" w:lineRule="auto"/>
              <w:jc w:val="both"/>
              <w:rPr>
                <w:rFonts w:ascii="Times New Roman" w:hAnsi="Times New Roman" w:cs="Times New Roman"/>
              </w:rPr>
            </w:pPr>
            <w:r>
              <w:rPr>
                <w:rFonts w:ascii="Times New Roman" w:hAnsi="Times New Roman" w:cs="Times New Roman"/>
              </w:rPr>
              <w:t>100% discontinue after year 4</w:t>
            </w:r>
          </w:p>
        </w:tc>
        <w:tc>
          <w:tcPr>
            <w:tcW w:w="3058" w:type="dxa"/>
          </w:tcPr>
          <w:p w:rsidR="00645285" w:rsidRPr="007B09A7" w:rsidRDefault="00645285" w:rsidP="00645285">
            <w:pPr>
              <w:spacing w:line="480" w:lineRule="auto"/>
              <w:jc w:val="center"/>
              <w:rPr>
                <w:rFonts w:ascii="Times New Roman" w:hAnsi="Times New Roman" w:cs="Times New Roman"/>
              </w:rPr>
            </w:pPr>
            <w:r>
              <w:rPr>
                <w:rFonts w:ascii="Times New Roman" w:hAnsi="Times New Roman" w:cs="Times New Roman"/>
              </w:rPr>
              <w:t>Dominated</w:t>
            </w:r>
          </w:p>
        </w:tc>
        <w:tc>
          <w:tcPr>
            <w:tcW w:w="3058" w:type="dxa"/>
          </w:tcPr>
          <w:p w:rsidR="00645285" w:rsidRPr="007B09A7" w:rsidRDefault="00645285" w:rsidP="00645285">
            <w:pPr>
              <w:spacing w:line="480" w:lineRule="auto"/>
              <w:jc w:val="center"/>
              <w:rPr>
                <w:rFonts w:ascii="Times New Roman" w:hAnsi="Times New Roman" w:cs="Times New Roman"/>
              </w:rPr>
            </w:pPr>
            <w:r>
              <w:rPr>
                <w:rFonts w:ascii="Times New Roman" w:hAnsi="Times New Roman" w:cs="Times New Roman"/>
              </w:rPr>
              <w:t xml:space="preserve">$27,560/QALY </w:t>
            </w:r>
          </w:p>
        </w:tc>
      </w:tr>
    </w:tbl>
    <w:p w:rsidR="00ED08F2" w:rsidRDefault="00ED08F2" w:rsidP="00ED08F2">
      <w:pPr>
        <w:rPr>
          <w:rFonts w:ascii="Times New Roman" w:hAnsi="Times New Roman" w:cs="Times New Roman"/>
          <w:b/>
          <w:sz w:val="24"/>
        </w:rPr>
      </w:pPr>
      <w:r w:rsidRPr="003F4071">
        <w:rPr>
          <w:rFonts w:ascii="Times New Roman" w:hAnsi="Times New Roman" w:cs="Times New Roman"/>
          <w:sz w:val="20"/>
          <w:szCs w:val="24"/>
          <w:lang w:val="en-US"/>
        </w:rPr>
        <w:t xml:space="preserve">All costs are in 2017 US dollars (US$). </w:t>
      </w:r>
      <w:r w:rsidRPr="003F4071">
        <w:rPr>
          <w:rFonts w:ascii="Times New Roman" w:eastAsia="Times New Roman" w:hAnsi="Times New Roman" w:cs="Times New Roman"/>
          <w:sz w:val="20"/>
          <w:szCs w:val="24"/>
          <w:lang w:val="en-US" w:eastAsia="en-SG"/>
        </w:rPr>
        <w:t>ICER = incremental cost-effectiveness ratio.</w:t>
      </w:r>
    </w:p>
    <w:p w:rsidR="00ED08F2" w:rsidRDefault="00ED08F2">
      <w:pPr>
        <w:rPr>
          <w:rFonts w:ascii="Times New Roman" w:hAnsi="Times New Roman" w:cs="Times New Roman"/>
          <w:b/>
          <w:sz w:val="24"/>
        </w:rPr>
      </w:pPr>
      <w:r>
        <w:rPr>
          <w:rFonts w:ascii="Times New Roman" w:hAnsi="Times New Roman" w:cs="Times New Roman"/>
          <w:b/>
          <w:sz w:val="24"/>
        </w:rPr>
        <w:br w:type="page"/>
      </w:r>
    </w:p>
    <w:p w:rsidR="001E5212" w:rsidRDefault="00F575A1" w:rsidP="004672BF">
      <w:pPr>
        <w:spacing w:line="480" w:lineRule="auto"/>
        <w:rPr>
          <w:rFonts w:ascii="Times New Roman" w:hAnsi="Times New Roman" w:cs="Times New Roman"/>
          <w:b/>
          <w:sz w:val="24"/>
        </w:rPr>
      </w:pPr>
      <w:r>
        <w:rPr>
          <w:rFonts w:ascii="Times New Roman" w:hAnsi="Times New Roman" w:cs="Times New Roman"/>
          <w:b/>
          <w:sz w:val="24"/>
        </w:rPr>
        <w:lastRenderedPageBreak/>
        <w:t>A.3</w:t>
      </w:r>
      <w:r w:rsidR="001E5212">
        <w:rPr>
          <w:rFonts w:ascii="Times New Roman" w:hAnsi="Times New Roman" w:cs="Times New Roman"/>
          <w:b/>
          <w:sz w:val="24"/>
        </w:rPr>
        <w:t xml:space="preserve"> Results using alternate source of data on bariatric surgery-related complication risks</w:t>
      </w:r>
    </w:p>
    <w:p w:rsidR="001E5212" w:rsidRDefault="006C33B3" w:rsidP="004672BF">
      <w:pPr>
        <w:spacing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w:t>
      </w:r>
      <w:r w:rsidR="00ED08F2">
        <w:rPr>
          <w:rFonts w:ascii="Times New Roman" w:eastAsia="Times New Roman" w:hAnsi="Times New Roman" w:cs="Times New Roman"/>
          <w:color w:val="000000"/>
          <w:sz w:val="24"/>
        </w:rPr>
        <w:t xml:space="preserve"> first used</w:t>
      </w:r>
      <w:r w:rsidR="001E5212">
        <w:rPr>
          <w:rFonts w:ascii="Times New Roman" w:eastAsia="Times New Roman" w:hAnsi="Times New Roman" w:cs="Times New Roman"/>
          <w:color w:val="000000"/>
          <w:sz w:val="24"/>
        </w:rPr>
        <w:t xml:space="preserve"> data on complication risks from</w:t>
      </w:r>
      <w:r w:rsidR="00ED08F2">
        <w:rPr>
          <w:rFonts w:ascii="Times New Roman" w:eastAsia="Times New Roman" w:hAnsi="Times New Roman" w:cs="Times New Roman"/>
          <w:color w:val="000000"/>
          <w:sz w:val="24"/>
        </w:rPr>
        <w:t xml:space="preserve"> a second, recent, high-quality randomized controlled trial comparing gastric bypass and sleeve gastrectomy</w:t>
      </w:r>
      <w:r w:rsidR="001E5212">
        <w:rPr>
          <w:rFonts w:ascii="Times New Roman" w:eastAsia="Times New Roman" w:hAnsi="Times New Roman" w:cs="Times New Roman"/>
          <w:color w:val="000000"/>
          <w:sz w:val="24"/>
        </w:rPr>
        <w:t xml:space="preserve"> </w:t>
      </w:r>
      <w:r w:rsidR="001E5212">
        <w:rPr>
          <w:rFonts w:ascii="Times New Roman" w:eastAsia="Times New Roman" w:hAnsi="Times New Roman" w:cs="Times New Roman"/>
          <w:color w:val="000000"/>
          <w:sz w:val="24"/>
        </w:rPr>
        <w:fldChar w:fldCharType="begin"/>
      </w:r>
      <w:r w:rsidR="009F4A45">
        <w:rPr>
          <w:rFonts w:ascii="Times New Roman" w:eastAsia="Times New Roman" w:hAnsi="Times New Roman" w:cs="Times New Roman"/>
          <w:color w:val="000000"/>
          <w:sz w:val="24"/>
        </w:rPr>
        <w:instrText xml:space="preserve"> ADDIN ZOTERO_ITEM CSL_CITATION {"citationID":"0s2uzuYY","properties":{"formattedCitation":"(11)","plainCitation":"(11)","noteIndex":0},"citationItems":[{"id":2223,"uris":["http://zotero.org/users/4010183/items/I26D5K34"],"uri":["http://zotero.org/users/4010183/items/I26D5K34"],"itemData":{"id":2223,"type":"article-journal","title":"Effect of laparoscopic sleeve gastrectomy vs laparoscopic Roux-en-Y gastric bypass on weight loss in patients with morbid obesity: the SM-BOSS randomized clinical trial","container-title":"Jama","page":"255-265","volume":"319","issue":"3","author":[{"family":"Peterli","given":"Ralph"},{"family":"Wölnerhanssen","given":"Bettina Karin"},{"family":"Peters","given":"Thomas"},{"family":"Vetter","given":"Diana"},{"family":"Kröll","given":"Dino"},{"family":"Borbély","given":"Yves"},{"family":"Schultes","given":"Bernd"},{"family":"Beglinger","given":"Christoph"},{"family":"Drewe","given":"Jürgen"},{"family":"Schiesser","given":"Marc"}],"issued":{"date-parts":[["2018"]]}}}],"schema":"https://github.com/citation-style-language/schema/raw/master/csl-citation.json"} </w:instrText>
      </w:r>
      <w:r w:rsidR="001E5212">
        <w:rPr>
          <w:rFonts w:ascii="Times New Roman" w:eastAsia="Times New Roman" w:hAnsi="Times New Roman" w:cs="Times New Roman"/>
          <w:color w:val="000000"/>
          <w:sz w:val="24"/>
        </w:rPr>
        <w:fldChar w:fldCharType="separate"/>
      </w:r>
      <w:r w:rsidR="009F4A45" w:rsidRPr="009F4A45">
        <w:rPr>
          <w:rFonts w:ascii="Times New Roman" w:hAnsi="Times New Roman" w:cs="Times New Roman"/>
          <w:sz w:val="24"/>
        </w:rPr>
        <w:t>(11)</w:t>
      </w:r>
      <w:r w:rsidR="001E5212">
        <w:rPr>
          <w:rFonts w:ascii="Times New Roman" w:eastAsia="Times New Roman" w:hAnsi="Times New Roman" w:cs="Times New Roman"/>
          <w:color w:val="000000"/>
          <w:sz w:val="24"/>
        </w:rPr>
        <w:fldChar w:fldCharType="end"/>
      </w:r>
      <w:r w:rsidR="00F575A1">
        <w:rPr>
          <w:rFonts w:ascii="Times New Roman" w:eastAsia="Times New Roman" w:hAnsi="Times New Roman" w:cs="Times New Roman"/>
          <w:color w:val="000000"/>
          <w:sz w:val="24"/>
        </w:rPr>
        <w:t xml:space="preserve"> (Table A.3</w:t>
      </w:r>
      <w:r>
        <w:rPr>
          <w:rFonts w:ascii="Times New Roman" w:eastAsia="Times New Roman" w:hAnsi="Times New Roman" w:cs="Times New Roman"/>
          <w:color w:val="000000"/>
          <w:sz w:val="24"/>
        </w:rPr>
        <w:t>.1)</w:t>
      </w:r>
      <w:r w:rsidR="001E5212">
        <w:rPr>
          <w:rFonts w:ascii="Times New Roman" w:eastAsia="Times New Roman" w:hAnsi="Times New Roman" w:cs="Times New Roman"/>
          <w:color w:val="000000"/>
          <w:sz w:val="24"/>
        </w:rPr>
        <w:t xml:space="preserve">. This study only reported short and </w:t>
      </w:r>
      <w:proofErr w:type="gramStart"/>
      <w:r w:rsidR="001E5212">
        <w:rPr>
          <w:rFonts w:ascii="Times New Roman" w:eastAsia="Times New Roman" w:hAnsi="Times New Roman" w:cs="Times New Roman"/>
          <w:color w:val="000000"/>
          <w:sz w:val="24"/>
        </w:rPr>
        <w:t>long-run</w:t>
      </w:r>
      <w:proofErr w:type="gramEnd"/>
      <w:r w:rsidR="001E5212">
        <w:rPr>
          <w:rFonts w:ascii="Times New Roman" w:eastAsia="Times New Roman" w:hAnsi="Times New Roman" w:cs="Times New Roman"/>
          <w:color w:val="000000"/>
          <w:sz w:val="24"/>
        </w:rPr>
        <w:t xml:space="preserve"> </w:t>
      </w:r>
      <w:proofErr w:type="spellStart"/>
      <w:r w:rsidR="001E5212">
        <w:rPr>
          <w:rFonts w:ascii="Times New Roman" w:eastAsia="Times New Roman" w:hAnsi="Times New Roman" w:cs="Times New Roman"/>
          <w:color w:val="000000"/>
          <w:sz w:val="24"/>
        </w:rPr>
        <w:t>reoperative</w:t>
      </w:r>
      <w:proofErr w:type="spellEnd"/>
      <w:r w:rsidR="001E5212">
        <w:rPr>
          <w:rFonts w:ascii="Times New Roman" w:eastAsia="Times New Roman" w:hAnsi="Times New Roman" w:cs="Times New Roman"/>
          <w:color w:val="000000"/>
          <w:sz w:val="24"/>
        </w:rPr>
        <w:t xml:space="preserve"> events; minor complications not requiring surgical or endoscopic intervention were not reported. Consequently, for this analysis, it </w:t>
      </w:r>
      <w:proofErr w:type="gramStart"/>
      <w:r w:rsidR="001E5212">
        <w:rPr>
          <w:rFonts w:ascii="Times New Roman" w:eastAsia="Times New Roman" w:hAnsi="Times New Roman" w:cs="Times New Roman"/>
          <w:color w:val="000000"/>
          <w:sz w:val="24"/>
        </w:rPr>
        <w:t>was assumed</w:t>
      </w:r>
      <w:proofErr w:type="gramEnd"/>
      <w:r w:rsidR="001E5212">
        <w:rPr>
          <w:rFonts w:ascii="Times New Roman" w:eastAsia="Times New Roman" w:hAnsi="Times New Roman" w:cs="Times New Roman"/>
          <w:color w:val="000000"/>
          <w:sz w:val="24"/>
        </w:rPr>
        <w:t xml:space="preserve"> that there were no minor complications.</w:t>
      </w:r>
      <w:r w:rsidR="00ED08F2">
        <w:rPr>
          <w:rFonts w:ascii="Times New Roman" w:eastAsia="Times New Roman" w:hAnsi="Times New Roman" w:cs="Times New Roman"/>
          <w:color w:val="000000"/>
          <w:sz w:val="24"/>
        </w:rPr>
        <w:t xml:space="preserve"> Next, we used </w:t>
      </w:r>
      <w:r w:rsidR="00ED08F2" w:rsidRPr="00FF680E">
        <w:rPr>
          <w:rFonts w:ascii="Times New Roman" w:eastAsia="Times New Roman" w:hAnsi="Times New Roman" w:cs="Times New Roman"/>
          <w:color w:val="000000"/>
          <w:sz w:val="24"/>
        </w:rPr>
        <w:t xml:space="preserve">meta-analytic estimates for short-run complications from </w:t>
      </w:r>
      <w:proofErr w:type="spellStart"/>
      <w:r w:rsidR="00ED08F2" w:rsidRPr="00FF680E">
        <w:rPr>
          <w:rFonts w:ascii="Times New Roman" w:eastAsia="Times New Roman" w:hAnsi="Times New Roman" w:cs="Times New Roman"/>
          <w:color w:val="000000"/>
          <w:sz w:val="24"/>
        </w:rPr>
        <w:t>Osland</w:t>
      </w:r>
      <w:proofErr w:type="spellEnd"/>
      <w:r w:rsidR="00ED08F2" w:rsidRPr="00FF680E">
        <w:rPr>
          <w:rFonts w:ascii="Times New Roman" w:eastAsia="Times New Roman" w:hAnsi="Times New Roman" w:cs="Times New Roman"/>
          <w:color w:val="000000"/>
          <w:sz w:val="24"/>
        </w:rPr>
        <w:t xml:space="preserve"> et al. 2016</w:t>
      </w:r>
      <w:r w:rsidR="00ED08F2">
        <w:rPr>
          <w:rFonts w:ascii="Times New Roman" w:eastAsia="Times New Roman" w:hAnsi="Times New Roman" w:cs="Times New Roman"/>
          <w:color w:val="000000"/>
          <w:sz w:val="24"/>
        </w:rPr>
        <w:t xml:space="preserve"> </w:t>
      </w:r>
      <w:r w:rsidR="00ED08F2" w:rsidRPr="00FF680E">
        <w:rPr>
          <w:rFonts w:ascii="Times New Roman" w:eastAsia="Times New Roman" w:hAnsi="Times New Roman" w:cs="Times New Roman"/>
          <w:color w:val="000000"/>
          <w:sz w:val="24"/>
        </w:rPr>
        <w:fldChar w:fldCharType="begin"/>
      </w:r>
      <w:r w:rsidR="00ED08F2">
        <w:rPr>
          <w:rFonts w:ascii="Times New Roman" w:eastAsia="Times New Roman" w:hAnsi="Times New Roman" w:cs="Times New Roman"/>
          <w:color w:val="000000"/>
          <w:sz w:val="24"/>
        </w:rPr>
        <w:instrText xml:space="preserve"> ADDIN ZOTERO_ITEM CSL_CITATION {"citationID":"tJs71bW4","properties":{"formattedCitation":"(12)","plainCitation":"(12)","noteIndex":0},"citationItems":[{"id":2197,"uris":["http://zotero.org/users/4010183/items/MY4GEA2V"],"uri":["http://zotero.org/users/4010183/items/MY4GEA2V"],"itemData":{"id":2197,"type":"article-journal","title":"Postoperative early major and minor complications in laparoscopic vertical sleeve gastrectomy (LVSG) versus laparoscopic Roux-en-Y gastric bypass (LRYGB) procedures: a meta-analysis and systematic review","container-title":"Obesity surgery","page":"2273-2284","volume":"26","issue":"10","author":[{"family":"Osland","given":"Emma"},{"family":"Yunus","given":"Rossita Mohamad"},{"family":"Khan","given":"Shahjahan"},{"family":"Alodat","given":"Tareq"},{"family":"Memon","given":"Breda"},{"family":"Memon","given":"Muhammed Ashraf"}],"issued":{"date-parts":[["2016"]]}}}],"schema":"https://github.com/citation-style-language/schema/raw/master/csl-citation.json"} </w:instrText>
      </w:r>
      <w:r w:rsidR="00ED08F2" w:rsidRPr="00FF680E">
        <w:rPr>
          <w:rFonts w:ascii="Times New Roman" w:eastAsia="Times New Roman" w:hAnsi="Times New Roman" w:cs="Times New Roman"/>
          <w:color w:val="000000"/>
          <w:sz w:val="24"/>
        </w:rPr>
        <w:fldChar w:fldCharType="separate"/>
      </w:r>
      <w:r w:rsidR="00ED08F2" w:rsidRPr="00ED08F2">
        <w:rPr>
          <w:rFonts w:ascii="Times New Roman" w:hAnsi="Times New Roman" w:cs="Times New Roman"/>
          <w:sz w:val="24"/>
        </w:rPr>
        <w:t>(12)</w:t>
      </w:r>
      <w:r w:rsidR="00ED08F2" w:rsidRPr="00FF680E">
        <w:rPr>
          <w:rFonts w:ascii="Times New Roman" w:eastAsia="Times New Roman" w:hAnsi="Times New Roman" w:cs="Times New Roman"/>
          <w:color w:val="000000"/>
          <w:sz w:val="24"/>
        </w:rPr>
        <w:fldChar w:fldCharType="end"/>
      </w:r>
      <w:r w:rsidR="00F575A1">
        <w:rPr>
          <w:rFonts w:ascii="Times New Roman" w:eastAsia="Times New Roman" w:hAnsi="Times New Roman" w:cs="Times New Roman"/>
          <w:color w:val="000000"/>
          <w:sz w:val="24"/>
        </w:rPr>
        <w:t xml:space="preserve"> (Table A.3</w:t>
      </w:r>
      <w:r>
        <w:rPr>
          <w:rFonts w:ascii="Times New Roman" w:eastAsia="Times New Roman" w:hAnsi="Times New Roman" w:cs="Times New Roman"/>
          <w:color w:val="000000"/>
          <w:sz w:val="24"/>
        </w:rPr>
        <w:t xml:space="preserve">.2). </w:t>
      </w:r>
      <w:r w:rsidR="00ED08F2">
        <w:rPr>
          <w:rFonts w:ascii="Times New Roman" w:eastAsia="Times New Roman" w:hAnsi="Times New Roman" w:cs="Times New Roman"/>
          <w:color w:val="000000"/>
          <w:sz w:val="24"/>
        </w:rPr>
        <w:t>T</w:t>
      </w:r>
      <w:r w:rsidR="00ED08F2" w:rsidRPr="00FF680E">
        <w:rPr>
          <w:rFonts w:ascii="Times New Roman" w:eastAsia="Times New Roman" w:hAnsi="Times New Roman" w:cs="Times New Roman"/>
          <w:color w:val="000000"/>
          <w:sz w:val="24"/>
        </w:rPr>
        <w:t>hese short-run estimates</w:t>
      </w:r>
      <w:r w:rsidR="00ED08F2">
        <w:rPr>
          <w:rFonts w:ascii="Times New Roman" w:eastAsia="Times New Roman" w:hAnsi="Times New Roman" w:cs="Times New Roman"/>
          <w:color w:val="000000"/>
          <w:sz w:val="24"/>
        </w:rPr>
        <w:t xml:space="preserve"> were complemented</w:t>
      </w:r>
      <w:r w:rsidR="00ED08F2" w:rsidRPr="00FF680E">
        <w:rPr>
          <w:rFonts w:ascii="Times New Roman" w:eastAsia="Times New Roman" w:hAnsi="Times New Roman" w:cs="Times New Roman"/>
          <w:color w:val="000000"/>
          <w:sz w:val="24"/>
        </w:rPr>
        <w:t xml:space="preserve"> with meta-analytic estimates for long-run complication risks from </w:t>
      </w:r>
      <w:proofErr w:type="spellStart"/>
      <w:r w:rsidR="00ED08F2" w:rsidRPr="00FF680E">
        <w:rPr>
          <w:rFonts w:ascii="Times New Roman" w:eastAsia="Times New Roman" w:hAnsi="Times New Roman" w:cs="Times New Roman"/>
          <w:color w:val="000000"/>
          <w:sz w:val="24"/>
        </w:rPr>
        <w:t>Osland</w:t>
      </w:r>
      <w:proofErr w:type="spellEnd"/>
      <w:r w:rsidR="00ED08F2" w:rsidRPr="00FF680E">
        <w:rPr>
          <w:rFonts w:ascii="Times New Roman" w:eastAsia="Times New Roman" w:hAnsi="Times New Roman" w:cs="Times New Roman"/>
          <w:color w:val="000000"/>
          <w:sz w:val="24"/>
        </w:rPr>
        <w:t xml:space="preserve"> et al. 2016</w:t>
      </w:r>
      <w:r w:rsidR="00ED08F2">
        <w:rPr>
          <w:rFonts w:ascii="Times New Roman" w:eastAsia="Times New Roman" w:hAnsi="Times New Roman" w:cs="Times New Roman"/>
          <w:color w:val="000000"/>
          <w:sz w:val="24"/>
        </w:rPr>
        <w:t xml:space="preserve"> </w:t>
      </w:r>
      <w:r w:rsidR="00ED08F2" w:rsidRPr="00FF680E">
        <w:rPr>
          <w:rFonts w:ascii="Times New Roman" w:eastAsia="Times New Roman" w:hAnsi="Times New Roman" w:cs="Times New Roman"/>
          <w:color w:val="000000"/>
          <w:sz w:val="24"/>
        </w:rPr>
        <w:fldChar w:fldCharType="begin"/>
      </w:r>
      <w:r w:rsidR="00ED08F2">
        <w:rPr>
          <w:rFonts w:ascii="Times New Roman" w:eastAsia="Times New Roman" w:hAnsi="Times New Roman" w:cs="Times New Roman"/>
          <w:color w:val="000000"/>
          <w:sz w:val="24"/>
        </w:rPr>
        <w:instrText xml:space="preserve"> ADDIN ZOTERO_ITEM CSL_CITATION {"citationID":"jZQDJg0n","properties":{"formattedCitation":"(13)","plainCitation":"(13)","noteIndex":0},"citationItems":[{"id":2198,"uris":["http://zotero.org/users/4010183/items/AC5V3Y94"],"uri":["http://zotero.org/users/4010183/items/AC5V3Y94"],"itemData":{"id":2198,"type":"article-journal","title":"Late postoperative complications in laparoscopic sleeve gastrectomy (LVSG) versus laparoscopic Roux-en-Y gastric bypass (LRYGB): meta-analysis and systematic review","container-title":"Surgical Laparoscopy Endoscopy &amp; Percutaneous Techniques","page":"193-201","volume":"26","issue":"3","author":[{"family":"Osland","given":"Emma"},{"family":"Yunus","given":"Rossita M."},{"family":"Khan","given":"Shahjahan"},{"family":"Memon","given":"Breda"},{"family":"Memon","given":"Muhammed A."}],"issued":{"date-parts":[["2016"]]}}}],"schema":"https://github.com/citation-style-language/schema/raw/master/csl-citation.json"} </w:instrText>
      </w:r>
      <w:r w:rsidR="00ED08F2" w:rsidRPr="00FF680E">
        <w:rPr>
          <w:rFonts w:ascii="Times New Roman" w:eastAsia="Times New Roman" w:hAnsi="Times New Roman" w:cs="Times New Roman"/>
          <w:color w:val="000000"/>
          <w:sz w:val="24"/>
        </w:rPr>
        <w:fldChar w:fldCharType="separate"/>
      </w:r>
      <w:r w:rsidR="00ED08F2" w:rsidRPr="00ED08F2">
        <w:rPr>
          <w:rFonts w:ascii="Times New Roman" w:hAnsi="Times New Roman" w:cs="Times New Roman"/>
          <w:sz w:val="24"/>
        </w:rPr>
        <w:t>(13)</w:t>
      </w:r>
      <w:r w:rsidR="00ED08F2" w:rsidRPr="00FF680E">
        <w:rPr>
          <w:rFonts w:ascii="Times New Roman" w:eastAsia="Times New Roman" w:hAnsi="Times New Roman" w:cs="Times New Roman"/>
          <w:color w:val="000000"/>
          <w:sz w:val="24"/>
        </w:rPr>
        <w:fldChar w:fldCharType="end"/>
      </w:r>
      <w:r w:rsidR="00ED08F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In both these analyses, our base case results continued to hold, namely, aspiration therapy </w:t>
      </w:r>
      <w:proofErr w:type="gramStart"/>
      <w:r>
        <w:rPr>
          <w:rFonts w:ascii="Times New Roman" w:eastAsia="Times New Roman" w:hAnsi="Times New Roman" w:cs="Times New Roman"/>
          <w:color w:val="000000"/>
          <w:sz w:val="24"/>
        </w:rPr>
        <w:t>was dominated</w:t>
      </w:r>
      <w:proofErr w:type="gramEnd"/>
      <w:r>
        <w:rPr>
          <w:rFonts w:ascii="Times New Roman" w:eastAsia="Times New Roman" w:hAnsi="Times New Roman" w:cs="Times New Roman"/>
          <w:color w:val="000000"/>
          <w:sz w:val="24"/>
        </w:rPr>
        <w:t xml:space="preserve"> by bariatric surgery and gastric bypass was the most cost-effective treatment.</w:t>
      </w:r>
    </w:p>
    <w:p w:rsidR="001E5212" w:rsidRPr="001E5212" w:rsidRDefault="00F575A1">
      <w:pPr>
        <w:rPr>
          <w:rFonts w:ascii="Times New Roman" w:hAnsi="Times New Roman" w:cs="Times New Roman"/>
          <w:sz w:val="24"/>
        </w:rPr>
      </w:pPr>
      <w:r>
        <w:rPr>
          <w:rFonts w:ascii="Times New Roman" w:hAnsi="Times New Roman" w:cs="Times New Roman"/>
          <w:sz w:val="24"/>
        </w:rPr>
        <w:t>Table A.3</w:t>
      </w:r>
      <w:r w:rsidR="001E5212" w:rsidRPr="001E5212">
        <w:rPr>
          <w:rFonts w:ascii="Times New Roman" w:hAnsi="Times New Roman" w:cs="Times New Roman"/>
          <w:sz w:val="24"/>
        </w:rPr>
        <w:t>.1: Incremental Cost-Effectiveness Results, data on bariatric surgery-related complication risks</w:t>
      </w:r>
      <w:r w:rsidR="00ED08F2">
        <w:rPr>
          <w:rFonts w:ascii="Times New Roman" w:hAnsi="Times New Roman" w:cs="Times New Roman"/>
          <w:sz w:val="24"/>
        </w:rPr>
        <w:t xml:space="preserve"> from second randomized controlled trial </w:t>
      </w:r>
    </w:p>
    <w:tbl>
      <w:tblPr>
        <w:tblW w:w="5476"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24"/>
        <w:gridCol w:w="1268"/>
        <w:gridCol w:w="1329"/>
        <w:gridCol w:w="1349"/>
        <w:gridCol w:w="1836"/>
        <w:gridCol w:w="1659"/>
      </w:tblGrid>
      <w:tr w:rsidR="001E5212" w:rsidRPr="003F4071" w:rsidTr="00D20B38">
        <w:trPr>
          <w:trHeight w:val="264"/>
        </w:trPr>
        <w:tc>
          <w:tcPr>
            <w:tcW w:w="1304" w:type="pct"/>
            <w:tcBorders>
              <w:top w:val="single" w:sz="4" w:space="0" w:color="auto"/>
              <w:left w:val="nil"/>
              <w:bottom w:val="single" w:sz="4" w:space="0" w:color="auto"/>
              <w:right w:val="nil"/>
            </w:tcBorders>
            <w:shd w:val="clear" w:color="auto" w:fill="D0CECE" w:themeFill="background2" w:themeFillShade="E6"/>
            <w:noWrap/>
            <w:hideMark/>
          </w:tcPr>
          <w:p w:rsidR="001E5212" w:rsidRPr="003F4071" w:rsidRDefault="001E5212" w:rsidP="00D20B38">
            <w:pPr>
              <w:spacing w:line="276" w:lineRule="auto"/>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Strategy</w:t>
            </w:r>
          </w:p>
        </w:tc>
        <w:tc>
          <w:tcPr>
            <w:tcW w:w="630" w:type="pct"/>
            <w:tcBorders>
              <w:top w:val="single" w:sz="4" w:space="0" w:color="auto"/>
              <w:left w:val="nil"/>
              <w:bottom w:val="single" w:sz="4" w:space="0" w:color="auto"/>
              <w:right w:val="nil"/>
            </w:tcBorders>
            <w:shd w:val="clear" w:color="auto" w:fill="D0CECE" w:themeFill="background2" w:themeFillShade="E6"/>
            <w:noWrap/>
            <w:hideMark/>
          </w:tcPr>
          <w:p w:rsidR="001E5212" w:rsidRPr="003F4071" w:rsidRDefault="001E5212" w:rsidP="00D20B3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Cost (US$)</w:t>
            </w:r>
          </w:p>
        </w:tc>
        <w:tc>
          <w:tcPr>
            <w:tcW w:w="660" w:type="pct"/>
            <w:tcBorders>
              <w:top w:val="single" w:sz="4" w:space="0" w:color="auto"/>
              <w:left w:val="nil"/>
              <w:bottom w:val="single" w:sz="4" w:space="0" w:color="auto"/>
              <w:right w:val="nil"/>
            </w:tcBorders>
            <w:shd w:val="clear" w:color="auto" w:fill="D0CECE" w:themeFill="background2" w:themeFillShade="E6"/>
            <w:noWrap/>
            <w:hideMark/>
          </w:tcPr>
          <w:p w:rsidR="001E5212" w:rsidRPr="003F4071" w:rsidRDefault="001E5212" w:rsidP="00D20B3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Incremental Costs (US$)</w:t>
            </w:r>
          </w:p>
        </w:tc>
        <w:tc>
          <w:tcPr>
            <w:tcW w:w="670" w:type="pct"/>
            <w:tcBorders>
              <w:top w:val="single" w:sz="4" w:space="0" w:color="auto"/>
              <w:left w:val="nil"/>
              <w:bottom w:val="single" w:sz="4" w:space="0" w:color="auto"/>
              <w:right w:val="nil"/>
            </w:tcBorders>
            <w:shd w:val="clear" w:color="auto" w:fill="D0CECE" w:themeFill="background2" w:themeFillShade="E6"/>
            <w:noWrap/>
            <w:hideMark/>
          </w:tcPr>
          <w:p w:rsidR="001E5212" w:rsidRPr="003F4071" w:rsidRDefault="001E5212" w:rsidP="00D20B3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Effectiveness</w:t>
            </w:r>
          </w:p>
        </w:tc>
        <w:tc>
          <w:tcPr>
            <w:tcW w:w="912" w:type="pct"/>
            <w:tcBorders>
              <w:top w:val="single" w:sz="4" w:space="0" w:color="auto"/>
              <w:left w:val="nil"/>
              <w:bottom w:val="single" w:sz="4" w:space="0" w:color="auto"/>
              <w:right w:val="nil"/>
            </w:tcBorders>
            <w:shd w:val="clear" w:color="auto" w:fill="D0CECE" w:themeFill="background2" w:themeFillShade="E6"/>
            <w:noWrap/>
            <w:hideMark/>
          </w:tcPr>
          <w:p w:rsidR="001E5212" w:rsidRPr="003F4071" w:rsidRDefault="001E5212" w:rsidP="00D20B3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Incremental Effectiveness</w:t>
            </w:r>
          </w:p>
        </w:tc>
        <w:tc>
          <w:tcPr>
            <w:tcW w:w="824" w:type="pct"/>
            <w:tcBorders>
              <w:top w:val="single" w:sz="4" w:space="0" w:color="auto"/>
              <w:left w:val="nil"/>
              <w:bottom w:val="single" w:sz="4" w:space="0" w:color="auto"/>
              <w:right w:val="nil"/>
            </w:tcBorders>
            <w:shd w:val="clear" w:color="auto" w:fill="D0CECE" w:themeFill="background2" w:themeFillShade="E6"/>
            <w:noWrap/>
            <w:hideMark/>
          </w:tcPr>
          <w:p w:rsidR="001E5212" w:rsidRPr="003F4071" w:rsidRDefault="001E5212" w:rsidP="00D20B3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 xml:space="preserve">ICER </w:t>
            </w:r>
            <w:r w:rsidR="00ED08F2">
              <w:rPr>
                <w:rFonts w:ascii="Times New Roman" w:hAnsi="Times New Roman" w:cs="Times New Roman"/>
                <w:b/>
                <w:sz w:val="20"/>
                <w:szCs w:val="24"/>
                <w:lang w:val="en-US"/>
              </w:rPr>
              <w:t>(US$/QALY)</w:t>
            </w:r>
          </w:p>
        </w:tc>
      </w:tr>
      <w:tr w:rsidR="001E5212" w:rsidRPr="003F4071" w:rsidTr="00D20B38">
        <w:trPr>
          <w:trHeight w:val="264"/>
        </w:trPr>
        <w:tc>
          <w:tcPr>
            <w:tcW w:w="1304" w:type="pct"/>
            <w:tcBorders>
              <w:top w:val="nil"/>
              <w:left w:val="nil"/>
              <w:bottom w:val="nil"/>
              <w:right w:val="nil"/>
            </w:tcBorders>
            <w:noWrap/>
          </w:tcPr>
          <w:p w:rsidR="001E5212" w:rsidRPr="003F4071" w:rsidRDefault="001E5212" w:rsidP="00D20B38">
            <w:pPr>
              <w:spacing w:line="276" w:lineRule="auto"/>
              <w:rPr>
                <w:rFonts w:ascii="Times New Roman" w:hAnsi="Times New Roman" w:cs="Times New Roman"/>
                <w:sz w:val="20"/>
                <w:szCs w:val="24"/>
              </w:rPr>
            </w:pPr>
            <w:r w:rsidRPr="003F4071">
              <w:rPr>
                <w:rFonts w:ascii="Times New Roman" w:hAnsi="Times New Roman" w:cs="Times New Roman"/>
                <w:sz w:val="20"/>
                <w:szCs w:val="24"/>
              </w:rPr>
              <w:t>No treatment</w:t>
            </w:r>
          </w:p>
        </w:tc>
        <w:tc>
          <w:tcPr>
            <w:tcW w:w="63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117,357</w:t>
            </w:r>
          </w:p>
        </w:tc>
        <w:tc>
          <w:tcPr>
            <w:tcW w:w="66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c>
          <w:tcPr>
            <w:tcW w:w="67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12.96</w:t>
            </w:r>
          </w:p>
        </w:tc>
        <w:tc>
          <w:tcPr>
            <w:tcW w:w="912"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c>
          <w:tcPr>
            <w:tcW w:w="824"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r>
      <w:tr w:rsidR="001E5212" w:rsidRPr="003F4071" w:rsidTr="00D20B38">
        <w:trPr>
          <w:trHeight w:val="264"/>
        </w:trPr>
        <w:tc>
          <w:tcPr>
            <w:tcW w:w="1304" w:type="pct"/>
            <w:tcBorders>
              <w:top w:val="nil"/>
              <w:left w:val="nil"/>
              <w:bottom w:val="nil"/>
              <w:right w:val="nil"/>
            </w:tcBorders>
            <w:noWrap/>
          </w:tcPr>
          <w:p w:rsidR="001E5212" w:rsidRPr="003F4071" w:rsidRDefault="001E5212" w:rsidP="00D20B38">
            <w:pPr>
              <w:spacing w:line="276" w:lineRule="auto"/>
              <w:rPr>
                <w:rFonts w:ascii="Times New Roman" w:hAnsi="Times New Roman" w:cs="Times New Roman"/>
                <w:sz w:val="20"/>
                <w:szCs w:val="24"/>
              </w:rPr>
            </w:pPr>
            <w:r w:rsidRPr="003F4071">
              <w:rPr>
                <w:rFonts w:ascii="Times New Roman" w:hAnsi="Times New Roman" w:cs="Times New Roman"/>
                <w:sz w:val="20"/>
                <w:szCs w:val="24"/>
              </w:rPr>
              <w:t>Sleeve Gastrectomy</w:t>
            </w:r>
          </w:p>
        </w:tc>
        <w:tc>
          <w:tcPr>
            <w:tcW w:w="63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Pr>
                <w:rFonts w:ascii="Times New Roman" w:hAnsi="Times New Roman" w:cs="Times New Roman"/>
                <w:sz w:val="20"/>
                <w:szCs w:val="24"/>
              </w:rPr>
              <w:t>122,530</w:t>
            </w:r>
          </w:p>
        </w:tc>
        <w:tc>
          <w:tcPr>
            <w:tcW w:w="66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Pr>
                <w:rFonts w:ascii="Times New Roman" w:hAnsi="Times New Roman" w:cs="Times New Roman"/>
                <w:sz w:val="20"/>
                <w:szCs w:val="24"/>
              </w:rPr>
              <w:t>5,173</w:t>
            </w:r>
          </w:p>
        </w:tc>
        <w:tc>
          <w:tcPr>
            <w:tcW w:w="67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15.11</w:t>
            </w:r>
          </w:p>
        </w:tc>
        <w:tc>
          <w:tcPr>
            <w:tcW w:w="912"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2.15</w:t>
            </w:r>
          </w:p>
        </w:tc>
        <w:tc>
          <w:tcPr>
            <w:tcW w:w="824"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Pr>
                <w:rFonts w:ascii="Times New Roman" w:hAnsi="Times New Roman" w:cs="Times New Roman"/>
                <w:sz w:val="20"/>
                <w:szCs w:val="24"/>
              </w:rPr>
              <w:t>2,405</w:t>
            </w:r>
          </w:p>
        </w:tc>
      </w:tr>
      <w:tr w:rsidR="001E5212" w:rsidRPr="003F4071" w:rsidTr="00D20B38">
        <w:trPr>
          <w:trHeight w:val="264"/>
        </w:trPr>
        <w:tc>
          <w:tcPr>
            <w:tcW w:w="1304" w:type="pct"/>
            <w:tcBorders>
              <w:top w:val="nil"/>
              <w:left w:val="nil"/>
              <w:bottom w:val="nil"/>
              <w:right w:val="nil"/>
            </w:tcBorders>
            <w:noWrap/>
          </w:tcPr>
          <w:p w:rsidR="001E5212" w:rsidRPr="003F4071" w:rsidRDefault="001E5212" w:rsidP="00D20B38">
            <w:pPr>
              <w:spacing w:line="276" w:lineRule="auto"/>
              <w:rPr>
                <w:rFonts w:ascii="Times New Roman" w:hAnsi="Times New Roman" w:cs="Times New Roman"/>
                <w:sz w:val="20"/>
                <w:szCs w:val="24"/>
              </w:rPr>
            </w:pPr>
            <w:r w:rsidRPr="003F4071">
              <w:rPr>
                <w:rFonts w:ascii="Times New Roman" w:hAnsi="Times New Roman" w:cs="Times New Roman"/>
                <w:sz w:val="20"/>
                <w:szCs w:val="24"/>
              </w:rPr>
              <w:t>Gastric Bypass</w:t>
            </w:r>
          </w:p>
        </w:tc>
        <w:tc>
          <w:tcPr>
            <w:tcW w:w="63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Pr>
                <w:rFonts w:ascii="Times New Roman" w:hAnsi="Times New Roman" w:cs="Times New Roman"/>
                <w:sz w:val="20"/>
                <w:szCs w:val="24"/>
              </w:rPr>
              <w:t>129,271</w:t>
            </w:r>
          </w:p>
        </w:tc>
        <w:tc>
          <w:tcPr>
            <w:tcW w:w="66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Pr>
                <w:rFonts w:ascii="Times New Roman" w:hAnsi="Times New Roman" w:cs="Times New Roman"/>
                <w:sz w:val="20"/>
                <w:szCs w:val="24"/>
              </w:rPr>
              <w:t>6,741</w:t>
            </w:r>
          </w:p>
        </w:tc>
        <w:tc>
          <w:tcPr>
            <w:tcW w:w="67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15.35</w:t>
            </w:r>
          </w:p>
        </w:tc>
        <w:tc>
          <w:tcPr>
            <w:tcW w:w="912"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Pr>
                <w:rFonts w:ascii="Times New Roman" w:hAnsi="Times New Roman" w:cs="Times New Roman"/>
                <w:sz w:val="20"/>
                <w:szCs w:val="24"/>
              </w:rPr>
              <w:t>0.24</w:t>
            </w:r>
          </w:p>
        </w:tc>
        <w:tc>
          <w:tcPr>
            <w:tcW w:w="824"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Pr>
                <w:rFonts w:ascii="Times New Roman" w:hAnsi="Times New Roman" w:cs="Times New Roman"/>
                <w:sz w:val="20"/>
                <w:szCs w:val="24"/>
              </w:rPr>
              <w:t>28,531</w:t>
            </w:r>
          </w:p>
        </w:tc>
      </w:tr>
      <w:tr w:rsidR="001E5212" w:rsidRPr="003F4071" w:rsidTr="00D20B38">
        <w:trPr>
          <w:trHeight w:val="264"/>
        </w:trPr>
        <w:tc>
          <w:tcPr>
            <w:tcW w:w="1304" w:type="pct"/>
            <w:tcBorders>
              <w:top w:val="nil"/>
              <w:left w:val="nil"/>
              <w:bottom w:val="nil"/>
              <w:right w:val="nil"/>
            </w:tcBorders>
            <w:noWrap/>
          </w:tcPr>
          <w:p w:rsidR="001E5212" w:rsidRPr="003F4071" w:rsidRDefault="001E5212" w:rsidP="00D20B38">
            <w:pPr>
              <w:spacing w:line="276" w:lineRule="auto"/>
              <w:rPr>
                <w:rFonts w:ascii="Times New Roman" w:hAnsi="Times New Roman" w:cs="Times New Roman"/>
                <w:sz w:val="20"/>
                <w:szCs w:val="24"/>
              </w:rPr>
            </w:pPr>
            <w:r w:rsidRPr="003F4071">
              <w:rPr>
                <w:rFonts w:ascii="Times New Roman" w:hAnsi="Times New Roman" w:cs="Times New Roman"/>
                <w:sz w:val="20"/>
                <w:szCs w:val="24"/>
              </w:rPr>
              <w:t>Aspiration Therapy</w:t>
            </w:r>
          </w:p>
        </w:tc>
        <w:tc>
          <w:tcPr>
            <w:tcW w:w="63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136,231</w:t>
            </w:r>
          </w:p>
        </w:tc>
        <w:tc>
          <w:tcPr>
            <w:tcW w:w="66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Pr>
                <w:rFonts w:ascii="Times New Roman" w:hAnsi="Times New Roman" w:cs="Times New Roman"/>
                <w:sz w:val="20"/>
                <w:szCs w:val="24"/>
              </w:rPr>
              <w:t>6,961</w:t>
            </w:r>
          </w:p>
        </w:tc>
        <w:tc>
          <w:tcPr>
            <w:tcW w:w="670"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14.04</w:t>
            </w:r>
          </w:p>
        </w:tc>
        <w:tc>
          <w:tcPr>
            <w:tcW w:w="912"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-1.31</w:t>
            </w:r>
          </w:p>
        </w:tc>
        <w:tc>
          <w:tcPr>
            <w:tcW w:w="824" w:type="pct"/>
            <w:tcBorders>
              <w:top w:val="nil"/>
              <w:left w:val="nil"/>
              <w:bottom w:val="nil"/>
              <w:right w:val="nil"/>
            </w:tcBorders>
            <w:noWrap/>
          </w:tcPr>
          <w:p w:rsidR="001E5212" w:rsidRPr="003F4071" w:rsidRDefault="001E5212" w:rsidP="00D20B38">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Dominated</w:t>
            </w:r>
          </w:p>
        </w:tc>
      </w:tr>
      <w:tr w:rsidR="001E5212" w:rsidRPr="003F4071" w:rsidTr="00D20B38">
        <w:trPr>
          <w:trHeight w:val="264"/>
        </w:trPr>
        <w:tc>
          <w:tcPr>
            <w:tcW w:w="5000" w:type="pct"/>
            <w:gridSpan w:val="6"/>
            <w:tcBorders>
              <w:top w:val="single" w:sz="4" w:space="0" w:color="auto"/>
              <w:left w:val="nil"/>
              <w:bottom w:val="nil"/>
              <w:right w:val="nil"/>
            </w:tcBorders>
            <w:noWrap/>
            <w:vAlign w:val="bottom"/>
            <w:hideMark/>
          </w:tcPr>
          <w:p w:rsidR="001E5212" w:rsidRPr="003F4071" w:rsidRDefault="001E5212" w:rsidP="00ED08F2">
            <w:pPr>
              <w:spacing w:line="276" w:lineRule="auto"/>
              <w:rPr>
                <w:rFonts w:ascii="Times New Roman" w:eastAsia="Times New Roman" w:hAnsi="Times New Roman" w:cs="Times New Roman"/>
                <w:sz w:val="20"/>
                <w:szCs w:val="24"/>
                <w:lang w:val="en-US" w:eastAsia="en-SG"/>
              </w:rPr>
            </w:pPr>
            <w:r w:rsidRPr="003F4071">
              <w:rPr>
                <w:rFonts w:ascii="Times New Roman" w:hAnsi="Times New Roman" w:cs="Times New Roman"/>
                <w:sz w:val="20"/>
                <w:szCs w:val="24"/>
                <w:lang w:val="en-US"/>
              </w:rPr>
              <w:t xml:space="preserve">All costs are in 2017 US dollars (US$). </w:t>
            </w:r>
            <w:r w:rsidRPr="003F4071">
              <w:rPr>
                <w:rFonts w:ascii="Times New Roman" w:eastAsia="Times New Roman" w:hAnsi="Times New Roman" w:cs="Times New Roman"/>
                <w:sz w:val="20"/>
                <w:szCs w:val="24"/>
                <w:lang w:val="en-US" w:eastAsia="en-SG"/>
              </w:rPr>
              <w:t xml:space="preserve">ICER = incremental cost-effectiveness ratio. </w:t>
            </w:r>
          </w:p>
        </w:tc>
      </w:tr>
    </w:tbl>
    <w:p w:rsidR="001E5212" w:rsidRDefault="001E5212">
      <w:pPr>
        <w:rPr>
          <w:rFonts w:ascii="Times New Roman" w:hAnsi="Times New Roman" w:cs="Times New Roman"/>
          <w:b/>
          <w:sz w:val="24"/>
        </w:rPr>
      </w:pPr>
    </w:p>
    <w:p w:rsidR="006F3BC4" w:rsidRDefault="006F3BC4" w:rsidP="00ED08F2">
      <w:pPr>
        <w:rPr>
          <w:rFonts w:ascii="Times New Roman" w:hAnsi="Times New Roman" w:cs="Times New Roman"/>
          <w:sz w:val="24"/>
        </w:rPr>
      </w:pPr>
    </w:p>
    <w:p w:rsidR="006F3BC4" w:rsidRDefault="006F3BC4" w:rsidP="00ED08F2">
      <w:pPr>
        <w:rPr>
          <w:rFonts w:ascii="Times New Roman" w:hAnsi="Times New Roman" w:cs="Times New Roman"/>
          <w:sz w:val="24"/>
        </w:rPr>
      </w:pPr>
    </w:p>
    <w:p w:rsidR="006F3BC4" w:rsidRDefault="006F3BC4" w:rsidP="00ED08F2">
      <w:pPr>
        <w:rPr>
          <w:rFonts w:ascii="Times New Roman" w:hAnsi="Times New Roman" w:cs="Times New Roman"/>
          <w:sz w:val="24"/>
        </w:rPr>
      </w:pPr>
    </w:p>
    <w:p w:rsidR="006F3BC4" w:rsidRDefault="006F3BC4" w:rsidP="00ED08F2">
      <w:pPr>
        <w:rPr>
          <w:rFonts w:ascii="Times New Roman" w:hAnsi="Times New Roman" w:cs="Times New Roman"/>
          <w:sz w:val="24"/>
        </w:rPr>
      </w:pPr>
    </w:p>
    <w:p w:rsidR="006F3BC4" w:rsidRDefault="006F3BC4" w:rsidP="00ED08F2">
      <w:pPr>
        <w:rPr>
          <w:rFonts w:ascii="Times New Roman" w:hAnsi="Times New Roman" w:cs="Times New Roman"/>
          <w:sz w:val="24"/>
        </w:rPr>
      </w:pPr>
    </w:p>
    <w:p w:rsidR="006F3BC4" w:rsidRDefault="006F3BC4" w:rsidP="00ED08F2">
      <w:pPr>
        <w:rPr>
          <w:rFonts w:ascii="Times New Roman" w:hAnsi="Times New Roman" w:cs="Times New Roman"/>
          <w:sz w:val="24"/>
        </w:rPr>
      </w:pPr>
    </w:p>
    <w:p w:rsidR="006F3BC4" w:rsidRDefault="006F3BC4" w:rsidP="00ED08F2">
      <w:pPr>
        <w:rPr>
          <w:rFonts w:ascii="Times New Roman" w:hAnsi="Times New Roman" w:cs="Times New Roman"/>
          <w:sz w:val="24"/>
        </w:rPr>
      </w:pPr>
    </w:p>
    <w:p w:rsidR="00ED08F2" w:rsidRPr="001E5212" w:rsidRDefault="00F575A1" w:rsidP="00ED08F2">
      <w:pPr>
        <w:rPr>
          <w:rFonts w:ascii="Times New Roman" w:hAnsi="Times New Roman" w:cs="Times New Roman"/>
          <w:sz w:val="24"/>
        </w:rPr>
      </w:pPr>
      <w:r>
        <w:rPr>
          <w:rFonts w:ascii="Times New Roman" w:hAnsi="Times New Roman" w:cs="Times New Roman"/>
          <w:sz w:val="24"/>
        </w:rPr>
        <w:lastRenderedPageBreak/>
        <w:t>Table A.3</w:t>
      </w:r>
      <w:r w:rsidR="00ED08F2">
        <w:rPr>
          <w:rFonts w:ascii="Times New Roman" w:hAnsi="Times New Roman" w:cs="Times New Roman"/>
          <w:sz w:val="24"/>
        </w:rPr>
        <w:t>.2</w:t>
      </w:r>
      <w:r w:rsidR="00ED08F2" w:rsidRPr="001E5212">
        <w:rPr>
          <w:rFonts w:ascii="Times New Roman" w:hAnsi="Times New Roman" w:cs="Times New Roman"/>
          <w:sz w:val="24"/>
        </w:rPr>
        <w:t xml:space="preserve">: Incremental Cost-Effectiveness Results, </w:t>
      </w:r>
      <w:r w:rsidR="00ED08F2">
        <w:rPr>
          <w:rFonts w:ascii="Times New Roman" w:hAnsi="Times New Roman" w:cs="Times New Roman"/>
          <w:sz w:val="24"/>
        </w:rPr>
        <w:t>meta-analytic estimates for</w:t>
      </w:r>
      <w:r w:rsidR="00ED08F2" w:rsidRPr="001E5212">
        <w:rPr>
          <w:rFonts w:ascii="Times New Roman" w:hAnsi="Times New Roman" w:cs="Times New Roman"/>
          <w:sz w:val="24"/>
        </w:rPr>
        <w:t xml:space="preserve"> bariatric surgery-related complication risks</w:t>
      </w:r>
      <w:r w:rsidR="00ED08F2">
        <w:rPr>
          <w:rFonts w:ascii="Times New Roman" w:hAnsi="Times New Roman" w:cs="Times New Roman"/>
          <w:sz w:val="24"/>
        </w:rPr>
        <w:t xml:space="preserve"> </w:t>
      </w:r>
    </w:p>
    <w:tbl>
      <w:tblPr>
        <w:tblW w:w="5476"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24"/>
        <w:gridCol w:w="1268"/>
        <w:gridCol w:w="1329"/>
        <w:gridCol w:w="1349"/>
        <w:gridCol w:w="1836"/>
        <w:gridCol w:w="1659"/>
      </w:tblGrid>
      <w:tr w:rsidR="00ED08F2" w:rsidRPr="003F4071" w:rsidTr="00E539EE">
        <w:trPr>
          <w:trHeight w:val="264"/>
        </w:trPr>
        <w:tc>
          <w:tcPr>
            <w:tcW w:w="1304" w:type="pct"/>
            <w:tcBorders>
              <w:top w:val="single" w:sz="4" w:space="0" w:color="auto"/>
              <w:left w:val="nil"/>
              <w:bottom w:val="single" w:sz="4" w:space="0" w:color="auto"/>
              <w:right w:val="nil"/>
            </w:tcBorders>
            <w:shd w:val="clear" w:color="auto" w:fill="D0CECE" w:themeFill="background2" w:themeFillShade="E6"/>
            <w:noWrap/>
            <w:hideMark/>
          </w:tcPr>
          <w:p w:rsidR="00ED08F2" w:rsidRPr="003F4071" w:rsidRDefault="00ED08F2" w:rsidP="00E539EE">
            <w:pPr>
              <w:spacing w:line="276" w:lineRule="auto"/>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Strategy</w:t>
            </w:r>
          </w:p>
        </w:tc>
        <w:tc>
          <w:tcPr>
            <w:tcW w:w="630" w:type="pct"/>
            <w:tcBorders>
              <w:top w:val="single" w:sz="4" w:space="0" w:color="auto"/>
              <w:left w:val="nil"/>
              <w:bottom w:val="single" w:sz="4" w:space="0" w:color="auto"/>
              <w:right w:val="nil"/>
            </w:tcBorders>
            <w:shd w:val="clear" w:color="auto" w:fill="D0CECE" w:themeFill="background2" w:themeFillShade="E6"/>
            <w:noWrap/>
            <w:hideMark/>
          </w:tcPr>
          <w:p w:rsidR="00ED08F2" w:rsidRPr="003F4071" w:rsidRDefault="00ED08F2" w:rsidP="00E539EE">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Cost (US$)</w:t>
            </w:r>
          </w:p>
        </w:tc>
        <w:tc>
          <w:tcPr>
            <w:tcW w:w="660" w:type="pct"/>
            <w:tcBorders>
              <w:top w:val="single" w:sz="4" w:space="0" w:color="auto"/>
              <w:left w:val="nil"/>
              <w:bottom w:val="single" w:sz="4" w:space="0" w:color="auto"/>
              <w:right w:val="nil"/>
            </w:tcBorders>
            <w:shd w:val="clear" w:color="auto" w:fill="D0CECE" w:themeFill="background2" w:themeFillShade="E6"/>
            <w:noWrap/>
            <w:hideMark/>
          </w:tcPr>
          <w:p w:rsidR="00ED08F2" w:rsidRPr="003F4071" w:rsidRDefault="00ED08F2" w:rsidP="00E539EE">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Incremental Costs (US$)</w:t>
            </w:r>
          </w:p>
        </w:tc>
        <w:tc>
          <w:tcPr>
            <w:tcW w:w="670" w:type="pct"/>
            <w:tcBorders>
              <w:top w:val="single" w:sz="4" w:space="0" w:color="auto"/>
              <w:left w:val="nil"/>
              <w:bottom w:val="single" w:sz="4" w:space="0" w:color="auto"/>
              <w:right w:val="nil"/>
            </w:tcBorders>
            <w:shd w:val="clear" w:color="auto" w:fill="D0CECE" w:themeFill="background2" w:themeFillShade="E6"/>
            <w:noWrap/>
            <w:hideMark/>
          </w:tcPr>
          <w:p w:rsidR="00ED08F2" w:rsidRPr="003F4071" w:rsidRDefault="00ED08F2" w:rsidP="00E539EE">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Effectiveness</w:t>
            </w:r>
          </w:p>
        </w:tc>
        <w:tc>
          <w:tcPr>
            <w:tcW w:w="912" w:type="pct"/>
            <w:tcBorders>
              <w:top w:val="single" w:sz="4" w:space="0" w:color="auto"/>
              <w:left w:val="nil"/>
              <w:bottom w:val="single" w:sz="4" w:space="0" w:color="auto"/>
              <w:right w:val="nil"/>
            </w:tcBorders>
            <w:shd w:val="clear" w:color="auto" w:fill="D0CECE" w:themeFill="background2" w:themeFillShade="E6"/>
            <w:noWrap/>
            <w:hideMark/>
          </w:tcPr>
          <w:p w:rsidR="00ED08F2" w:rsidRPr="003F4071" w:rsidRDefault="00ED08F2" w:rsidP="00E539EE">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Incremental Effectiveness</w:t>
            </w:r>
          </w:p>
        </w:tc>
        <w:tc>
          <w:tcPr>
            <w:tcW w:w="824" w:type="pct"/>
            <w:tcBorders>
              <w:top w:val="single" w:sz="4" w:space="0" w:color="auto"/>
              <w:left w:val="nil"/>
              <w:bottom w:val="single" w:sz="4" w:space="0" w:color="auto"/>
              <w:right w:val="nil"/>
            </w:tcBorders>
            <w:shd w:val="clear" w:color="auto" w:fill="D0CECE" w:themeFill="background2" w:themeFillShade="E6"/>
            <w:noWrap/>
            <w:hideMark/>
          </w:tcPr>
          <w:p w:rsidR="00ED08F2" w:rsidRPr="003F4071" w:rsidRDefault="00ED08F2" w:rsidP="00ED08F2">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 xml:space="preserve">ICER </w:t>
            </w:r>
            <w:r>
              <w:rPr>
                <w:rFonts w:ascii="Times New Roman" w:hAnsi="Times New Roman" w:cs="Times New Roman"/>
                <w:b/>
                <w:sz w:val="20"/>
                <w:szCs w:val="24"/>
                <w:lang w:val="en-US"/>
              </w:rPr>
              <w:t>(US$/QALY)</w:t>
            </w:r>
          </w:p>
        </w:tc>
      </w:tr>
      <w:tr w:rsidR="00ED08F2" w:rsidRPr="003F4071" w:rsidTr="00E539EE">
        <w:trPr>
          <w:trHeight w:val="264"/>
        </w:trPr>
        <w:tc>
          <w:tcPr>
            <w:tcW w:w="1304" w:type="pct"/>
            <w:tcBorders>
              <w:top w:val="single" w:sz="4" w:space="0" w:color="auto"/>
              <w:left w:val="nil"/>
              <w:bottom w:val="nil"/>
              <w:right w:val="nil"/>
            </w:tcBorders>
            <w:noWrap/>
          </w:tcPr>
          <w:p w:rsidR="00ED08F2" w:rsidRPr="003F4071" w:rsidRDefault="00ED08F2" w:rsidP="00E539EE">
            <w:pPr>
              <w:spacing w:line="276" w:lineRule="auto"/>
              <w:rPr>
                <w:rFonts w:ascii="Times New Roman" w:hAnsi="Times New Roman" w:cs="Times New Roman"/>
                <w:sz w:val="20"/>
                <w:szCs w:val="24"/>
              </w:rPr>
            </w:pPr>
            <w:r>
              <w:rPr>
                <w:rFonts w:ascii="Times New Roman" w:hAnsi="Times New Roman" w:cs="Times New Roman"/>
                <w:b/>
                <w:sz w:val="20"/>
                <w:szCs w:val="24"/>
              </w:rPr>
              <w:t>I.</w:t>
            </w:r>
            <w:r w:rsidRPr="003F4071">
              <w:rPr>
                <w:rFonts w:ascii="Times New Roman" w:hAnsi="Times New Roman" w:cs="Times New Roman"/>
                <w:b/>
                <w:sz w:val="20"/>
                <w:szCs w:val="24"/>
              </w:rPr>
              <w:t xml:space="preserve"> All strategies</w:t>
            </w:r>
            <w:r>
              <w:rPr>
                <w:rFonts w:ascii="Times New Roman" w:hAnsi="Times New Roman" w:cs="Times New Roman"/>
                <w:b/>
                <w:sz w:val="20"/>
                <w:szCs w:val="24"/>
              </w:rPr>
              <w:t xml:space="preserve"> </w:t>
            </w:r>
          </w:p>
        </w:tc>
        <w:tc>
          <w:tcPr>
            <w:tcW w:w="630" w:type="pct"/>
            <w:tcBorders>
              <w:top w:val="single" w:sz="4" w:space="0" w:color="auto"/>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p>
        </w:tc>
        <w:tc>
          <w:tcPr>
            <w:tcW w:w="660" w:type="pct"/>
            <w:tcBorders>
              <w:top w:val="single" w:sz="4" w:space="0" w:color="auto"/>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p>
        </w:tc>
        <w:tc>
          <w:tcPr>
            <w:tcW w:w="670" w:type="pct"/>
            <w:tcBorders>
              <w:top w:val="single" w:sz="4" w:space="0" w:color="auto"/>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p>
        </w:tc>
        <w:tc>
          <w:tcPr>
            <w:tcW w:w="912" w:type="pct"/>
            <w:tcBorders>
              <w:top w:val="single" w:sz="4" w:space="0" w:color="auto"/>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p>
        </w:tc>
        <w:tc>
          <w:tcPr>
            <w:tcW w:w="824" w:type="pct"/>
            <w:tcBorders>
              <w:top w:val="single" w:sz="4" w:space="0" w:color="auto"/>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p>
        </w:tc>
      </w:tr>
      <w:tr w:rsidR="00ED08F2" w:rsidRPr="003F4071" w:rsidTr="00E539EE">
        <w:trPr>
          <w:trHeight w:val="264"/>
        </w:trPr>
        <w:tc>
          <w:tcPr>
            <w:tcW w:w="1304" w:type="pct"/>
            <w:tcBorders>
              <w:top w:val="nil"/>
              <w:left w:val="nil"/>
              <w:bottom w:val="nil"/>
              <w:right w:val="nil"/>
            </w:tcBorders>
            <w:noWrap/>
          </w:tcPr>
          <w:p w:rsidR="00ED08F2" w:rsidRPr="003F4071" w:rsidRDefault="00ED08F2" w:rsidP="00E539EE">
            <w:pPr>
              <w:spacing w:line="276" w:lineRule="auto"/>
              <w:rPr>
                <w:rFonts w:ascii="Times New Roman" w:hAnsi="Times New Roman" w:cs="Times New Roman"/>
                <w:sz w:val="20"/>
                <w:szCs w:val="24"/>
              </w:rPr>
            </w:pPr>
            <w:r w:rsidRPr="003F4071">
              <w:rPr>
                <w:rFonts w:ascii="Times New Roman" w:hAnsi="Times New Roman" w:cs="Times New Roman"/>
                <w:sz w:val="20"/>
                <w:szCs w:val="24"/>
              </w:rPr>
              <w:t>No treatment</w:t>
            </w:r>
          </w:p>
        </w:tc>
        <w:tc>
          <w:tcPr>
            <w:tcW w:w="630"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117,357</w:t>
            </w:r>
          </w:p>
        </w:tc>
        <w:tc>
          <w:tcPr>
            <w:tcW w:w="660"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c>
          <w:tcPr>
            <w:tcW w:w="670"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12.96</w:t>
            </w:r>
          </w:p>
        </w:tc>
        <w:tc>
          <w:tcPr>
            <w:tcW w:w="912"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c>
          <w:tcPr>
            <w:tcW w:w="824"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r>
      <w:tr w:rsidR="00ED08F2" w:rsidRPr="003F4071" w:rsidTr="00E539EE">
        <w:trPr>
          <w:trHeight w:val="264"/>
        </w:trPr>
        <w:tc>
          <w:tcPr>
            <w:tcW w:w="1304" w:type="pct"/>
            <w:tcBorders>
              <w:top w:val="nil"/>
              <w:left w:val="nil"/>
              <w:bottom w:val="nil"/>
              <w:right w:val="nil"/>
            </w:tcBorders>
            <w:noWrap/>
          </w:tcPr>
          <w:p w:rsidR="00ED08F2" w:rsidRPr="003F4071" w:rsidRDefault="00ED08F2" w:rsidP="00E539EE">
            <w:pPr>
              <w:spacing w:line="276" w:lineRule="auto"/>
              <w:rPr>
                <w:rFonts w:ascii="Times New Roman" w:hAnsi="Times New Roman" w:cs="Times New Roman"/>
                <w:sz w:val="20"/>
                <w:szCs w:val="24"/>
              </w:rPr>
            </w:pPr>
            <w:r w:rsidRPr="003F4071">
              <w:rPr>
                <w:rFonts w:ascii="Times New Roman" w:hAnsi="Times New Roman" w:cs="Times New Roman"/>
                <w:sz w:val="20"/>
                <w:szCs w:val="24"/>
              </w:rPr>
              <w:t>Sleeve Gastrectomy</w:t>
            </w:r>
          </w:p>
        </w:tc>
        <w:tc>
          <w:tcPr>
            <w:tcW w:w="630" w:type="pct"/>
            <w:tcBorders>
              <w:top w:val="nil"/>
              <w:left w:val="nil"/>
              <w:bottom w:val="nil"/>
              <w:right w:val="nil"/>
            </w:tcBorders>
            <w:noWrap/>
          </w:tcPr>
          <w:p w:rsidR="00ED08F2" w:rsidRPr="003F4071" w:rsidRDefault="00CF5009" w:rsidP="00E539EE">
            <w:pPr>
              <w:spacing w:line="276" w:lineRule="auto"/>
              <w:jc w:val="center"/>
              <w:rPr>
                <w:rFonts w:ascii="Times New Roman" w:hAnsi="Times New Roman" w:cs="Times New Roman"/>
                <w:sz w:val="20"/>
                <w:szCs w:val="24"/>
              </w:rPr>
            </w:pPr>
            <w:r>
              <w:rPr>
                <w:rFonts w:ascii="Times New Roman" w:hAnsi="Times New Roman" w:cs="Times New Roman"/>
                <w:sz w:val="20"/>
                <w:szCs w:val="24"/>
              </w:rPr>
              <w:t>119,953</w:t>
            </w:r>
          </w:p>
        </w:tc>
        <w:tc>
          <w:tcPr>
            <w:tcW w:w="660" w:type="pct"/>
            <w:tcBorders>
              <w:top w:val="nil"/>
              <w:left w:val="nil"/>
              <w:bottom w:val="nil"/>
              <w:right w:val="nil"/>
            </w:tcBorders>
            <w:noWrap/>
          </w:tcPr>
          <w:p w:rsidR="00ED08F2" w:rsidRPr="003F4071" w:rsidRDefault="00CF5009" w:rsidP="00E539EE">
            <w:pPr>
              <w:spacing w:line="276" w:lineRule="auto"/>
              <w:jc w:val="center"/>
              <w:rPr>
                <w:rFonts w:ascii="Times New Roman" w:hAnsi="Times New Roman" w:cs="Times New Roman"/>
                <w:sz w:val="20"/>
                <w:szCs w:val="24"/>
              </w:rPr>
            </w:pPr>
            <w:r>
              <w:rPr>
                <w:rFonts w:ascii="Times New Roman" w:hAnsi="Times New Roman" w:cs="Times New Roman"/>
                <w:sz w:val="20"/>
                <w:szCs w:val="24"/>
              </w:rPr>
              <w:t>2,597</w:t>
            </w:r>
          </w:p>
        </w:tc>
        <w:tc>
          <w:tcPr>
            <w:tcW w:w="670"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15.11</w:t>
            </w:r>
          </w:p>
        </w:tc>
        <w:tc>
          <w:tcPr>
            <w:tcW w:w="912"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2.15</w:t>
            </w:r>
          </w:p>
        </w:tc>
        <w:tc>
          <w:tcPr>
            <w:tcW w:w="824" w:type="pct"/>
            <w:tcBorders>
              <w:top w:val="nil"/>
              <w:left w:val="nil"/>
              <w:bottom w:val="nil"/>
              <w:right w:val="nil"/>
            </w:tcBorders>
            <w:noWrap/>
          </w:tcPr>
          <w:p w:rsidR="00ED08F2" w:rsidRPr="003F4071" w:rsidRDefault="00CF5009" w:rsidP="00E539EE">
            <w:pPr>
              <w:spacing w:line="276" w:lineRule="auto"/>
              <w:jc w:val="center"/>
              <w:rPr>
                <w:rFonts w:ascii="Times New Roman" w:hAnsi="Times New Roman" w:cs="Times New Roman"/>
                <w:sz w:val="20"/>
                <w:szCs w:val="24"/>
              </w:rPr>
            </w:pPr>
            <w:r>
              <w:rPr>
                <w:rFonts w:ascii="Times New Roman" w:hAnsi="Times New Roman" w:cs="Times New Roman"/>
                <w:sz w:val="20"/>
                <w:szCs w:val="24"/>
              </w:rPr>
              <w:t>1,207</w:t>
            </w:r>
          </w:p>
        </w:tc>
      </w:tr>
      <w:tr w:rsidR="00ED08F2" w:rsidRPr="003F4071" w:rsidTr="00E539EE">
        <w:trPr>
          <w:trHeight w:val="264"/>
        </w:trPr>
        <w:tc>
          <w:tcPr>
            <w:tcW w:w="1304" w:type="pct"/>
            <w:tcBorders>
              <w:top w:val="nil"/>
              <w:left w:val="nil"/>
              <w:bottom w:val="nil"/>
              <w:right w:val="nil"/>
            </w:tcBorders>
            <w:noWrap/>
          </w:tcPr>
          <w:p w:rsidR="00ED08F2" w:rsidRPr="003F4071" w:rsidRDefault="00ED08F2" w:rsidP="00E539EE">
            <w:pPr>
              <w:spacing w:line="276" w:lineRule="auto"/>
              <w:rPr>
                <w:rFonts w:ascii="Times New Roman" w:hAnsi="Times New Roman" w:cs="Times New Roman"/>
                <w:sz w:val="20"/>
                <w:szCs w:val="24"/>
              </w:rPr>
            </w:pPr>
            <w:r w:rsidRPr="003F4071">
              <w:rPr>
                <w:rFonts w:ascii="Times New Roman" w:hAnsi="Times New Roman" w:cs="Times New Roman"/>
                <w:sz w:val="20"/>
                <w:szCs w:val="24"/>
              </w:rPr>
              <w:t>Gastric Bypass</w:t>
            </w:r>
          </w:p>
        </w:tc>
        <w:tc>
          <w:tcPr>
            <w:tcW w:w="630" w:type="pct"/>
            <w:tcBorders>
              <w:top w:val="nil"/>
              <w:left w:val="nil"/>
              <w:bottom w:val="nil"/>
              <w:right w:val="nil"/>
            </w:tcBorders>
            <w:noWrap/>
          </w:tcPr>
          <w:p w:rsidR="00ED08F2" w:rsidRPr="003F4071" w:rsidRDefault="00CF5009" w:rsidP="00E539EE">
            <w:pPr>
              <w:spacing w:line="276" w:lineRule="auto"/>
              <w:jc w:val="center"/>
              <w:rPr>
                <w:rFonts w:ascii="Times New Roman" w:hAnsi="Times New Roman" w:cs="Times New Roman"/>
                <w:sz w:val="20"/>
                <w:szCs w:val="24"/>
              </w:rPr>
            </w:pPr>
            <w:r>
              <w:rPr>
                <w:rFonts w:ascii="Times New Roman" w:hAnsi="Times New Roman" w:cs="Times New Roman"/>
                <w:sz w:val="20"/>
                <w:szCs w:val="24"/>
              </w:rPr>
              <w:t>129,649</w:t>
            </w:r>
          </w:p>
        </w:tc>
        <w:tc>
          <w:tcPr>
            <w:tcW w:w="660" w:type="pct"/>
            <w:tcBorders>
              <w:top w:val="nil"/>
              <w:left w:val="nil"/>
              <w:bottom w:val="nil"/>
              <w:right w:val="nil"/>
            </w:tcBorders>
            <w:noWrap/>
          </w:tcPr>
          <w:p w:rsidR="00ED08F2" w:rsidRPr="003F4071" w:rsidRDefault="00CF5009" w:rsidP="00E539EE">
            <w:pPr>
              <w:spacing w:line="276" w:lineRule="auto"/>
              <w:jc w:val="center"/>
              <w:rPr>
                <w:rFonts w:ascii="Times New Roman" w:hAnsi="Times New Roman" w:cs="Times New Roman"/>
                <w:sz w:val="20"/>
                <w:szCs w:val="24"/>
              </w:rPr>
            </w:pPr>
            <w:r>
              <w:rPr>
                <w:rFonts w:ascii="Times New Roman" w:hAnsi="Times New Roman" w:cs="Times New Roman"/>
                <w:sz w:val="20"/>
                <w:szCs w:val="24"/>
              </w:rPr>
              <w:t>9,696</w:t>
            </w:r>
          </w:p>
        </w:tc>
        <w:tc>
          <w:tcPr>
            <w:tcW w:w="670"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15.35</w:t>
            </w:r>
          </w:p>
        </w:tc>
        <w:tc>
          <w:tcPr>
            <w:tcW w:w="912" w:type="pct"/>
            <w:tcBorders>
              <w:top w:val="nil"/>
              <w:left w:val="nil"/>
              <w:bottom w:val="nil"/>
              <w:right w:val="nil"/>
            </w:tcBorders>
            <w:noWrap/>
          </w:tcPr>
          <w:p w:rsidR="00ED08F2" w:rsidRPr="003F4071" w:rsidRDefault="00CF5009" w:rsidP="00E539EE">
            <w:pPr>
              <w:spacing w:line="276" w:lineRule="auto"/>
              <w:jc w:val="center"/>
              <w:rPr>
                <w:rFonts w:ascii="Times New Roman" w:hAnsi="Times New Roman" w:cs="Times New Roman"/>
                <w:sz w:val="20"/>
                <w:szCs w:val="24"/>
              </w:rPr>
            </w:pPr>
            <w:r>
              <w:rPr>
                <w:rFonts w:ascii="Times New Roman" w:hAnsi="Times New Roman" w:cs="Times New Roman"/>
                <w:sz w:val="20"/>
                <w:szCs w:val="24"/>
              </w:rPr>
              <w:t>0.23</w:t>
            </w:r>
          </w:p>
        </w:tc>
        <w:tc>
          <w:tcPr>
            <w:tcW w:w="824" w:type="pct"/>
            <w:tcBorders>
              <w:top w:val="nil"/>
              <w:left w:val="nil"/>
              <w:bottom w:val="nil"/>
              <w:right w:val="nil"/>
            </w:tcBorders>
            <w:noWrap/>
          </w:tcPr>
          <w:p w:rsidR="00ED08F2" w:rsidRPr="003F4071" w:rsidRDefault="00CF5009" w:rsidP="00E539EE">
            <w:pPr>
              <w:spacing w:line="276" w:lineRule="auto"/>
              <w:jc w:val="center"/>
              <w:rPr>
                <w:rFonts w:ascii="Times New Roman" w:hAnsi="Times New Roman" w:cs="Times New Roman"/>
                <w:sz w:val="20"/>
                <w:szCs w:val="24"/>
              </w:rPr>
            </w:pPr>
            <w:r>
              <w:rPr>
                <w:rFonts w:ascii="Times New Roman" w:hAnsi="Times New Roman" w:cs="Times New Roman"/>
                <w:sz w:val="20"/>
                <w:szCs w:val="24"/>
              </w:rPr>
              <w:t>41,777</w:t>
            </w:r>
          </w:p>
        </w:tc>
      </w:tr>
      <w:tr w:rsidR="00ED08F2" w:rsidRPr="003F4071" w:rsidTr="00E539EE">
        <w:trPr>
          <w:trHeight w:val="264"/>
        </w:trPr>
        <w:tc>
          <w:tcPr>
            <w:tcW w:w="1304" w:type="pct"/>
            <w:tcBorders>
              <w:top w:val="nil"/>
              <w:left w:val="nil"/>
              <w:bottom w:val="nil"/>
              <w:right w:val="nil"/>
            </w:tcBorders>
            <w:noWrap/>
          </w:tcPr>
          <w:p w:rsidR="00ED08F2" w:rsidRPr="003F4071" w:rsidRDefault="00ED08F2" w:rsidP="00E539EE">
            <w:pPr>
              <w:spacing w:line="276" w:lineRule="auto"/>
              <w:rPr>
                <w:rFonts w:ascii="Times New Roman" w:hAnsi="Times New Roman" w:cs="Times New Roman"/>
                <w:sz w:val="20"/>
                <w:szCs w:val="24"/>
              </w:rPr>
            </w:pPr>
            <w:r w:rsidRPr="003F4071">
              <w:rPr>
                <w:rFonts w:ascii="Times New Roman" w:hAnsi="Times New Roman" w:cs="Times New Roman"/>
                <w:sz w:val="20"/>
                <w:szCs w:val="24"/>
              </w:rPr>
              <w:t>Aspiration Therapy</w:t>
            </w:r>
          </w:p>
        </w:tc>
        <w:tc>
          <w:tcPr>
            <w:tcW w:w="630"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136,231</w:t>
            </w:r>
          </w:p>
        </w:tc>
        <w:tc>
          <w:tcPr>
            <w:tcW w:w="660" w:type="pct"/>
            <w:tcBorders>
              <w:top w:val="nil"/>
              <w:left w:val="nil"/>
              <w:bottom w:val="nil"/>
              <w:right w:val="nil"/>
            </w:tcBorders>
            <w:noWrap/>
          </w:tcPr>
          <w:p w:rsidR="00ED08F2" w:rsidRPr="003F4071" w:rsidRDefault="00ED08F2" w:rsidP="00CF5009">
            <w:pPr>
              <w:spacing w:line="276" w:lineRule="auto"/>
              <w:jc w:val="center"/>
              <w:rPr>
                <w:rFonts w:ascii="Times New Roman" w:hAnsi="Times New Roman" w:cs="Times New Roman"/>
                <w:sz w:val="20"/>
                <w:szCs w:val="24"/>
              </w:rPr>
            </w:pPr>
            <w:r>
              <w:rPr>
                <w:rFonts w:ascii="Times New Roman" w:hAnsi="Times New Roman" w:cs="Times New Roman"/>
                <w:sz w:val="20"/>
                <w:szCs w:val="24"/>
              </w:rPr>
              <w:t>6,</w:t>
            </w:r>
            <w:r w:rsidR="00CF5009">
              <w:rPr>
                <w:rFonts w:ascii="Times New Roman" w:hAnsi="Times New Roman" w:cs="Times New Roman"/>
                <w:sz w:val="20"/>
                <w:szCs w:val="24"/>
              </w:rPr>
              <w:t>582</w:t>
            </w:r>
          </w:p>
        </w:tc>
        <w:tc>
          <w:tcPr>
            <w:tcW w:w="670"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14.04</w:t>
            </w:r>
          </w:p>
        </w:tc>
        <w:tc>
          <w:tcPr>
            <w:tcW w:w="912"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-1.31</w:t>
            </w:r>
          </w:p>
        </w:tc>
        <w:tc>
          <w:tcPr>
            <w:tcW w:w="824" w:type="pct"/>
            <w:tcBorders>
              <w:top w:val="nil"/>
              <w:left w:val="nil"/>
              <w:bottom w:val="nil"/>
              <w:right w:val="nil"/>
            </w:tcBorders>
            <w:noWrap/>
          </w:tcPr>
          <w:p w:rsidR="00ED08F2" w:rsidRPr="003F4071" w:rsidRDefault="00ED08F2" w:rsidP="00E539EE">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Dominated</w:t>
            </w:r>
          </w:p>
        </w:tc>
      </w:tr>
      <w:tr w:rsidR="00ED08F2" w:rsidRPr="003F4071" w:rsidTr="00E539EE">
        <w:trPr>
          <w:trHeight w:val="264"/>
        </w:trPr>
        <w:tc>
          <w:tcPr>
            <w:tcW w:w="5000" w:type="pct"/>
            <w:gridSpan w:val="6"/>
            <w:tcBorders>
              <w:top w:val="single" w:sz="4" w:space="0" w:color="auto"/>
              <w:left w:val="nil"/>
              <w:bottom w:val="nil"/>
              <w:right w:val="nil"/>
            </w:tcBorders>
            <w:noWrap/>
            <w:vAlign w:val="bottom"/>
            <w:hideMark/>
          </w:tcPr>
          <w:p w:rsidR="00ED08F2" w:rsidRPr="003F4071" w:rsidRDefault="00ED08F2" w:rsidP="00ED08F2">
            <w:pPr>
              <w:spacing w:line="276" w:lineRule="auto"/>
              <w:rPr>
                <w:rFonts w:ascii="Times New Roman" w:eastAsia="Times New Roman" w:hAnsi="Times New Roman" w:cs="Times New Roman"/>
                <w:sz w:val="20"/>
                <w:szCs w:val="24"/>
                <w:lang w:val="en-US" w:eastAsia="en-SG"/>
              </w:rPr>
            </w:pPr>
            <w:r w:rsidRPr="003F4071">
              <w:rPr>
                <w:rFonts w:ascii="Times New Roman" w:hAnsi="Times New Roman" w:cs="Times New Roman"/>
                <w:sz w:val="20"/>
                <w:szCs w:val="24"/>
                <w:lang w:val="en-US"/>
              </w:rPr>
              <w:t xml:space="preserve">All costs are in 2017 US dollars (US$). </w:t>
            </w:r>
            <w:r w:rsidRPr="003F4071">
              <w:rPr>
                <w:rFonts w:ascii="Times New Roman" w:eastAsia="Times New Roman" w:hAnsi="Times New Roman" w:cs="Times New Roman"/>
                <w:sz w:val="20"/>
                <w:szCs w:val="24"/>
                <w:lang w:val="en-US" w:eastAsia="en-SG"/>
              </w:rPr>
              <w:t xml:space="preserve">ICER = incremental cost-effectiveness ratio. </w:t>
            </w:r>
          </w:p>
        </w:tc>
      </w:tr>
    </w:tbl>
    <w:p w:rsidR="001E5212" w:rsidRDefault="001E5212">
      <w:pPr>
        <w:rPr>
          <w:rFonts w:ascii="Times New Roman" w:hAnsi="Times New Roman" w:cs="Times New Roman"/>
          <w:b/>
          <w:sz w:val="24"/>
        </w:rPr>
      </w:pPr>
    </w:p>
    <w:p w:rsidR="001E5212" w:rsidRDefault="001E5212">
      <w:pPr>
        <w:rPr>
          <w:rFonts w:ascii="Times New Roman" w:hAnsi="Times New Roman" w:cs="Times New Roman"/>
          <w:b/>
          <w:sz w:val="24"/>
        </w:rPr>
      </w:pPr>
      <w:r>
        <w:rPr>
          <w:rFonts w:ascii="Times New Roman" w:hAnsi="Times New Roman" w:cs="Times New Roman"/>
          <w:b/>
          <w:sz w:val="24"/>
        </w:rPr>
        <w:br w:type="page"/>
      </w:r>
    </w:p>
    <w:p w:rsidR="007B09A7" w:rsidRDefault="00F575A1" w:rsidP="004672BF">
      <w:pPr>
        <w:spacing w:line="480" w:lineRule="auto"/>
        <w:rPr>
          <w:rFonts w:ascii="Times New Roman" w:hAnsi="Times New Roman" w:cs="Times New Roman"/>
          <w:b/>
          <w:sz w:val="24"/>
        </w:rPr>
      </w:pPr>
      <w:r>
        <w:rPr>
          <w:rFonts w:ascii="Times New Roman" w:hAnsi="Times New Roman" w:cs="Times New Roman"/>
          <w:b/>
          <w:sz w:val="24"/>
        </w:rPr>
        <w:lastRenderedPageBreak/>
        <w:t>A.4</w:t>
      </w:r>
      <w:r w:rsidR="007B09A7">
        <w:rPr>
          <w:rFonts w:ascii="Times New Roman" w:hAnsi="Times New Roman" w:cs="Times New Roman"/>
          <w:b/>
          <w:sz w:val="24"/>
        </w:rPr>
        <w:t xml:space="preserve"> Results using Monte Carlo Microsimulation</w:t>
      </w:r>
    </w:p>
    <w:p w:rsidR="00586AA0" w:rsidRPr="00586AA0" w:rsidRDefault="00586AA0" w:rsidP="004672BF">
      <w:pPr>
        <w:spacing w:line="480" w:lineRule="auto"/>
        <w:jc w:val="both"/>
        <w:rPr>
          <w:rFonts w:ascii="Times New Roman" w:hAnsi="Times New Roman" w:cs="Times New Roman"/>
          <w:sz w:val="24"/>
        </w:rPr>
      </w:pPr>
      <w:r w:rsidRPr="00586AA0">
        <w:rPr>
          <w:rFonts w:ascii="Times New Roman" w:hAnsi="Times New Roman" w:cs="Times New Roman"/>
          <w:sz w:val="24"/>
        </w:rPr>
        <w:t>Results from 1000 Monte Carlo microsimulations were similar to those obta</w:t>
      </w:r>
      <w:r w:rsidR="00F575A1">
        <w:rPr>
          <w:rFonts w:ascii="Times New Roman" w:hAnsi="Times New Roman" w:cs="Times New Roman"/>
          <w:sz w:val="24"/>
        </w:rPr>
        <w:t>ined in the base case (Table A.4</w:t>
      </w:r>
      <w:r w:rsidRPr="00586AA0">
        <w:rPr>
          <w:rFonts w:ascii="Times New Roman" w:hAnsi="Times New Roman" w:cs="Times New Roman"/>
          <w:sz w:val="24"/>
        </w:rPr>
        <w:t xml:space="preserve">.1). Aspiration therapy remained dominated by bariatric surgery and gastric bypass was the most cost-effective treatment strategy with an ICER of </w:t>
      </w:r>
      <w:r w:rsidR="00962028">
        <w:rPr>
          <w:rFonts w:ascii="Times New Roman" w:hAnsi="Times New Roman" w:cs="Times New Roman"/>
          <w:sz w:val="24"/>
        </w:rPr>
        <w:t>US</w:t>
      </w:r>
      <w:r w:rsidRPr="00586AA0">
        <w:rPr>
          <w:rFonts w:ascii="Times New Roman" w:hAnsi="Times New Roman" w:cs="Times New Roman"/>
          <w:sz w:val="24"/>
        </w:rPr>
        <w:t xml:space="preserve">$24,633 per QALY gained. Aspiration therapy also remained cost-effective compared with no treatment with an ICER of </w:t>
      </w:r>
      <w:r w:rsidR="00962028">
        <w:rPr>
          <w:rFonts w:ascii="Times New Roman" w:hAnsi="Times New Roman" w:cs="Times New Roman"/>
          <w:sz w:val="24"/>
        </w:rPr>
        <w:t>US</w:t>
      </w:r>
      <w:r w:rsidRPr="00586AA0">
        <w:rPr>
          <w:rFonts w:ascii="Times New Roman" w:hAnsi="Times New Roman" w:cs="Times New Roman"/>
          <w:sz w:val="24"/>
        </w:rPr>
        <w:t>$19,396 per QALY gained.</w:t>
      </w:r>
      <w:r>
        <w:rPr>
          <w:rFonts w:ascii="Times New Roman" w:hAnsi="Times New Roman" w:cs="Times New Roman"/>
          <w:sz w:val="24"/>
        </w:rPr>
        <w:t xml:space="preserve"> Cost-effectiveness acceptability curve using microsimulation </w:t>
      </w:r>
      <w:r w:rsidR="00F575A1">
        <w:rPr>
          <w:rFonts w:ascii="Times New Roman" w:hAnsi="Times New Roman" w:cs="Times New Roman"/>
          <w:sz w:val="24"/>
        </w:rPr>
        <w:t>shown in Figure A.4</w:t>
      </w:r>
      <w:r w:rsidR="00962028">
        <w:rPr>
          <w:rFonts w:ascii="Times New Roman" w:hAnsi="Times New Roman" w:cs="Times New Roman"/>
          <w:sz w:val="24"/>
        </w:rPr>
        <w:t xml:space="preserve">.1 </w:t>
      </w:r>
      <w:r>
        <w:rPr>
          <w:rFonts w:ascii="Times New Roman" w:hAnsi="Times New Roman" w:cs="Times New Roman"/>
          <w:sz w:val="24"/>
        </w:rPr>
        <w:t>indicate</w:t>
      </w:r>
      <w:r w:rsidR="00962028">
        <w:rPr>
          <w:rFonts w:ascii="Times New Roman" w:hAnsi="Times New Roman" w:cs="Times New Roman"/>
          <w:sz w:val="24"/>
        </w:rPr>
        <w:t>s</w:t>
      </w:r>
      <w:r>
        <w:rPr>
          <w:rFonts w:ascii="Times New Roman" w:hAnsi="Times New Roman" w:cs="Times New Roman"/>
          <w:sz w:val="24"/>
        </w:rPr>
        <w:t xml:space="preserve"> that, </w:t>
      </w:r>
      <w:r w:rsidR="00962028">
        <w:rPr>
          <w:rFonts w:ascii="Times New Roman" w:hAnsi="Times New Roman" w:cs="Times New Roman"/>
          <w:sz w:val="24"/>
        </w:rPr>
        <w:t>at the willingness to pay threshold of US$100,000/QALY)</w:t>
      </w:r>
      <w:r>
        <w:rPr>
          <w:rFonts w:ascii="Times New Roman" w:hAnsi="Times New Roman" w:cs="Times New Roman"/>
          <w:sz w:val="24"/>
        </w:rPr>
        <w:t>, gastric bypas</w:t>
      </w:r>
      <w:r w:rsidR="00962028">
        <w:rPr>
          <w:rFonts w:ascii="Times New Roman" w:hAnsi="Times New Roman" w:cs="Times New Roman"/>
          <w:sz w:val="24"/>
        </w:rPr>
        <w:t xml:space="preserve">s </w:t>
      </w:r>
      <w:r w:rsidR="00A2173B">
        <w:rPr>
          <w:rFonts w:ascii="Times New Roman" w:hAnsi="Times New Roman" w:cs="Times New Roman"/>
          <w:sz w:val="24"/>
        </w:rPr>
        <w:t>was the optimal treatment option in maximum number of iterations (40%)</w:t>
      </w:r>
      <w:r>
        <w:rPr>
          <w:rFonts w:ascii="Times New Roman" w:hAnsi="Times New Roman" w:cs="Times New Roman"/>
          <w:sz w:val="24"/>
        </w:rPr>
        <w:t xml:space="preserve">. </w:t>
      </w:r>
    </w:p>
    <w:p w:rsidR="007B09A7" w:rsidRPr="001E5212" w:rsidRDefault="00F575A1" w:rsidP="004672BF">
      <w:pPr>
        <w:spacing w:line="480" w:lineRule="auto"/>
        <w:rPr>
          <w:rFonts w:ascii="Times New Roman" w:hAnsi="Times New Roman" w:cs="Times New Roman"/>
          <w:sz w:val="24"/>
        </w:rPr>
      </w:pPr>
      <w:r>
        <w:rPr>
          <w:rFonts w:ascii="Times New Roman" w:hAnsi="Times New Roman" w:cs="Times New Roman"/>
          <w:sz w:val="24"/>
        </w:rPr>
        <w:t>Table A.4</w:t>
      </w:r>
      <w:r w:rsidR="007B09A7" w:rsidRPr="001E5212">
        <w:rPr>
          <w:rFonts w:ascii="Times New Roman" w:hAnsi="Times New Roman" w:cs="Times New Roman"/>
          <w:sz w:val="24"/>
        </w:rPr>
        <w:t xml:space="preserve">.1: Incremental Cost-Effectiveness Results, </w:t>
      </w:r>
      <w:r w:rsidR="007B09A7">
        <w:rPr>
          <w:rFonts w:ascii="Times New Roman" w:hAnsi="Times New Roman" w:cs="Times New Roman"/>
          <w:sz w:val="24"/>
        </w:rPr>
        <w:t>microsimulation</w:t>
      </w:r>
    </w:p>
    <w:tbl>
      <w:tblPr>
        <w:tblW w:w="5476"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24"/>
        <w:gridCol w:w="1268"/>
        <w:gridCol w:w="1329"/>
        <w:gridCol w:w="1349"/>
        <w:gridCol w:w="1836"/>
        <w:gridCol w:w="1659"/>
      </w:tblGrid>
      <w:tr w:rsidR="007B09A7" w:rsidRPr="003F4071" w:rsidTr="004F0F28">
        <w:trPr>
          <w:trHeight w:val="264"/>
        </w:trPr>
        <w:tc>
          <w:tcPr>
            <w:tcW w:w="1304" w:type="pct"/>
            <w:tcBorders>
              <w:top w:val="single" w:sz="4" w:space="0" w:color="auto"/>
              <w:left w:val="nil"/>
              <w:bottom w:val="single" w:sz="4" w:space="0" w:color="auto"/>
              <w:right w:val="nil"/>
            </w:tcBorders>
            <w:shd w:val="clear" w:color="auto" w:fill="D0CECE" w:themeFill="background2" w:themeFillShade="E6"/>
            <w:noWrap/>
            <w:hideMark/>
          </w:tcPr>
          <w:p w:rsidR="007B09A7" w:rsidRPr="003F4071" w:rsidRDefault="007B09A7" w:rsidP="004F0F28">
            <w:pPr>
              <w:spacing w:line="276" w:lineRule="auto"/>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Strategy</w:t>
            </w:r>
          </w:p>
        </w:tc>
        <w:tc>
          <w:tcPr>
            <w:tcW w:w="630" w:type="pct"/>
            <w:tcBorders>
              <w:top w:val="single" w:sz="4" w:space="0" w:color="auto"/>
              <w:left w:val="nil"/>
              <w:bottom w:val="single" w:sz="4" w:space="0" w:color="auto"/>
              <w:right w:val="nil"/>
            </w:tcBorders>
            <w:shd w:val="clear" w:color="auto" w:fill="D0CECE" w:themeFill="background2" w:themeFillShade="E6"/>
            <w:noWrap/>
            <w:hideMark/>
          </w:tcPr>
          <w:p w:rsidR="007B09A7" w:rsidRPr="003F4071" w:rsidRDefault="007B09A7" w:rsidP="004F0F2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Cost (US$)</w:t>
            </w:r>
          </w:p>
        </w:tc>
        <w:tc>
          <w:tcPr>
            <w:tcW w:w="660" w:type="pct"/>
            <w:tcBorders>
              <w:top w:val="single" w:sz="4" w:space="0" w:color="auto"/>
              <w:left w:val="nil"/>
              <w:bottom w:val="single" w:sz="4" w:space="0" w:color="auto"/>
              <w:right w:val="nil"/>
            </w:tcBorders>
            <w:shd w:val="clear" w:color="auto" w:fill="D0CECE" w:themeFill="background2" w:themeFillShade="E6"/>
            <w:noWrap/>
            <w:hideMark/>
          </w:tcPr>
          <w:p w:rsidR="007B09A7" w:rsidRPr="003F4071" w:rsidRDefault="007B09A7" w:rsidP="004F0F2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Incremental Costs (US$)</w:t>
            </w:r>
          </w:p>
        </w:tc>
        <w:tc>
          <w:tcPr>
            <w:tcW w:w="670" w:type="pct"/>
            <w:tcBorders>
              <w:top w:val="single" w:sz="4" w:space="0" w:color="auto"/>
              <w:left w:val="nil"/>
              <w:bottom w:val="single" w:sz="4" w:space="0" w:color="auto"/>
              <w:right w:val="nil"/>
            </w:tcBorders>
            <w:shd w:val="clear" w:color="auto" w:fill="D0CECE" w:themeFill="background2" w:themeFillShade="E6"/>
            <w:noWrap/>
            <w:hideMark/>
          </w:tcPr>
          <w:p w:rsidR="007B09A7" w:rsidRPr="003F4071" w:rsidRDefault="007B09A7" w:rsidP="004F0F2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Effectiveness</w:t>
            </w:r>
          </w:p>
        </w:tc>
        <w:tc>
          <w:tcPr>
            <w:tcW w:w="912" w:type="pct"/>
            <w:tcBorders>
              <w:top w:val="single" w:sz="4" w:space="0" w:color="auto"/>
              <w:left w:val="nil"/>
              <w:bottom w:val="single" w:sz="4" w:space="0" w:color="auto"/>
              <w:right w:val="nil"/>
            </w:tcBorders>
            <w:shd w:val="clear" w:color="auto" w:fill="D0CECE" w:themeFill="background2" w:themeFillShade="E6"/>
            <w:noWrap/>
            <w:hideMark/>
          </w:tcPr>
          <w:p w:rsidR="007B09A7" w:rsidRPr="003F4071" w:rsidRDefault="007B09A7" w:rsidP="004F0F2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Incremental Effectiveness</w:t>
            </w:r>
          </w:p>
        </w:tc>
        <w:tc>
          <w:tcPr>
            <w:tcW w:w="824" w:type="pct"/>
            <w:tcBorders>
              <w:top w:val="single" w:sz="4" w:space="0" w:color="auto"/>
              <w:left w:val="nil"/>
              <w:bottom w:val="single" w:sz="4" w:space="0" w:color="auto"/>
              <w:right w:val="nil"/>
            </w:tcBorders>
            <w:shd w:val="clear" w:color="auto" w:fill="D0CECE" w:themeFill="background2" w:themeFillShade="E6"/>
            <w:noWrap/>
            <w:hideMark/>
          </w:tcPr>
          <w:p w:rsidR="007B09A7" w:rsidRPr="003F4071" w:rsidRDefault="007B09A7" w:rsidP="004F0F28">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 xml:space="preserve">ICER </w:t>
            </w:r>
            <w:r>
              <w:rPr>
                <w:rFonts w:ascii="Times New Roman" w:hAnsi="Times New Roman" w:cs="Times New Roman"/>
                <w:b/>
                <w:sz w:val="20"/>
                <w:szCs w:val="24"/>
                <w:lang w:val="en-US"/>
              </w:rPr>
              <w:t>(US$/QALY)</w:t>
            </w:r>
          </w:p>
        </w:tc>
      </w:tr>
      <w:tr w:rsidR="007B09A7" w:rsidRPr="003F4071" w:rsidTr="004F0F28">
        <w:trPr>
          <w:trHeight w:val="264"/>
        </w:trPr>
        <w:tc>
          <w:tcPr>
            <w:tcW w:w="3264" w:type="pct"/>
            <w:gridSpan w:val="4"/>
            <w:tcBorders>
              <w:top w:val="nil"/>
              <w:left w:val="nil"/>
              <w:bottom w:val="nil"/>
              <w:right w:val="nil"/>
            </w:tcBorders>
            <w:noWrap/>
          </w:tcPr>
          <w:p w:rsidR="007B09A7" w:rsidRPr="003F4071" w:rsidRDefault="007B09A7" w:rsidP="004F0F28">
            <w:pPr>
              <w:spacing w:line="276" w:lineRule="auto"/>
              <w:rPr>
                <w:rFonts w:ascii="Times New Roman" w:hAnsi="Times New Roman" w:cs="Times New Roman"/>
                <w:b/>
                <w:sz w:val="20"/>
                <w:szCs w:val="24"/>
              </w:rPr>
            </w:pPr>
            <w:r>
              <w:rPr>
                <w:rFonts w:ascii="Times New Roman" w:hAnsi="Times New Roman" w:cs="Times New Roman"/>
                <w:b/>
                <w:sz w:val="20"/>
                <w:szCs w:val="24"/>
              </w:rPr>
              <w:t>Panel A:</w:t>
            </w:r>
            <w:r w:rsidRPr="003F4071">
              <w:rPr>
                <w:rFonts w:ascii="Times New Roman" w:hAnsi="Times New Roman" w:cs="Times New Roman"/>
                <w:b/>
                <w:sz w:val="20"/>
                <w:szCs w:val="24"/>
              </w:rPr>
              <w:t xml:space="preserve"> All strategies </w:t>
            </w:r>
          </w:p>
        </w:tc>
        <w:tc>
          <w:tcPr>
            <w:tcW w:w="912" w:type="pct"/>
            <w:tcBorders>
              <w:top w:val="nil"/>
              <w:left w:val="nil"/>
              <w:bottom w:val="nil"/>
              <w:right w:val="nil"/>
            </w:tcBorders>
            <w:noWrap/>
          </w:tcPr>
          <w:p w:rsidR="007B09A7" w:rsidRPr="003F4071" w:rsidRDefault="007B09A7" w:rsidP="004F0F28">
            <w:pPr>
              <w:spacing w:line="276" w:lineRule="auto"/>
              <w:jc w:val="center"/>
              <w:rPr>
                <w:rFonts w:ascii="Times New Roman" w:hAnsi="Times New Roman" w:cs="Times New Roman"/>
                <w:sz w:val="20"/>
                <w:szCs w:val="24"/>
              </w:rPr>
            </w:pPr>
          </w:p>
        </w:tc>
        <w:tc>
          <w:tcPr>
            <w:tcW w:w="824" w:type="pct"/>
            <w:tcBorders>
              <w:top w:val="nil"/>
              <w:left w:val="nil"/>
              <w:bottom w:val="nil"/>
              <w:right w:val="nil"/>
            </w:tcBorders>
            <w:noWrap/>
          </w:tcPr>
          <w:p w:rsidR="007B09A7" w:rsidRPr="003F4071" w:rsidRDefault="007B09A7" w:rsidP="004F0F28">
            <w:pPr>
              <w:spacing w:line="276" w:lineRule="auto"/>
              <w:jc w:val="center"/>
              <w:rPr>
                <w:rFonts w:ascii="Times New Roman" w:hAnsi="Times New Roman" w:cs="Times New Roman"/>
                <w:sz w:val="20"/>
                <w:szCs w:val="24"/>
              </w:rPr>
            </w:pPr>
          </w:p>
        </w:tc>
      </w:tr>
      <w:tr w:rsidR="007B09A7" w:rsidRPr="003F4071" w:rsidTr="004F0F28">
        <w:trPr>
          <w:trHeight w:val="126"/>
        </w:trPr>
        <w:tc>
          <w:tcPr>
            <w:tcW w:w="1304" w:type="pct"/>
            <w:tcBorders>
              <w:top w:val="nil"/>
              <w:left w:val="nil"/>
              <w:bottom w:val="nil"/>
              <w:right w:val="nil"/>
            </w:tcBorders>
            <w:noWrap/>
          </w:tcPr>
          <w:p w:rsidR="007B09A7" w:rsidRPr="003F4071" w:rsidRDefault="007B09A7" w:rsidP="007B09A7">
            <w:pPr>
              <w:spacing w:line="276" w:lineRule="auto"/>
              <w:rPr>
                <w:rFonts w:ascii="Times New Roman" w:hAnsi="Times New Roman" w:cs="Times New Roman"/>
                <w:sz w:val="20"/>
                <w:szCs w:val="24"/>
              </w:rPr>
            </w:pPr>
            <w:r w:rsidRPr="003F4071">
              <w:rPr>
                <w:rFonts w:ascii="Times New Roman" w:hAnsi="Times New Roman" w:cs="Times New Roman"/>
                <w:sz w:val="20"/>
                <w:szCs w:val="24"/>
              </w:rPr>
              <w:t>No treatment</w:t>
            </w:r>
          </w:p>
        </w:tc>
        <w:tc>
          <w:tcPr>
            <w:tcW w:w="63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118,360</w:t>
            </w:r>
          </w:p>
        </w:tc>
        <w:tc>
          <w:tcPr>
            <w:tcW w:w="66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w:t>
            </w:r>
          </w:p>
        </w:tc>
        <w:tc>
          <w:tcPr>
            <w:tcW w:w="67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13.08</w:t>
            </w:r>
          </w:p>
        </w:tc>
        <w:tc>
          <w:tcPr>
            <w:tcW w:w="912"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w:t>
            </w:r>
          </w:p>
        </w:tc>
        <w:tc>
          <w:tcPr>
            <w:tcW w:w="824"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w:t>
            </w:r>
          </w:p>
        </w:tc>
      </w:tr>
      <w:tr w:rsidR="007B09A7" w:rsidRPr="003F4071" w:rsidTr="004F0F28">
        <w:trPr>
          <w:trHeight w:val="126"/>
        </w:trPr>
        <w:tc>
          <w:tcPr>
            <w:tcW w:w="1304" w:type="pct"/>
            <w:tcBorders>
              <w:top w:val="nil"/>
              <w:left w:val="nil"/>
              <w:bottom w:val="nil"/>
              <w:right w:val="nil"/>
            </w:tcBorders>
            <w:noWrap/>
            <w:hideMark/>
          </w:tcPr>
          <w:p w:rsidR="007B09A7" w:rsidRPr="003F4071" w:rsidRDefault="007B09A7" w:rsidP="007B09A7">
            <w:pPr>
              <w:spacing w:line="276" w:lineRule="auto"/>
              <w:rPr>
                <w:rFonts w:ascii="Times New Roman" w:hAnsi="Times New Roman" w:cs="Times New Roman"/>
                <w:sz w:val="20"/>
                <w:szCs w:val="24"/>
              </w:rPr>
            </w:pPr>
            <w:r w:rsidRPr="003F4071">
              <w:rPr>
                <w:rFonts w:ascii="Times New Roman" w:hAnsi="Times New Roman" w:cs="Times New Roman"/>
                <w:sz w:val="20"/>
                <w:szCs w:val="24"/>
              </w:rPr>
              <w:t>Sleeve Gastrectomy</w:t>
            </w:r>
          </w:p>
        </w:tc>
        <w:tc>
          <w:tcPr>
            <w:tcW w:w="630" w:type="pct"/>
            <w:tcBorders>
              <w:top w:val="nil"/>
              <w:left w:val="nil"/>
              <w:bottom w:val="nil"/>
              <w:right w:val="nil"/>
            </w:tcBorders>
            <w:noWrap/>
            <w:hideMark/>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122,771</w:t>
            </w:r>
          </w:p>
        </w:tc>
        <w:tc>
          <w:tcPr>
            <w:tcW w:w="660" w:type="pct"/>
            <w:tcBorders>
              <w:top w:val="nil"/>
              <w:left w:val="nil"/>
              <w:bottom w:val="nil"/>
              <w:right w:val="nil"/>
            </w:tcBorders>
            <w:noWrap/>
            <w:hideMark/>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4,411</w:t>
            </w:r>
          </w:p>
        </w:tc>
        <w:tc>
          <w:tcPr>
            <w:tcW w:w="670" w:type="pct"/>
            <w:tcBorders>
              <w:top w:val="nil"/>
              <w:left w:val="nil"/>
              <w:bottom w:val="nil"/>
              <w:right w:val="nil"/>
            </w:tcBorders>
            <w:noWrap/>
            <w:hideMark/>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15.28</w:t>
            </w:r>
          </w:p>
        </w:tc>
        <w:tc>
          <w:tcPr>
            <w:tcW w:w="912" w:type="pct"/>
            <w:tcBorders>
              <w:top w:val="nil"/>
              <w:left w:val="nil"/>
              <w:bottom w:val="nil"/>
              <w:right w:val="nil"/>
            </w:tcBorders>
            <w:noWrap/>
            <w:hideMark/>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2.20</w:t>
            </w:r>
          </w:p>
        </w:tc>
        <w:tc>
          <w:tcPr>
            <w:tcW w:w="824" w:type="pct"/>
            <w:tcBorders>
              <w:top w:val="nil"/>
              <w:left w:val="nil"/>
              <w:bottom w:val="nil"/>
              <w:right w:val="nil"/>
            </w:tcBorders>
            <w:noWrap/>
            <w:hideMark/>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2002</w:t>
            </w:r>
          </w:p>
        </w:tc>
      </w:tr>
      <w:tr w:rsidR="007B09A7" w:rsidRPr="003F4071" w:rsidTr="004F0F28">
        <w:trPr>
          <w:trHeight w:val="264"/>
        </w:trPr>
        <w:tc>
          <w:tcPr>
            <w:tcW w:w="1304" w:type="pct"/>
            <w:tcBorders>
              <w:top w:val="nil"/>
              <w:left w:val="nil"/>
              <w:bottom w:val="nil"/>
              <w:right w:val="nil"/>
            </w:tcBorders>
            <w:noWrap/>
          </w:tcPr>
          <w:p w:rsidR="007B09A7" w:rsidRPr="003F4071" w:rsidRDefault="007B09A7" w:rsidP="007B09A7">
            <w:pPr>
              <w:spacing w:line="276" w:lineRule="auto"/>
              <w:rPr>
                <w:rFonts w:ascii="Times New Roman" w:hAnsi="Times New Roman" w:cs="Times New Roman"/>
                <w:sz w:val="20"/>
                <w:szCs w:val="24"/>
              </w:rPr>
            </w:pPr>
            <w:r w:rsidRPr="003F4071">
              <w:rPr>
                <w:rFonts w:ascii="Times New Roman" w:hAnsi="Times New Roman" w:cs="Times New Roman"/>
                <w:sz w:val="20"/>
                <w:szCs w:val="24"/>
              </w:rPr>
              <w:t>Gastric Bypass</w:t>
            </w:r>
          </w:p>
        </w:tc>
        <w:tc>
          <w:tcPr>
            <w:tcW w:w="63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132,649</w:t>
            </w:r>
          </w:p>
        </w:tc>
        <w:tc>
          <w:tcPr>
            <w:tcW w:w="66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9,878</w:t>
            </w:r>
          </w:p>
        </w:tc>
        <w:tc>
          <w:tcPr>
            <w:tcW w:w="67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15.68</w:t>
            </w:r>
          </w:p>
        </w:tc>
        <w:tc>
          <w:tcPr>
            <w:tcW w:w="912"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0.40</w:t>
            </w:r>
          </w:p>
        </w:tc>
        <w:tc>
          <w:tcPr>
            <w:tcW w:w="824"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24,633</w:t>
            </w:r>
          </w:p>
        </w:tc>
      </w:tr>
      <w:tr w:rsidR="007B09A7" w:rsidRPr="003F4071" w:rsidTr="004F0F28">
        <w:trPr>
          <w:trHeight w:val="264"/>
        </w:trPr>
        <w:tc>
          <w:tcPr>
            <w:tcW w:w="1304" w:type="pct"/>
            <w:tcBorders>
              <w:top w:val="nil"/>
              <w:left w:val="nil"/>
              <w:bottom w:val="nil"/>
              <w:right w:val="nil"/>
            </w:tcBorders>
            <w:noWrap/>
          </w:tcPr>
          <w:p w:rsidR="007B09A7" w:rsidRPr="003F4071" w:rsidRDefault="007B09A7" w:rsidP="007B09A7">
            <w:pPr>
              <w:spacing w:line="276" w:lineRule="auto"/>
              <w:rPr>
                <w:rFonts w:ascii="Times New Roman" w:hAnsi="Times New Roman" w:cs="Times New Roman"/>
                <w:sz w:val="20"/>
                <w:szCs w:val="24"/>
              </w:rPr>
            </w:pPr>
            <w:r w:rsidRPr="003F4071">
              <w:rPr>
                <w:rFonts w:ascii="Times New Roman" w:hAnsi="Times New Roman" w:cs="Times New Roman"/>
                <w:sz w:val="20"/>
                <w:szCs w:val="24"/>
              </w:rPr>
              <w:t>Aspiration Therapy</w:t>
            </w:r>
          </w:p>
        </w:tc>
        <w:tc>
          <w:tcPr>
            <w:tcW w:w="63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136,072</w:t>
            </w:r>
          </w:p>
        </w:tc>
        <w:tc>
          <w:tcPr>
            <w:tcW w:w="66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3,423</w:t>
            </w:r>
          </w:p>
        </w:tc>
        <w:tc>
          <w:tcPr>
            <w:tcW w:w="67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13.99</w:t>
            </w:r>
          </w:p>
        </w:tc>
        <w:tc>
          <w:tcPr>
            <w:tcW w:w="912"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-1.69</w:t>
            </w:r>
          </w:p>
        </w:tc>
        <w:tc>
          <w:tcPr>
            <w:tcW w:w="824"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Dominated</w:t>
            </w:r>
          </w:p>
        </w:tc>
      </w:tr>
      <w:tr w:rsidR="007B09A7" w:rsidRPr="003F4071" w:rsidTr="004F0F28">
        <w:trPr>
          <w:trHeight w:val="264"/>
        </w:trPr>
        <w:tc>
          <w:tcPr>
            <w:tcW w:w="2594" w:type="pct"/>
            <w:gridSpan w:val="3"/>
            <w:tcBorders>
              <w:top w:val="nil"/>
              <w:left w:val="nil"/>
              <w:bottom w:val="nil"/>
              <w:right w:val="nil"/>
            </w:tcBorders>
            <w:noWrap/>
          </w:tcPr>
          <w:p w:rsidR="007B09A7" w:rsidRPr="003F4071" w:rsidRDefault="007B09A7" w:rsidP="004F0F28">
            <w:pPr>
              <w:spacing w:line="276" w:lineRule="auto"/>
              <w:rPr>
                <w:rFonts w:ascii="Times New Roman" w:hAnsi="Times New Roman" w:cs="Times New Roman"/>
                <w:sz w:val="20"/>
                <w:szCs w:val="24"/>
              </w:rPr>
            </w:pPr>
            <w:r>
              <w:rPr>
                <w:rFonts w:ascii="Times New Roman" w:hAnsi="Times New Roman" w:cs="Times New Roman"/>
                <w:b/>
                <w:sz w:val="20"/>
                <w:szCs w:val="24"/>
              </w:rPr>
              <w:t>Panel B:</w:t>
            </w:r>
            <w:r w:rsidRPr="003F4071">
              <w:rPr>
                <w:rFonts w:ascii="Times New Roman" w:hAnsi="Times New Roman" w:cs="Times New Roman"/>
                <w:b/>
                <w:sz w:val="20"/>
                <w:szCs w:val="24"/>
              </w:rPr>
              <w:t xml:space="preserve"> Aspiration therapy vs. No treatment</w:t>
            </w:r>
          </w:p>
        </w:tc>
        <w:tc>
          <w:tcPr>
            <w:tcW w:w="670" w:type="pct"/>
            <w:tcBorders>
              <w:top w:val="nil"/>
              <w:left w:val="nil"/>
              <w:bottom w:val="nil"/>
              <w:right w:val="nil"/>
            </w:tcBorders>
            <w:noWrap/>
          </w:tcPr>
          <w:p w:rsidR="007B09A7" w:rsidRPr="003F4071" w:rsidRDefault="007B09A7" w:rsidP="004F0F28">
            <w:pPr>
              <w:spacing w:line="276" w:lineRule="auto"/>
              <w:jc w:val="center"/>
              <w:rPr>
                <w:rFonts w:ascii="Times New Roman" w:hAnsi="Times New Roman" w:cs="Times New Roman"/>
                <w:sz w:val="20"/>
                <w:szCs w:val="24"/>
              </w:rPr>
            </w:pPr>
          </w:p>
        </w:tc>
        <w:tc>
          <w:tcPr>
            <w:tcW w:w="912" w:type="pct"/>
            <w:tcBorders>
              <w:top w:val="nil"/>
              <w:left w:val="nil"/>
              <w:bottom w:val="nil"/>
              <w:right w:val="nil"/>
            </w:tcBorders>
            <w:noWrap/>
          </w:tcPr>
          <w:p w:rsidR="007B09A7" w:rsidRPr="003F4071" w:rsidRDefault="007B09A7" w:rsidP="004F0F28">
            <w:pPr>
              <w:spacing w:line="276" w:lineRule="auto"/>
              <w:jc w:val="center"/>
              <w:rPr>
                <w:rFonts w:ascii="Times New Roman" w:hAnsi="Times New Roman" w:cs="Times New Roman"/>
                <w:sz w:val="20"/>
                <w:szCs w:val="24"/>
              </w:rPr>
            </w:pPr>
          </w:p>
        </w:tc>
        <w:tc>
          <w:tcPr>
            <w:tcW w:w="824" w:type="pct"/>
            <w:tcBorders>
              <w:top w:val="nil"/>
              <w:left w:val="nil"/>
              <w:bottom w:val="nil"/>
              <w:right w:val="nil"/>
            </w:tcBorders>
            <w:noWrap/>
          </w:tcPr>
          <w:p w:rsidR="007B09A7" w:rsidRPr="003F4071" w:rsidRDefault="007B09A7" w:rsidP="004F0F28">
            <w:pPr>
              <w:spacing w:line="276" w:lineRule="auto"/>
              <w:jc w:val="center"/>
              <w:rPr>
                <w:rFonts w:ascii="Times New Roman" w:hAnsi="Times New Roman" w:cs="Times New Roman"/>
                <w:sz w:val="20"/>
                <w:szCs w:val="24"/>
              </w:rPr>
            </w:pPr>
          </w:p>
        </w:tc>
      </w:tr>
      <w:tr w:rsidR="007B09A7" w:rsidRPr="003F4071" w:rsidTr="004F0F28">
        <w:trPr>
          <w:trHeight w:val="264"/>
        </w:trPr>
        <w:tc>
          <w:tcPr>
            <w:tcW w:w="1304" w:type="pct"/>
            <w:tcBorders>
              <w:top w:val="nil"/>
              <w:left w:val="nil"/>
              <w:bottom w:val="nil"/>
              <w:right w:val="nil"/>
            </w:tcBorders>
            <w:noWrap/>
          </w:tcPr>
          <w:p w:rsidR="007B09A7" w:rsidRPr="003F4071" w:rsidRDefault="007B09A7" w:rsidP="007B09A7">
            <w:pPr>
              <w:spacing w:line="276" w:lineRule="auto"/>
              <w:rPr>
                <w:rFonts w:ascii="Times New Roman" w:hAnsi="Times New Roman" w:cs="Times New Roman"/>
                <w:sz w:val="20"/>
                <w:szCs w:val="24"/>
              </w:rPr>
            </w:pPr>
            <w:r w:rsidRPr="003F4071">
              <w:rPr>
                <w:rFonts w:ascii="Times New Roman" w:hAnsi="Times New Roman" w:cs="Times New Roman"/>
                <w:sz w:val="20"/>
                <w:szCs w:val="24"/>
              </w:rPr>
              <w:t>No treatment</w:t>
            </w:r>
          </w:p>
        </w:tc>
        <w:tc>
          <w:tcPr>
            <w:tcW w:w="63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118,360</w:t>
            </w:r>
          </w:p>
        </w:tc>
        <w:tc>
          <w:tcPr>
            <w:tcW w:w="66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w:t>
            </w:r>
          </w:p>
        </w:tc>
        <w:tc>
          <w:tcPr>
            <w:tcW w:w="670"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13.08</w:t>
            </w:r>
          </w:p>
        </w:tc>
        <w:tc>
          <w:tcPr>
            <w:tcW w:w="912"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w:t>
            </w:r>
          </w:p>
        </w:tc>
        <w:tc>
          <w:tcPr>
            <w:tcW w:w="824" w:type="pct"/>
            <w:tcBorders>
              <w:top w:val="nil"/>
              <w:left w:val="nil"/>
              <w:bottom w:val="nil"/>
              <w:right w:val="nil"/>
            </w:tcBorders>
            <w:noWrap/>
          </w:tcPr>
          <w:p w:rsidR="007B09A7" w:rsidRPr="003F4071" w:rsidRDefault="007B09A7" w:rsidP="007B09A7">
            <w:pPr>
              <w:spacing w:line="276" w:lineRule="auto"/>
              <w:jc w:val="center"/>
              <w:rPr>
                <w:rFonts w:ascii="Times New Roman" w:hAnsi="Times New Roman" w:cs="Times New Roman"/>
                <w:sz w:val="20"/>
                <w:szCs w:val="24"/>
              </w:rPr>
            </w:pPr>
            <w:r>
              <w:rPr>
                <w:rFonts w:ascii="Times New Roman" w:hAnsi="Times New Roman" w:cs="Times New Roman"/>
                <w:sz w:val="20"/>
                <w:szCs w:val="24"/>
              </w:rPr>
              <w:t>-</w:t>
            </w:r>
          </w:p>
        </w:tc>
      </w:tr>
      <w:tr w:rsidR="007B09A7" w:rsidRPr="003F4071" w:rsidTr="004F0F28">
        <w:trPr>
          <w:trHeight w:val="264"/>
        </w:trPr>
        <w:tc>
          <w:tcPr>
            <w:tcW w:w="1304" w:type="pct"/>
            <w:tcBorders>
              <w:top w:val="nil"/>
              <w:left w:val="nil"/>
              <w:bottom w:val="single" w:sz="4" w:space="0" w:color="auto"/>
              <w:right w:val="nil"/>
            </w:tcBorders>
            <w:noWrap/>
          </w:tcPr>
          <w:p w:rsidR="007B09A7" w:rsidRPr="003F4071" w:rsidRDefault="007B09A7" w:rsidP="004F0F28">
            <w:pPr>
              <w:spacing w:line="276" w:lineRule="auto"/>
              <w:rPr>
                <w:rFonts w:ascii="Times New Roman" w:hAnsi="Times New Roman" w:cs="Times New Roman"/>
                <w:sz w:val="20"/>
                <w:szCs w:val="24"/>
              </w:rPr>
            </w:pPr>
            <w:r w:rsidRPr="003F4071">
              <w:rPr>
                <w:rFonts w:ascii="Times New Roman" w:hAnsi="Times New Roman" w:cs="Times New Roman"/>
                <w:sz w:val="20"/>
                <w:szCs w:val="24"/>
              </w:rPr>
              <w:t>Aspiration Therapy</w:t>
            </w:r>
          </w:p>
        </w:tc>
        <w:tc>
          <w:tcPr>
            <w:tcW w:w="630" w:type="pct"/>
            <w:tcBorders>
              <w:top w:val="nil"/>
              <w:left w:val="nil"/>
              <w:bottom w:val="single" w:sz="4" w:space="0" w:color="auto"/>
              <w:right w:val="nil"/>
            </w:tcBorders>
            <w:noWrap/>
          </w:tcPr>
          <w:p w:rsidR="007B09A7" w:rsidRPr="003F4071" w:rsidRDefault="007B09A7" w:rsidP="004F0F28">
            <w:pPr>
              <w:spacing w:line="276" w:lineRule="auto"/>
              <w:jc w:val="center"/>
              <w:rPr>
                <w:rFonts w:ascii="Times New Roman" w:hAnsi="Times New Roman" w:cs="Times New Roman"/>
                <w:sz w:val="20"/>
                <w:szCs w:val="24"/>
              </w:rPr>
            </w:pPr>
            <w:r>
              <w:rPr>
                <w:rFonts w:ascii="Times New Roman" w:hAnsi="Times New Roman" w:cs="Times New Roman"/>
                <w:sz w:val="20"/>
                <w:szCs w:val="24"/>
              </w:rPr>
              <w:t>136,072</w:t>
            </w:r>
          </w:p>
        </w:tc>
        <w:tc>
          <w:tcPr>
            <w:tcW w:w="660" w:type="pct"/>
            <w:tcBorders>
              <w:top w:val="nil"/>
              <w:left w:val="nil"/>
              <w:bottom w:val="single" w:sz="4" w:space="0" w:color="auto"/>
              <w:right w:val="nil"/>
            </w:tcBorders>
            <w:noWrap/>
          </w:tcPr>
          <w:p w:rsidR="007B09A7" w:rsidRPr="003F4071" w:rsidRDefault="007B09A7" w:rsidP="004F0F28">
            <w:pPr>
              <w:spacing w:line="276" w:lineRule="auto"/>
              <w:jc w:val="center"/>
              <w:rPr>
                <w:rFonts w:ascii="Times New Roman" w:hAnsi="Times New Roman" w:cs="Times New Roman"/>
                <w:sz w:val="20"/>
                <w:szCs w:val="24"/>
              </w:rPr>
            </w:pPr>
            <w:r>
              <w:rPr>
                <w:rFonts w:ascii="Times New Roman" w:hAnsi="Times New Roman" w:cs="Times New Roman"/>
                <w:sz w:val="20"/>
                <w:szCs w:val="24"/>
              </w:rPr>
              <w:t>17,712</w:t>
            </w:r>
          </w:p>
        </w:tc>
        <w:tc>
          <w:tcPr>
            <w:tcW w:w="670" w:type="pct"/>
            <w:tcBorders>
              <w:top w:val="nil"/>
              <w:left w:val="nil"/>
              <w:bottom w:val="single" w:sz="4" w:space="0" w:color="auto"/>
              <w:right w:val="nil"/>
            </w:tcBorders>
            <w:noWrap/>
          </w:tcPr>
          <w:p w:rsidR="007B09A7" w:rsidRPr="003F4071" w:rsidRDefault="007B09A7" w:rsidP="004F0F28">
            <w:pPr>
              <w:spacing w:line="276" w:lineRule="auto"/>
              <w:jc w:val="center"/>
              <w:rPr>
                <w:rFonts w:ascii="Times New Roman" w:hAnsi="Times New Roman" w:cs="Times New Roman"/>
                <w:sz w:val="20"/>
                <w:szCs w:val="24"/>
              </w:rPr>
            </w:pPr>
            <w:r>
              <w:rPr>
                <w:rFonts w:ascii="Times New Roman" w:hAnsi="Times New Roman" w:cs="Times New Roman"/>
                <w:sz w:val="20"/>
                <w:szCs w:val="24"/>
              </w:rPr>
              <w:t>13.99</w:t>
            </w:r>
          </w:p>
        </w:tc>
        <w:tc>
          <w:tcPr>
            <w:tcW w:w="912" w:type="pct"/>
            <w:tcBorders>
              <w:top w:val="nil"/>
              <w:left w:val="nil"/>
              <w:bottom w:val="single" w:sz="4" w:space="0" w:color="auto"/>
              <w:right w:val="nil"/>
            </w:tcBorders>
            <w:noWrap/>
          </w:tcPr>
          <w:p w:rsidR="007B09A7" w:rsidRPr="003F4071" w:rsidRDefault="007B09A7" w:rsidP="004F0F28">
            <w:pPr>
              <w:spacing w:line="276" w:lineRule="auto"/>
              <w:jc w:val="center"/>
              <w:rPr>
                <w:rFonts w:ascii="Times New Roman" w:hAnsi="Times New Roman" w:cs="Times New Roman"/>
                <w:sz w:val="20"/>
                <w:szCs w:val="24"/>
              </w:rPr>
            </w:pPr>
            <w:r>
              <w:rPr>
                <w:rFonts w:ascii="Times New Roman" w:hAnsi="Times New Roman" w:cs="Times New Roman"/>
                <w:sz w:val="20"/>
                <w:szCs w:val="24"/>
              </w:rPr>
              <w:t>0.91</w:t>
            </w:r>
          </w:p>
        </w:tc>
        <w:tc>
          <w:tcPr>
            <w:tcW w:w="824" w:type="pct"/>
            <w:tcBorders>
              <w:top w:val="nil"/>
              <w:left w:val="nil"/>
              <w:bottom w:val="single" w:sz="4" w:space="0" w:color="auto"/>
              <w:right w:val="nil"/>
            </w:tcBorders>
            <w:noWrap/>
          </w:tcPr>
          <w:p w:rsidR="007B09A7" w:rsidRPr="003F4071" w:rsidRDefault="007B09A7" w:rsidP="004F0F28">
            <w:pPr>
              <w:spacing w:line="276" w:lineRule="auto"/>
              <w:jc w:val="center"/>
              <w:rPr>
                <w:rFonts w:ascii="Times New Roman" w:hAnsi="Times New Roman" w:cs="Times New Roman"/>
                <w:sz w:val="20"/>
                <w:szCs w:val="24"/>
              </w:rPr>
            </w:pPr>
            <w:r>
              <w:rPr>
                <w:rFonts w:ascii="Times New Roman" w:hAnsi="Times New Roman" w:cs="Times New Roman"/>
                <w:sz w:val="20"/>
                <w:szCs w:val="24"/>
              </w:rPr>
              <w:t>19,396</w:t>
            </w:r>
          </w:p>
        </w:tc>
      </w:tr>
      <w:tr w:rsidR="007B09A7" w:rsidRPr="003F4071" w:rsidTr="004F0F28">
        <w:trPr>
          <w:trHeight w:val="264"/>
        </w:trPr>
        <w:tc>
          <w:tcPr>
            <w:tcW w:w="5000" w:type="pct"/>
            <w:gridSpan w:val="6"/>
            <w:tcBorders>
              <w:top w:val="single" w:sz="4" w:space="0" w:color="auto"/>
              <w:left w:val="nil"/>
              <w:bottom w:val="nil"/>
              <w:right w:val="nil"/>
            </w:tcBorders>
            <w:noWrap/>
            <w:vAlign w:val="bottom"/>
            <w:hideMark/>
          </w:tcPr>
          <w:p w:rsidR="007B09A7" w:rsidRPr="003F4071" w:rsidRDefault="007B09A7" w:rsidP="007B09A7">
            <w:pPr>
              <w:spacing w:line="276" w:lineRule="auto"/>
              <w:rPr>
                <w:rFonts w:ascii="Times New Roman" w:eastAsia="Times New Roman" w:hAnsi="Times New Roman" w:cs="Times New Roman"/>
                <w:sz w:val="20"/>
                <w:szCs w:val="24"/>
                <w:lang w:val="en-US" w:eastAsia="en-SG"/>
              </w:rPr>
            </w:pPr>
            <w:r w:rsidRPr="003F4071">
              <w:rPr>
                <w:rFonts w:ascii="Times New Roman" w:hAnsi="Times New Roman" w:cs="Times New Roman"/>
                <w:sz w:val="20"/>
                <w:szCs w:val="24"/>
                <w:lang w:val="en-US"/>
              </w:rPr>
              <w:t xml:space="preserve">All costs are in 2017 US dollars (US$). </w:t>
            </w:r>
            <w:r w:rsidRPr="003F4071">
              <w:rPr>
                <w:rFonts w:ascii="Times New Roman" w:eastAsia="Times New Roman" w:hAnsi="Times New Roman" w:cs="Times New Roman"/>
                <w:sz w:val="20"/>
                <w:szCs w:val="24"/>
                <w:lang w:val="en-US" w:eastAsia="en-SG"/>
              </w:rPr>
              <w:t>ICER = increm</w:t>
            </w:r>
            <w:r>
              <w:rPr>
                <w:rFonts w:ascii="Times New Roman" w:eastAsia="Times New Roman" w:hAnsi="Times New Roman" w:cs="Times New Roman"/>
                <w:sz w:val="20"/>
                <w:szCs w:val="24"/>
                <w:lang w:val="en-US" w:eastAsia="en-SG"/>
              </w:rPr>
              <w:t>ental cost-effectiveness ratio</w:t>
            </w:r>
          </w:p>
        </w:tc>
      </w:tr>
    </w:tbl>
    <w:p w:rsidR="007B09A7" w:rsidRDefault="007B09A7" w:rsidP="007B09A7">
      <w:pPr>
        <w:rPr>
          <w:rFonts w:ascii="Times New Roman" w:hAnsi="Times New Roman" w:cs="Times New Roman"/>
          <w:b/>
          <w:sz w:val="24"/>
        </w:rPr>
      </w:pPr>
    </w:p>
    <w:p w:rsidR="004672BF" w:rsidRDefault="004672BF" w:rsidP="007B09A7">
      <w:pPr>
        <w:rPr>
          <w:rFonts w:ascii="Times New Roman" w:hAnsi="Times New Roman" w:cs="Times New Roman"/>
          <w:b/>
          <w:sz w:val="24"/>
        </w:rPr>
      </w:pPr>
    </w:p>
    <w:p w:rsidR="004672BF" w:rsidRDefault="004672BF" w:rsidP="007B09A7">
      <w:pPr>
        <w:rPr>
          <w:rFonts w:ascii="Times New Roman" w:hAnsi="Times New Roman" w:cs="Times New Roman"/>
          <w:b/>
          <w:sz w:val="24"/>
        </w:rPr>
      </w:pPr>
    </w:p>
    <w:p w:rsidR="004672BF" w:rsidRDefault="004672BF" w:rsidP="007B09A7">
      <w:pPr>
        <w:rPr>
          <w:rFonts w:ascii="Times New Roman" w:hAnsi="Times New Roman" w:cs="Times New Roman"/>
          <w:b/>
          <w:sz w:val="24"/>
        </w:rPr>
      </w:pPr>
    </w:p>
    <w:p w:rsidR="004672BF" w:rsidRDefault="004672BF" w:rsidP="007B09A7">
      <w:pPr>
        <w:rPr>
          <w:rFonts w:ascii="Times New Roman" w:hAnsi="Times New Roman" w:cs="Times New Roman"/>
          <w:b/>
          <w:sz w:val="24"/>
        </w:rPr>
      </w:pPr>
    </w:p>
    <w:p w:rsidR="004672BF" w:rsidRDefault="004672BF" w:rsidP="007B09A7">
      <w:pPr>
        <w:rPr>
          <w:rFonts w:ascii="Times New Roman" w:hAnsi="Times New Roman" w:cs="Times New Roman"/>
          <w:b/>
          <w:sz w:val="24"/>
        </w:rPr>
      </w:pPr>
    </w:p>
    <w:p w:rsidR="004672BF" w:rsidRDefault="004672BF" w:rsidP="007B09A7">
      <w:pPr>
        <w:rPr>
          <w:rFonts w:ascii="Times New Roman" w:hAnsi="Times New Roman" w:cs="Times New Roman"/>
          <w:b/>
          <w:sz w:val="24"/>
        </w:rPr>
      </w:pPr>
    </w:p>
    <w:p w:rsidR="00A2173B" w:rsidRDefault="00A2173B" w:rsidP="007B09A7">
      <w:pPr>
        <w:rPr>
          <w:rFonts w:ascii="Times New Roman" w:hAnsi="Times New Roman" w:cs="Times New Roman"/>
          <w:b/>
          <w:sz w:val="24"/>
        </w:rPr>
      </w:pPr>
    </w:p>
    <w:p w:rsidR="00A2173B" w:rsidRDefault="00A2173B" w:rsidP="007B09A7">
      <w:pPr>
        <w:rPr>
          <w:rFonts w:ascii="Times New Roman" w:hAnsi="Times New Roman" w:cs="Times New Roman"/>
          <w:b/>
          <w:sz w:val="24"/>
        </w:rPr>
      </w:pPr>
    </w:p>
    <w:p w:rsidR="007B09A7" w:rsidRDefault="00F575A1" w:rsidP="007B09A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Figure A.4</w:t>
      </w:r>
      <w:r w:rsidR="007B09A7">
        <w:rPr>
          <w:rFonts w:ascii="Times New Roman" w:eastAsia="Times New Roman" w:hAnsi="Times New Roman" w:cs="Times New Roman"/>
          <w:color w:val="000000"/>
          <w:sz w:val="24"/>
          <w:szCs w:val="24"/>
        </w:rPr>
        <w:t xml:space="preserve">.1: Cost-Effectiveness Acceptability Curve with microsimulation                       </w:t>
      </w:r>
    </w:p>
    <w:p w:rsidR="007B09A7" w:rsidRDefault="007B09A7" w:rsidP="007B09A7">
      <w:pPr>
        <w:jc w:val="both"/>
        <w:rPr>
          <w:rFonts w:ascii="Times New Roman" w:eastAsia="Times New Roman" w:hAnsi="Times New Roman" w:cs="Times New Roman"/>
          <w:color w:val="000000"/>
          <w:sz w:val="24"/>
          <w:szCs w:val="24"/>
        </w:rPr>
      </w:pPr>
      <w:r>
        <w:rPr>
          <w:noProof/>
          <w:lang w:val="en-US"/>
        </w:rPr>
        <w:drawing>
          <wp:inline distT="0" distB="0" distL="0" distR="0" wp14:anchorId="178DC596" wp14:editId="34E1B89A">
            <wp:extent cx="5058383" cy="3066638"/>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81622" cy="3080726"/>
                    </a:xfrm>
                    <a:prstGeom prst="rect">
                      <a:avLst/>
                    </a:prstGeom>
                  </pic:spPr>
                </pic:pic>
              </a:graphicData>
            </a:graphic>
          </wp:inline>
        </w:drawing>
      </w:r>
      <w:r>
        <w:rPr>
          <w:rFonts w:ascii="Times New Roman" w:eastAsia="Times New Roman" w:hAnsi="Times New Roman" w:cs="Times New Roman"/>
          <w:color w:val="000000"/>
          <w:sz w:val="24"/>
          <w:szCs w:val="24"/>
        </w:rPr>
        <w:t xml:space="preserve">  </w:t>
      </w:r>
    </w:p>
    <w:p w:rsidR="00C869D9" w:rsidRDefault="00C869D9">
      <w:pPr>
        <w:rPr>
          <w:rFonts w:ascii="Times New Roman" w:hAnsi="Times New Roman" w:cs="Times New Roman"/>
          <w:sz w:val="24"/>
          <w:szCs w:val="24"/>
        </w:rPr>
      </w:pPr>
    </w:p>
    <w:p w:rsidR="00C869D9" w:rsidRDefault="00C869D9">
      <w:pPr>
        <w:rPr>
          <w:rFonts w:ascii="Times New Roman" w:hAnsi="Times New Roman" w:cs="Times New Roman"/>
          <w:sz w:val="24"/>
          <w:szCs w:val="24"/>
        </w:rPr>
      </w:pPr>
    </w:p>
    <w:p w:rsidR="00C869D9" w:rsidRDefault="00C869D9">
      <w:pPr>
        <w:rPr>
          <w:rFonts w:ascii="Times New Roman" w:hAnsi="Times New Roman" w:cs="Times New Roman"/>
          <w:b/>
          <w:sz w:val="24"/>
        </w:rPr>
      </w:pPr>
      <w:r>
        <w:rPr>
          <w:rFonts w:ascii="Times New Roman" w:hAnsi="Times New Roman" w:cs="Times New Roman"/>
          <w:b/>
          <w:sz w:val="24"/>
        </w:rPr>
        <w:br w:type="page"/>
      </w:r>
    </w:p>
    <w:p w:rsidR="00C869D9" w:rsidRDefault="00F575A1" w:rsidP="00C869D9">
      <w:pPr>
        <w:spacing w:line="480" w:lineRule="auto"/>
        <w:rPr>
          <w:rFonts w:ascii="Times New Roman" w:hAnsi="Times New Roman" w:cs="Times New Roman"/>
          <w:b/>
          <w:sz w:val="24"/>
        </w:rPr>
      </w:pPr>
      <w:r>
        <w:rPr>
          <w:rFonts w:ascii="Times New Roman" w:hAnsi="Times New Roman" w:cs="Times New Roman"/>
          <w:b/>
          <w:sz w:val="24"/>
        </w:rPr>
        <w:lastRenderedPageBreak/>
        <w:t>A.5</w:t>
      </w:r>
      <w:r w:rsidR="00C869D9">
        <w:rPr>
          <w:rFonts w:ascii="Times New Roman" w:hAnsi="Times New Roman" w:cs="Times New Roman"/>
          <w:b/>
          <w:sz w:val="24"/>
        </w:rPr>
        <w:t xml:space="preserve"> Results using life years as outcome</w:t>
      </w:r>
    </w:p>
    <w:p w:rsidR="00C869D9" w:rsidRPr="007B09A7" w:rsidRDefault="00C869D9" w:rsidP="00C869D9">
      <w:pPr>
        <w:spacing w:line="480" w:lineRule="auto"/>
        <w:jc w:val="both"/>
        <w:rPr>
          <w:rFonts w:ascii="Times New Roman" w:hAnsi="Times New Roman" w:cs="Times New Roman"/>
          <w:sz w:val="24"/>
        </w:rPr>
      </w:pPr>
      <w:r w:rsidRPr="007B09A7">
        <w:rPr>
          <w:rFonts w:ascii="Times New Roman" w:hAnsi="Times New Roman" w:cs="Times New Roman"/>
          <w:sz w:val="24"/>
        </w:rPr>
        <w:t>Aspiration therapy remained</w:t>
      </w:r>
      <w:r>
        <w:rPr>
          <w:rFonts w:ascii="Times New Roman" w:hAnsi="Times New Roman" w:cs="Times New Roman"/>
          <w:sz w:val="24"/>
        </w:rPr>
        <w:t xml:space="preserve"> dominated by bariatric surgery.</w:t>
      </w:r>
      <w:r w:rsidRPr="007B09A7">
        <w:rPr>
          <w:rFonts w:ascii="Times New Roman" w:hAnsi="Times New Roman" w:cs="Times New Roman"/>
          <w:sz w:val="24"/>
        </w:rPr>
        <w:t xml:space="preserve"> </w:t>
      </w:r>
      <w:r>
        <w:rPr>
          <w:rFonts w:ascii="Times New Roman" w:hAnsi="Times New Roman" w:cs="Times New Roman"/>
          <w:sz w:val="24"/>
        </w:rPr>
        <w:t>Gastric</w:t>
      </w:r>
      <w:r w:rsidRPr="007B09A7">
        <w:rPr>
          <w:rFonts w:ascii="Times New Roman" w:hAnsi="Times New Roman" w:cs="Times New Roman"/>
          <w:sz w:val="24"/>
        </w:rPr>
        <w:t xml:space="preserve"> bypass </w:t>
      </w:r>
      <w:r>
        <w:rPr>
          <w:rFonts w:ascii="Times New Roman" w:hAnsi="Times New Roman" w:cs="Times New Roman"/>
          <w:sz w:val="24"/>
        </w:rPr>
        <w:t xml:space="preserve">cost US$9,454 more than sleeve gastrectomy (the next most costly alternative) but also yielded 0.05 additional life years for an ICER of US$183,224 per </w:t>
      </w:r>
      <w:r w:rsidRPr="007B09A7">
        <w:rPr>
          <w:rFonts w:ascii="Times New Roman" w:hAnsi="Times New Roman" w:cs="Times New Roman"/>
          <w:sz w:val="24"/>
        </w:rPr>
        <w:t xml:space="preserve">life year gained. Compared with no treatment, aspiration therapy yielded 0.53 additional life years at an additional cost of US$18,875 giving an ICER of </w:t>
      </w:r>
      <w:r>
        <w:rPr>
          <w:rFonts w:ascii="Times New Roman" w:hAnsi="Times New Roman" w:cs="Times New Roman"/>
          <w:sz w:val="24"/>
        </w:rPr>
        <w:t xml:space="preserve">US$35,803 per </w:t>
      </w:r>
      <w:r w:rsidRPr="007B09A7">
        <w:rPr>
          <w:rFonts w:ascii="Times New Roman" w:hAnsi="Times New Roman" w:cs="Times New Roman"/>
          <w:sz w:val="24"/>
        </w:rPr>
        <w:t>life year gained.</w:t>
      </w:r>
    </w:p>
    <w:p w:rsidR="00C869D9" w:rsidRPr="001E5212" w:rsidRDefault="00F575A1" w:rsidP="00C869D9">
      <w:pPr>
        <w:spacing w:line="480" w:lineRule="auto"/>
        <w:rPr>
          <w:rFonts w:ascii="Times New Roman" w:hAnsi="Times New Roman" w:cs="Times New Roman"/>
          <w:sz w:val="24"/>
        </w:rPr>
      </w:pPr>
      <w:r>
        <w:rPr>
          <w:rFonts w:ascii="Times New Roman" w:hAnsi="Times New Roman" w:cs="Times New Roman"/>
          <w:sz w:val="24"/>
        </w:rPr>
        <w:t>Table A.5</w:t>
      </w:r>
      <w:r w:rsidR="00C869D9" w:rsidRPr="001E5212">
        <w:rPr>
          <w:rFonts w:ascii="Times New Roman" w:hAnsi="Times New Roman" w:cs="Times New Roman"/>
          <w:sz w:val="24"/>
        </w:rPr>
        <w:t xml:space="preserve">.1: Incremental Cost-Effectiveness Results, </w:t>
      </w:r>
      <w:r w:rsidR="00C869D9">
        <w:rPr>
          <w:rFonts w:ascii="Times New Roman" w:hAnsi="Times New Roman" w:cs="Times New Roman"/>
          <w:sz w:val="24"/>
        </w:rPr>
        <w:t xml:space="preserve">life </w:t>
      </w:r>
      <w:proofErr w:type="gramStart"/>
      <w:r w:rsidR="00C869D9">
        <w:rPr>
          <w:rFonts w:ascii="Times New Roman" w:hAnsi="Times New Roman" w:cs="Times New Roman"/>
          <w:sz w:val="24"/>
        </w:rPr>
        <w:t>years</w:t>
      </w:r>
      <w:proofErr w:type="gramEnd"/>
      <w:r w:rsidR="00C869D9">
        <w:rPr>
          <w:rFonts w:ascii="Times New Roman" w:hAnsi="Times New Roman" w:cs="Times New Roman"/>
          <w:sz w:val="24"/>
        </w:rPr>
        <w:t xml:space="preserve"> outcome</w:t>
      </w:r>
    </w:p>
    <w:tbl>
      <w:tblPr>
        <w:tblW w:w="5476"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24"/>
        <w:gridCol w:w="1268"/>
        <w:gridCol w:w="1329"/>
        <w:gridCol w:w="1349"/>
        <w:gridCol w:w="1836"/>
        <w:gridCol w:w="1659"/>
      </w:tblGrid>
      <w:tr w:rsidR="00C869D9" w:rsidRPr="003F4071" w:rsidTr="00CC1723">
        <w:trPr>
          <w:trHeight w:val="264"/>
        </w:trPr>
        <w:tc>
          <w:tcPr>
            <w:tcW w:w="1304" w:type="pct"/>
            <w:tcBorders>
              <w:top w:val="single" w:sz="4" w:space="0" w:color="auto"/>
              <w:left w:val="nil"/>
              <w:bottom w:val="single" w:sz="4" w:space="0" w:color="auto"/>
              <w:right w:val="nil"/>
            </w:tcBorders>
            <w:shd w:val="clear" w:color="auto" w:fill="D0CECE" w:themeFill="background2" w:themeFillShade="E6"/>
            <w:noWrap/>
            <w:hideMark/>
          </w:tcPr>
          <w:p w:rsidR="00C869D9" w:rsidRPr="003F4071" w:rsidRDefault="00C869D9" w:rsidP="00CC1723">
            <w:pPr>
              <w:spacing w:line="276" w:lineRule="auto"/>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Strategy</w:t>
            </w:r>
          </w:p>
        </w:tc>
        <w:tc>
          <w:tcPr>
            <w:tcW w:w="630" w:type="pct"/>
            <w:tcBorders>
              <w:top w:val="single" w:sz="4" w:space="0" w:color="auto"/>
              <w:left w:val="nil"/>
              <w:bottom w:val="single" w:sz="4" w:space="0" w:color="auto"/>
              <w:right w:val="nil"/>
            </w:tcBorders>
            <w:shd w:val="clear" w:color="auto" w:fill="D0CECE" w:themeFill="background2" w:themeFillShade="E6"/>
            <w:noWrap/>
            <w:hideMark/>
          </w:tcPr>
          <w:p w:rsidR="00C869D9" w:rsidRPr="003F4071" w:rsidRDefault="00C869D9" w:rsidP="00CC1723">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Cost (US$)</w:t>
            </w:r>
          </w:p>
        </w:tc>
        <w:tc>
          <w:tcPr>
            <w:tcW w:w="660" w:type="pct"/>
            <w:tcBorders>
              <w:top w:val="single" w:sz="4" w:space="0" w:color="auto"/>
              <w:left w:val="nil"/>
              <w:bottom w:val="single" w:sz="4" w:space="0" w:color="auto"/>
              <w:right w:val="nil"/>
            </w:tcBorders>
            <w:shd w:val="clear" w:color="auto" w:fill="D0CECE" w:themeFill="background2" w:themeFillShade="E6"/>
            <w:noWrap/>
            <w:hideMark/>
          </w:tcPr>
          <w:p w:rsidR="00C869D9" w:rsidRPr="003F4071" w:rsidRDefault="00C869D9" w:rsidP="00CC1723">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Incremental Costs (US$)</w:t>
            </w:r>
          </w:p>
        </w:tc>
        <w:tc>
          <w:tcPr>
            <w:tcW w:w="670" w:type="pct"/>
            <w:tcBorders>
              <w:top w:val="single" w:sz="4" w:space="0" w:color="auto"/>
              <w:left w:val="nil"/>
              <w:bottom w:val="single" w:sz="4" w:space="0" w:color="auto"/>
              <w:right w:val="nil"/>
            </w:tcBorders>
            <w:shd w:val="clear" w:color="auto" w:fill="D0CECE" w:themeFill="background2" w:themeFillShade="E6"/>
            <w:noWrap/>
            <w:hideMark/>
          </w:tcPr>
          <w:p w:rsidR="00C869D9" w:rsidRPr="003F4071" w:rsidRDefault="00C869D9" w:rsidP="00CC1723">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Effectiveness</w:t>
            </w:r>
          </w:p>
        </w:tc>
        <w:tc>
          <w:tcPr>
            <w:tcW w:w="912" w:type="pct"/>
            <w:tcBorders>
              <w:top w:val="single" w:sz="4" w:space="0" w:color="auto"/>
              <w:left w:val="nil"/>
              <w:bottom w:val="single" w:sz="4" w:space="0" w:color="auto"/>
              <w:right w:val="nil"/>
            </w:tcBorders>
            <w:shd w:val="clear" w:color="auto" w:fill="D0CECE" w:themeFill="background2" w:themeFillShade="E6"/>
            <w:noWrap/>
            <w:hideMark/>
          </w:tcPr>
          <w:p w:rsidR="00C869D9" w:rsidRPr="003F4071" w:rsidRDefault="00C869D9" w:rsidP="00CC1723">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Incremental Effectiveness</w:t>
            </w:r>
          </w:p>
        </w:tc>
        <w:tc>
          <w:tcPr>
            <w:tcW w:w="824" w:type="pct"/>
            <w:tcBorders>
              <w:top w:val="single" w:sz="4" w:space="0" w:color="auto"/>
              <w:left w:val="nil"/>
              <w:bottom w:val="single" w:sz="4" w:space="0" w:color="auto"/>
              <w:right w:val="nil"/>
            </w:tcBorders>
            <w:shd w:val="clear" w:color="auto" w:fill="D0CECE" w:themeFill="background2" w:themeFillShade="E6"/>
            <w:noWrap/>
            <w:hideMark/>
          </w:tcPr>
          <w:p w:rsidR="00C869D9" w:rsidRPr="003F4071" w:rsidRDefault="00C869D9" w:rsidP="00CC1723">
            <w:pPr>
              <w:spacing w:line="276" w:lineRule="auto"/>
              <w:jc w:val="center"/>
              <w:rPr>
                <w:rFonts w:ascii="Times New Roman" w:eastAsia="Times New Roman" w:hAnsi="Times New Roman" w:cs="Times New Roman"/>
                <w:b/>
                <w:bCs/>
                <w:sz w:val="20"/>
                <w:szCs w:val="24"/>
                <w:lang w:val="en-US" w:eastAsia="en-SG"/>
              </w:rPr>
            </w:pPr>
            <w:r w:rsidRPr="003F4071">
              <w:rPr>
                <w:rFonts w:ascii="Times New Roman" w:hAnsi="Times New Roman" w:cs="Times New Roman"/>
                <w:b/>
                <w:sz w:val="20"/>
                <w:szCs w:val="24"/>
                <w:lang w:val="en-US"/>
              </w:rPr>
              <w:t xml:space="preserve">ICER </w:t>
            </w:r>
            <w:r>
              <w:rPr>
                <w:rFonts w:ascii="Times New Roman" w:hAnsi="Times New Roman" w:cs="Times New Roman"/>
                <w:b/>
                <w:sz w:val="20"/>
                <w:szCs w:val="24"/>
                <w:lang w:val="en-US"/>
              </w:rPr>
              <w:t>(US$/LYG)</w:t>
            </w:r>
          </w:p>
        </w:tc>
      </w:tr>
      <w:tr w:rsidR="00C869D9" w:rsidRPr="003F4071" w:rsidTr="00CC1723">
        <w:trPr>
          <w:trHeight w:val="264"/>
        </w:trPr>
        <w:tc>
          <w:tcPr>
            <w:tcW w:w="3264" w:type="pct"/>
            <w:gridSpan w:val="4"/>
            <w:tcBorders>
              <w:top w:val="nil"/>
              <w:left w:val="nil"/>
              <w:bottom w:val="nil"/>
              <w:right w:val="nil"/>
            </w:tcBorders>
            <w:noWrap/>
          </w:tcPr>
          <w:p w:rsidR="00C869D9" w:rsidRPr="003F4071" w:rsidRDefault="00C869D9" w:rsidP="00CC1723">
            <w:pPr>
              <w:spacing w:line="276" w:lineRule="auto"/>
              <w:rPr>
                <w:rFonts w:ascii="Times New Roman" w:hAnsi="Times New Roman" w:cs="Times New Roman"/>
                <w:b/>
                <w:sz w:val="20"/>
                <w:szCs w:val="24"/>
              </w:rPr>
            </w:pPr>
            <w:r>
              <w:rPr>
                <w:rFonts w:ascii="Times New Roman" w:hAnsi="Times New Roman" w:cs="Times New Roman"/>
                <w:b/>
                <w:sz w:val="20"/>
                <w:szCs w:val="24"/>
              </w:rPr>
              <w:t>Panel A:</w:t>
            </w:r>
            <w:r w:rsidRPr="003F4071">
              <w:rPr>
                <w:rFonts w:ascii="Times New Roman" w:hAnsi="Times New Roman" w:cs="Times New Roman"/>
                <w:b/>
                <w:sz w:val="20"/>
                <w:szCs w:val="24"/>
              </w:rPr>
              <w:t xml:space="preserve"> All strategies </w:t>
            </w:r>
          </w:p>
        </w:tc>
        <w:tc>
          <w:tcPr>
            <w:tcW w:w="912"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p>
        </w:tc>
        <w:tc>
          <w:tcPr>
            <w:tcW w:w="824"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p>
        </w:tc>
      </w:tr>
      <w:tr w:rsidR="00C869D9" w:rsidRPr="003F4071" w:rsidTr="00CC1723">
        <w:trPr>
          <w:trHeight w:val="126"/>
        </w:trPr>
        <w:tc>
          <w:tcPr>
            <w:tcW w:w="1304" w:type="pct"/>
            <w:tcBorders>
              <w:top w:val="nil"/>
              <w:left w:val="nil"/>
              <w:bottom w:val="nil"/>
              <w:right w:val="nil"/>
            </w:tcBorders>
            <w:noWrap/>
          </w:tcPr>
          <w:p w:rsidR="00C869D9" w:rsidRPr="003F4071" w:rsidRDefault="00C869D9" w:rsidP="00CC1723">
            <w:pPr>
              <w:spacing w:line="276" w:lineRule="auto"/>
              <w:rPr>
                <w:rFonts w:ascii="Times New Roman" w:hAnsi="Times New Roman" w:cs="Times New Roman"/>
                <w:sz w:val="20"/>
                <w:szCs w:val="24"/>
              </w:rPr>
            </w:pPr>
            <w:r w:rsidRPr="003F4071">
              <w:rPr>
                <w:rFonts w:ascii="Times New Roman" w:hAnsi="Times New Roman" w:cs="Times New Roman"/>
                <w:sz w:val="20"/>
                <w:szCs w:val="24"/>
              </w:rPr>
              <w:t>No treatment</w:t>
            </w:r>
          </w:p>
        </w:tc>
        <w:tc>
          <w:tcPr>
            <w:tcW w:w="63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117,357</w:t>
            </w:r>
          </w:p>
        </w:tc>
        <w:tc>
          <w:tcPr>
            <w:tcW w:w="66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c>
          <w:tcPr>
            <w:tcW w:w="67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17.98</w:t>
            </w:r>
          </w:p>
        </w:tc>
        <w:tc>
          <w:tcPr>
            <w:tcW w:w="912"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c>
          <w:tcPr>
            <w:tcW w:w="824"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p>
        </w:tc>
      </w:tr>
      <w:tr w:rsidR="00C869D9" w:rsidRPr="003F4071" w:rsidTr="00CC1723">
        <w:trPr>
          <w:trHeight w:val="126"/>
        </w:trPr>
        <w:tc>
          <w:tcPr>
            <w:tcW w:w="1304" w:type="pct"/>
            <w:tcBorders>
              <w:top w:val="nil"/>
              <w:left w:val="nil"/>
              <w:bottom w:val="nil"/>
              <w:right w:val="nil"/>
            </w:tcBorders>
            <w:noWrap/>
            <w:hideMark/>
          </w:tcPr>
          <w:p w:rsidR="00C869D9" w:rsidRPr="003F4071" w:rsidRDefault="00C869D9" w:rsidP="00CC1723">
            <w:pPr>
              <w:spacing w:line="276" w:lineRule="auto"/>
              <w:rPr>
                <w:rFonts w:ascii="Times New Roman" w:hAnsi="Times New Roman" w:cs="Times New Roman"/>
                <w:sz w:val="20"/>
                <w:szCs w:val="24"/>
              </w:rPr>
            </w:pPr>
            <w:r w:rsidRPr="003F4071">
              <w:rPr>
                <w:rFonts w:ascii="Times New Roman" w:hAnsi="Times New Roman" w:cs="Times New Roman"/>
                <w:sz w:val="20"/>
                <w:szCs w:val="24"/>
              </w:rPr>
              <w:t>Sleeve Gastrectomy</w:t>
            </w:r>
          </w:p>
        </w:tc>
        <w:tc>
          <w:tcPr>
            <w:tcW w:w="630" w:type="pct"/>
            <w:tcBorders>
              <w:top w:val="nil"/>
              <w:left w:val="nil"/>
              <w:bottom w:val="nil"/>
              <w:right w:val="nil"/>
            </w:tcBorders>
            <w:noWrap/>
            <w:hideMark/>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121,459</w:t>
            </w:r>
          </w:p>
        </w:tc>
        <w:tc>
          <w:tcPr>
            <w:tcW w:w="660" w:type="pct"/>
            <w:tcBorders>
              <w:top w:val="nil"/>
              <w:left w:val="nil"/>
              <w:bottom w:val="nil"/>
              <w:right w:val="nil"/>
            </w:tcBorders>
            <w:noWrap/>
            <w:hideMark/>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4,103</w:t>
            </w:r>
          </w:p>
        </w:tc>
        <w:tc>
          <w:tcPr>
            <w:tcW w:w="670" w:type="pct"/>
            <w:tcBorders>
              <w:top w:val="nil"/>
              <w:left w:val="nil"/>
              <w:bottom w:val="nil"/>
              <w:right w:val="nil"/>
            </w:tcBorders>
            <w:noWrap/>
            <w:hideMark/>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19.10</w:t>
            </w:r>
          </w:p>
        </w:tc>
        <w:tc>
          <w:tcPr>
            <w:tcW w:w="912" w:type="pct"/>
            <w:tcBorders>
              <w:top w:val="nil"/>
              <w:left w:val="nil"/>
              <w:bottom w:val="nil"/>
              <w:right w:val="nil"/>
            </w:tcBorders>
            <w:noWrap/>
            <w:hideMark/>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1.12</w:t>
            </w:r>
          </w:p>
        </w:tc>
        <w:tc>
          <w:tcPr>
            <w:tcW w:w="824" w:type="pct"/>
            <w:tcBorders>
              <w:top w:val="nil"/>
              <w:left w:val="nil"/>
              <w:bottom w:val="nil"/>
              <w:right w:val="nil"/>
            </w:tcBorders>
            <w:noWrap/>
            <w:hideMark/>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3,675</w:t>
            </w:r>
          </w:p>
        </w:tc>
      </w:tr>
      <w:tr w:rsidR="00C869D9" w:rsidRPr="003F4071" w:rsidTr="00CC1723">
        <w:trPr>
          <w:trHeight w:val="264"/>
        </w:trPr>
        <w:tc>
          <w:tcPr>
            <w:tcW w:w="1304" w:type="pct"/>
            <w:tcBorders>
              <w:top w:val="nil"/>
              <w:left w:val="nil"/>
              <w:bottom w:val="nil"/>
              <w:right w:val="nil"/>
            </w:tcBorders>
            <w:noWrap/>
          </w:tcPr>
          <w:p w:rsidR="00C869D9" w:rsidRPr="003F4071" w:rsidRDefault="00C869D9" w:rsidP="00CC1723">
            <w:pPr>
              <w:spacing w:line="276" w:lineRule="auto"/>
              <w:rPr>
                <w:rFonts w:ascii="Times New Roman" w:hAnsi="Times New Roman" w:cs="Times New Roman"/>
                <w:sz w:val="20"/>
                <w:szCs w:val="24"/>
              </w:rPr>
            </w:pPr>
            <w:r w:rsidRPr="003F4071">
              <w:rPr>
                <w:rFonts w:ascii="Times New Roman" w:hAnsi="Times New Roman" w:cs="Times New Roman"/>
                <w:sz w:val="20"/>
                <w:szCs w:val="24"/>
              </w:rPr>
              <w:t>Gastric Bypass</w:t>
            </w:r>
          </w:p>
        </w:tc>
        <w:tc>
          <w:tcPr>
            <w:tcW w:w="63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130,914</w:t>
            </w:r>
          </w:p>
        </w:tc>
        <w:tc>
          <w:tcPr>
            <w:tcW w:w="66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9,454</w:t>
            </w:r>
          </w:p>
        </w:tc>
        <w:tc>
          <w:tcPr>
            <w:tcW w:w="67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19.15</w:t>
            </w:r>
          </w:p>
        </w:tc>
        <w:tc>
          <w:tcPr>
            <w:tcW w:w="912"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0.</w:t>
            </w:r>
            <w:r>
              <w:rPr>
                <w:rFonts w:ascii="Times New Roman" w:hAnsi="Times New Roman" w:cs="Times New Roman"/>
                <w:sz w:val="20"/>
                <w:szCs w:val="24"/>
              </w:rPr>
              <w:t>05</w:t>
            </w:r>
          </w:p>
        </w:tc>
        <w:tc>
          <w:tcPr>
            <w:tcW w:w="824"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183,224</w:t>
            </w:r>
          </w:p>
        </w:tc>
      </w:tr>
      <w:tr w:rsidR="00C869D9" w:rsidRPr="003F4071" w:rsidTr="00CC1723">
        <w:trPr>
          <w:trHeight w:val="264"/>
        </w:trPr>
        <w:tc>
          <w:tcPr>
            <w:tcW w:w="1304" w:type="pct"/>
            <w:tcBorders>
              <w:top w:val="nil"/>
              <w:left w:val="nil"/>
              <w:bottom w:val="nil"/>
              <w:right w:val="nil"/>
            </w:tcBorders>
            <w:noWrap/>
          </w:tcPr>
          <w:p w:rsidR="00C869D9" w:rsidRPr="003F4071" w:rsidRDefault="00C869D9" w:rsidP="00CC1723">
            <w:pPr>
              <w:spacing w:line="276" w:lineRule="auto"/>
              <w:rPr>
                <w:rFonts w:ascii="Times New Roman" w:hAnsi="Times New Roman" w:cs="Times New Roman"/>
                <w:sz w:val="20"/>
                <w:szCs w:val="24"/>
              </w:rPr>
            </w:pPr>
            <w:r w:rsidRPr="003F4071">
              <w:rPr>
                <w:rFonts w:ascii="Times New Roman" w:hAnsi="Times New Roman" w:cs="Times New Roman"/>
                <w:sz w:val="20"/>
                <w:szCs w:val="24"/>
              </w:rPr>
              <w:t>Aspiration Therapy</w:t>
            </w:r>
          </w:p>
        </w:tc>
        <w:tc>
          <w:tcPr>
            <w:tcW w:w="63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136,231</w:t>
            </w:r>
          </w:p>
        </w:tc>
        <w:tc>
          <w:tcPr>
            <w:tcW w:w="66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5,318</w:t>
            </w:r>
          </w:p>
        </w:tc>
        <w:tc>
          <w:tcPr>
            <w:tcW w:w="67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18.51</w:t>
            </w:r>
          </w:p>
        </w:tc>
        <w:tc>
          <w:tcPr>
            <w:tcW w:w="912"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w:t>
            </w:r>
            <w:r>
              <w:rPr>
                <w:rFonts w:ascii="Times New Roman" w:hAnsi="Times New Roman" w:cs="Times New Roman"/>
                <w:sz w:val="20"/>
                <w:szCs w:val="24"/>
              </w:rPr>
              <w:t>0.64</w:t>
            </w:r>
          </w:p>
        </w:tc>
        <w:tc>
          <w:tcPr>
            <w:tcW w:w="824"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Dominated</w:t>
            </w:r>
          </w:p>
        </w:tc>
      </w:tr>
      <w:tr w:rsidR="00C869D9" w:rsidRPr="003F4071" w:rsidTr="00CC1723">
        <w:trPr>
          <w:trHeight w:val="264"/>
        </w:trPr>
        <w:tc>
          <w:tcPr>
            <w:tcW w:w="2594" w:type="pct"/>
            <w:gridSpan w:val="3"/>
            <w:tcBorders>
              <w:top w:val="nil"/>
              <w:left w:val="nil"/>
              <w:bottom w:val="nil"/>
              <w:right w:val="nil"/>
            </w:tcBorders>
            <w:noWrap/>
          </w:tcPr>
          <w:p w:rsidR="00C869D9" w:rsidRPr="003F4071" w:rsidRDefault="00C869D9" w:rsidP="00CC1723">
            <w:pPr>
              <w:spacing w:line="276" w:lineRule="auto"/>
              <w:rPr>
                <w:rFonts w:ascii="Times New Roman" w:hAnsi="Times New Roman" w:cs="Times New Roman"/>
                <w:sz w:val="20"/>
                <w:szCs w:val="24"/>
              </w:rPr>
            </w:pPr>
            <w:r>
              <w:rPr>
                <w:rFonts w:ascii="Times New Roman" w:hAnsi="Times New Roman" w:cs="Times New Roman"/>
                <w:b/>
                <w:sz w:val="20"/>
                <w:szCs w:val="24"/>
              </w:rPr>
              <w:t>Panel B:</w:t>
            </w:r>
            <w:r w:rsidRPr="003F4071">
              <w:rPr>
                <w:rFonts w:ascii="Times New Roman" w:hAnsi="Times New Roman" w:cs="Times New Roman"/>
                <w:b/>
                <w:sz w:val="20"/>
                <w:szCs w:val="24"/>
              </w:rPr>
              <w:t xml:space="preserve"> Aspiration therapy vs. No treatment</w:t>
            </w:r>
          </w:p>
        </w:tc>
        <w:tc>
          <w:tcPr>
            <w:tcW w:w="67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p>
        </w:tc>
        <w:tc>
          <w:tcPr>
            <w:tcW w:w="912"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p>
        </w:tc>
        <w:tc>
          <w:tcPr>
            <w:tcW w:w="824"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p>
        </w:tc>
      </w:tr>
      <w:tr w:rsidR="00C869D9" w:rsidRPr="003F4071" w:rsidTr="00CC1723">
        <w:trPr>
          <w:trHeight w:val="264"/>
        </w:trPr>
        <w:tc>
          <w:tcPr>
            <w:tcW w:w="1304" w:type="pct"/>
            <w:tcBorders>
              <w:top w:val="nil"/>
              <w:left w:val="nil"/>
              <w:bottom w:val="nil"/>
              <w:right w:val="nil"/>
            </w:tcBorders>
            <w:noWrap/>
          </w:tcPr>
          <w:p w:rsidR="00C869D9" w:rsidRPr="003F4071" w:rsidRDefault="00C869D9" w:rsidP="00CC1723">
            <w:pPr>
              <w:spacing w:line="276" w:lineRule="auto"/>
              <w:rPr>
                <w:rFonts w:ascii="Times New Roman" w:hAnsi="Times New Roman" w:cs="Times New Roman"/>
                <w:sz w:val="20"/>
                <w:szCs w:val="24"/>
              </w:rPr>
            </w:pPr>
            <w:r w:rsidRPr="003F4071">
              <w:rPr>
                <w:rFonts w:ascii="Times New Roman" w:hAnsi="Times New Roman" w:cs="Times New Roman"/>
                <w:sz w:val="20"/>
                <w:szCs w:val="24"/>
              </w:rPr>
              <w:t>No treatment</w:t>
            </w:r>
          </w:p>
        </w:tc>
        <w:tc>
          <w:tcPr>
            <w:tcW w:w="63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117,357</w:t>
            </w:r>
          </w:p>
        </w:tc>
        <w:tc>
          <w:tcPr>
            <w:tcW w:w="66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0</w:t>
            </w:r>
          </w:p>
        </w:tc>
        <w:tc>
          <w:tcPr>
            <w:tcW w:w="670"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17.98</w:t>
            </w:r>
          </w:p>
        </w:tc>
        <w:tc>
          <w:tcPr>
            <w:tcW w:w="912"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0</w:t>
            </w:r>
          </w:p>
        </w:tc>
        <w:tc>
          <w:tcPr>
            <w:tcW w:w="824" w:type="pct"/>
            <w:tcBorders>
              <w:top w:val="nil"/>
              <w:left w:val="nil"/>
              <w:bottom w:val="nil"/>
              <w:right w:val="nil"/>
            </w:tcBorders>
            <w:noWrap/>
          </w:tcPr>
          <w:p w:rsidR="00C869D9" w:rsidRPr="003F4071" w:rsidRDefault="00C869D9" w:rsidP="00CC1723">
            <w:pPr>
              <w:spacing w:line="276" w:lineRule="auto"/>
              <w:jc w:val="center"/>
              <w:rPr>
                <w:rFonts w:ascii="Times New Roman" w:hAnsi="Times New Roman" w:cs="Times New Roman"/>
                <w:sz w:val="20"/>
                <w:szCs w:val="24"/>
              </w:rPr>
            </w:pPr>
          </w:p>
        </w:tc>
      </w:tr>
      <w:tr w:rsidR="00C869D9" w:rsidRPr="003F4071" w:rsidTr="00CC1723">
        <w:trPr>
          <w:trHeight w:val="264"/>
        </w:trPr>
        <w:tc>
          <w:tcPr>
            <w:tcW w:w="1304" w:type="pct"/>
            <w:tcBorders>
              <w:top w:val="nil"/>
              <w:left w:val="nil"/>
              <w:bottom w:val="single" w:sz="4" w:space="0" w:color="auto"/>
              <w:right w:val="nil"/>
            </w:tcBorders>
            <w:noWrap/>
          </w:tcPr>
          <w:p w:rsidR="00C869D9" w:rsidRPr="003F4071" w:rsidRDefault="00C869D9" w:rsidP="00CC1723">
            <w:pPr>
              <w:spacing w:line="276" w:lineRule="auto"/>
              <w:rPr>
                <w:rFonts w:ascii="Times New Roman" w:hAnsi="Times New Roman" w:cs="Times New Roman"/>
                <w:sz w:val="20"/>
                <w:szCs w:val="24"/>
              </w:rPr>
            </w:pPr>
            <w:r w:rsidRPr="003F4071">
              <w:rPr>
                <w:rFonts w:ascii="Times New Roman" w:hAnsi="Times New Roman" w:cs="Times New Roman"/>
                <w:sz w:val="20"/>
                <w:szCs w:val="24"/>
              </w:rPr>
              <w:t>Aspiration Therapy</w:t>
            </w:r>
          </w:p>
        </w:tc>
        <w:tc>
          <w:tcPr>
            <w:tcW w:w="630" w:type="pct"/>
            <w:tcBorders>
              <w:top w:val="nil"/>
              <w:left w:val="nil"/>
              <w:bottom w:val="single" w:sz="4" w:space="0" w:color="auto"/>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136,231</w:t>
            </w:r>
          </w:p>
        </w:tc>
        <w:tc>
          <w:tcPr>
            <w:tcW w:w="660" w:type="pct"/>
            <w:tcBorders>
              <w:top w:val="nil"/>
              <w:left w:val="nil"/>
              <w:bottom w:val="single" w:sz="4" w:space="0" w:color="auto"/>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sidRPr="003F4071">
              <w:rPr>
                <w:rFonts w:ascii="Times New Roman" w:hAnsi="Times New Roman" w:cs="Times New Roman"/>
                <w:sz w:val="20"/>
                <w:szCs w:val="24"/>
              </w:rPr>
              <w:t>18,875</w:t>
            </w:r>
          </w:p>
        </w:tc>
        <w:tc>
          <w:tcPr>
            <w:tcW w:w="670" w:type="pct"/>
            <w:tcBorders>
              <w:top w:val="nil"/>
              <w:left w:val="nil"/>
              <w:bottom w:val="single" w:sz="4" w:space="0" w:color="auto"/>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18.51</w:t>
            </w:r>
          </w:p>
        </w:tc>
        <w:tc>
          <w:tcPr>
            <w:tcW w:w="912" w:type="pct"/>
            <w:tcBorders>
              <w:top w:val="nil"/>
              <w:left w:val="nil"/>
              <w:bottom w:val="single" w:sz="4" w:space="0" w:color="auto"/>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0.53</w:t>
            </w:r>
          </w:p>
        </w:tc>
        <w:tc>
          <w:tcPr>
            <w:tcW w:w="824" w:type="pct"/>
            <w:tcBorders>
              <w:top w:val="nil"/>
              <w:left w:val="nil"/>
              <w:bottom w:val="single" w:sz="4" w:space="0" w:color="auto"/>
              <w:right w:val="nil"/>
            </w:tcBorders>
            <w:noWrap/>
          </w:tcPr>
          <w:p w:rsidR="00C869D9" w:rsidRPr="003F4071" w:rsidRDefault="00C869D9" w:rsidP="00CC1723">
            <w:pPr>
              <w:spacing w:line="276" w:lineRule="auto"/>
              <w:jc w:val="center"/>
              <w:rPr>
                <w:rFonts w:ascii="Times New Roman" w:hAnsi="Times New Roman" w:cs="Times New Roman"/>
                <w:sz w:val="20"/>
                <w:szCs w:val="24"/>
              </w:rPr>
            </w:pPr>
            <w:r>
              <w:rPr>
                <w:rFonts w:ascii="Times New Roman" w:hAnsi="Times New Roman" w:cs="Times New Roman"/>
                <w:sz w:val="20"/>
                <w:szCs w:val="24"/>
              </w:rPr>
              <w:t>35,803</w:t>
            </w:r>
          </w:p>
        </w:tc>
      </w:tr>
      <w:tr w:rsidR="00C869D9" w:rsidRPr="003F4071" w:rsidTr="00CC1723">
        <w:trPr>
          <w:trHeight w:val="264"/>
        </w:trPr>
        <w:tc>
          <w:tcPr>
            <w:tcW w:w="5000" w:type="pct"/>
            <w:gridSpan w:val="6"/>
            <w:tcBorders>
              <w:top w:val="single" w:sz="4" w:space="0" w:color="auto"/>
              <w:left w:val="nil"/>
              <w:bottom w:val="nil"/>
              <w:right w:val="nil"/>
            </w:tcBorders>
            <w:noWrap/>
            <w:vAlign w:val="bottom"/>
            <w:hideMark/>
          </w:tcPr>
          <w:p w:rsidR="00C869D9" w:rsidRPr="003F4071" w:rsidRDefault="00C869D9" w:rsidP="00CC1723">
            <w:pPr>
              <w:spacing w:line="276" w:lineRule="auto"/>
              <w:rPr>
                <w:rFonts w:ascii="Times New Roman" w:eastAsia="Times New Roman" w:hAnsi="Times New Roman" w:cs="Times New Roman"/>
                <w:sz w:val="20"/>
                <w:szCs w:val="24"/>
                <w:lang w:val="en-US" w:eastAsia="en-SG"/>
              </w:rPr>
            </w:pPr>
            <w:r w:rsidRPr="003F4071">
              <w:rPr>
                <w:rFonts w:ascii="Times New Roman" w:hAnsi="Times New Roman" w:cs="Times New Roman"/>
                <w:sz w:val="20"/>
                <w:szCs w:val="24"/>
                <w:lang w:val="en-US"/>
              </w:rPr>
              <w:t xml:space="preserve">All costs are in 2017 US dollars (US$). </w:t>
            </w:r>
            <w:r w:rsidRPr="003F4071">
              <w:rPr>
                <w:rFonts w:ascii="Times New Roman" w:eastAsia="Times New Roman" w:hAnsi="Times New Roman" w:cs="Times New Roman"/>
                <w:sz w:val="20"/>
                <w:szCs w:val="24"/>
                <w:lang w:val="en-US" w:eastAsia="en-SG"/>
              </w:rPr>
              <w:t>ICER = increm</w:t>
            </w:r>
            <w:r>
              <w:rPr>
                <w:rFonts w:ascii="Times New Roman" w:eastAsia="Times New Roman" w:hAnsi="Times New Roman" w:cs="Times New Roman"/>
                <w:sz w:val="20"/>
                <w:szCs w:val="24"/>
                <w:lang w:val="en-US" w:eastAsia="en-SG"/>
              </w:rPr>
              <w:t>ental cost-effectiveness ratio; LYG = life year gained</w:t>
            </w:r>
          </w:p>
        </w:tc>
      </w:tr>
    </w:tbl>
    <w:p w:rsidR="004672BF" w:rsidRDefault="004672BF">
      <w:pPr>
        <w:rPr>
          <w:rFonts w:ascii="Times New Roman" w:hAnsi="Times New Roman" w:cs="Times New Roman"/>
          <w:sz w:val="24"/>
          <w:szCs w:val="24"/>
        </w:rPr>
      </w:pPr>
    </w:p>
    <w:p w:rsidR="00883CE9" w:rsidRDefault="00883CE9" w:rsidP="0070509C">
      <w:pPr>
        <w:pStyle w:val="Bibliography"/>
      </w:pPr>
    </w:p>
    <w:p w:rsidR="00883CE9" w:rsidRDefault="00883CE9" w:rsidP="005C13D1">
      <w:pPr>
        <w:spacing w:line="480" w:lineRule="auto"/>
      </w:pPr>
    </w:p>
    <w:p w:rsidR="00883CE9" w:rsidRDefault="00883CE9" w:rsidP="005C13D1">
      <w:pPr>
        <w:spacing w:line="480" w:lineRule="auto"/>
      </w:pPr>
    </w:p>
    <w:p w:rsidR="00883CE9" w:rsidRDefault="00883CE9" w:rsidP="005C13D1">
      <w:pPr>
        <w:spacing w:line="480" w:lineRule="auto"/>
      </w:pPr>
    </w:p>
    <w:p w:rsidR="00883CE9" w:rsidRDefault="00883CE9" w:rsidP="005C13D1">
      <w:pPr>
        <w:spacing w:line="480" w:lineRule="auto"/>
        <w:sectPr w:rsidR="00883CE9" w:rsidSect="00626E69">
          <w:type w:val="continuous"/>
          <w:pgSz w:w="11906" w:h="16838" w:code="9"/>
          <w:pgMar w:top="1440" w:right="1276" w:bottom="1440" w:left="1440" w:header="709" w:footer="709" w:gutter="0"/>
          <w:cols w:space="708"/>
          <w:titlePg/>
          <w:docGrid w:linePitch="360"/>
        </w:sectPr>
      </w:pPr>
    </w:p>
    <w:p w:rsidR="00883CE9" w:rsidRPr="00883CE9" w:rsidRDefault="00883CE9" w:rsidP="005C13D1">
      <w:pPr>
        <w:spacing w:line="480" w:lineRule="auto"/>
        <w:rPr>
          <w:rFonts w:ascii="Times New Roman" w:hAnsi="Times New Roman" w:cs="Times New Roman"/>
          <w:b/>
          <w:sz w:val="24"/>
        </w:rPr>
      </w:pPr>
      <w:r w:rsidRPr="00883CE9">
        <w:rPr>
          <w:rFonts w:ascii="Times New Roman" w:hAnsi="Times New Roman" w:cs="Times New Roman"/>
          <w:b/>
          <w:sz w:val="24"/>
        </w:rPr>
        <w:lastRenderedPageBreak/>
        <w:t xml:space="preserve">Figure </w:t>
      </w:r>
      <w:r w:rsidR="00A7340F">
        <w:rPr>
          <w:rFonts w:ascii="Times New Roman" w:hAnsi="Times New Roman" w:cs="Times New Roman"/>
          <w:b/>
          <w:sz w:val="24"/>
        </w:rPr>
        <w:t>F</w:t>
      </w:r>
      <w:r w:rsidRPr="00883CE9">
        <w:rPr>
          <w:rFonts w:ascii="Times New Roman" w:hAnsi="Times New Roman" w:cs="Times New Roman"/>
          <w:b/>
          <w:sz w:val="24"/>
        </w:rPr>
        <w:t>1: Cost Effectiveness Model</w:t>
      </w:r>
    </w:p>
    <w:p w:rsidR="00883CE9" w:rsidRPr="00883CE9" w:rsidRDefault="00883CE9" w:rsidP="005C13D1">
      <w:pPr>
        <w:spacing w:line="480" w:lineRule="auto"/>
        <w:rPr>
          <w:b/>
        </w:rPr>
      </w:pPr>
      <w:r w:rsidRPr="00883CE9">
        <w:rPr>
          <w:rFonts w:ascii="Times New Roman" w:hAnsi="Times New Roman" w:cs="Times New Roman"/>
          <w:b/>
          <w:sz w:val="24"/>
        </w:rPr>
        <w:t>(a) Aspiration Therapy</w:t>
      </w:r>
    </w:p>
    <w:p w:rsidR="00883CE9" w:rsidRDefault="00883CE9" w:rsidP="005C13D1">
      <w:pPr>
        <w:spacing w:line="480" w:lineRule="auto"/>
      </w:pPr>
      <w:r>
        <w:rPr>
          <w:noProof/>
          <w:lang w:val="en-US"/>
        </w:rPr>
        <w:drawing>
          <wp:inline distT="0" distB="0" distL="0" distR="0">
            <wp:extent cx="8863330" cy="476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3330" cy="4765040"/>
                    </a:xfrm>
                    <a:prstGeom prst="rect">
                      <a:avLst/>
                    </a:prstGeom>
                    <a:noFill/>
                    <a:ln>
                      <a:noFill/>
                    </a:ln>
                  </pic:spPr>
                </pic:pic>
              </a:graphicData>
            </a:graphic>
          </wp:inline>
        </w:drawing>
      </w:r>
    </w:p>
    <w:p w:rsidR="00883CE9" w:rsidRPr="00883CE9" w:rsidRDefault="00883CE9" w:rsidP="005C13D1">
      <w:pPr>
        <w:spacing w:line="480" w:lineRule="auto"/>
        <w:rPr>
          <w:rFonts w:ascii="Times New Roman" w:hAnsi="Times New Roman" w:cs="Times New Roman"/>
          <w:b/>
          <w:sz w:val="24"/>
        </w:rPr>
      </w:pPr>
      <w:r w:rsidRPr="00883CE9">
        <w:rPr>
          <w:rFonts w:ascii="Times New Roman" w:hAnsi="Times New Roman" w:cs="Times New Roman"/>
          <w:b/>
          <w:sz w:val="24"/>
        </w:rPr>
        <w:lastRenderedPageBreak/>
        <w:t>(b) Gastric Bypass</w:t>
      </w:r>
    </w:p>
    <w:p w:rsidR="00883CE9" w:rsidRDefault="00883CE9" w:rsidP="005C13D1">
      <w:pPr>
        <w:spacing w:line="480" w:lineRule="auto"/>
        <w:rPr>
          <w:b/>
        </w:rPr>
      </w:pPr>
      <w:r>
        <w:rPr>
          <w:noProof/>
          <w:lang w:val="en-US"/>
        </w:rPr>
        <w:drawing>
          <wp:inline distT="0" distB="0" distL="0" distR="0">
            <wp:extent cx="8519160" cy="5144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1186"/>
                    <a:stretch/>
                  </pic:blipFill>
                  <pic:spPr bwMode="auto">
                    <a:xfrm>
                      <a:off x="0" y="0"/>
                      <a:ext cx="8524006" cy="5147219"/>
                    </a:xfrm>
                    <a:prstGeom prst="rect">
                      <a:avLst/>
                    </a:prstGeom>
                    <a:noFill/>
                    <a:ln>
                      <a:noFill/>
                    </a:ln>
                    <a:extLst>
                      <a:ext uri="{53640926-AAD7-44D8-BBD7-CCE9431645EC}">
                        <a14:shadowObscured xmlns:a14="http://schemas.microsoft.com/office/drawing/2010/main"/>
                      </a:ext>
                    </a:extLst>
                  </pic:spPr>
                </pic:pic>
              </a:graphicData>
            </a:graphic>
          </wp:inline>
        </w:drawing>
      </w:r>
    </w:p>
    <w:p w:rsidR="00C95F31" w:rsidRDefault="00C95F31" w:rsidP="005C13D1">
      <w:pPr>
        <w:spacing w:line="480" w:lineRule="auto"/>
        <w:rPr>
          <w:rFonts w:ascii="Times New Roman" w:hAnsi="Times New Roman" w:cs="Times New Roman"/>
          <w:b/>
          <w:sz w:val="24"/>
        </w:rPr>
      </w:pPr>
      <w:r>
        <w:rPr>
          <w:rFonts w:ascii="Times New Roman" w:hAnsi="Times New Roman" w:cs="Times New Roman"/>
          <w:b/>
          <w:sz w:val="24"/>
        </w:rPr>
        <w:lastRenderedPageBreak/>
        <w:t>(</w:t>
      </w:r>
      <w:r w:rsidR="007A2745">
        <w:rPr>
          <w:rFonts w:ascii="Times New Roman" w:hAnsi="Times New Roman" w:cs="Times New Roman"/>
          <w:b/>
          <w:sz w:val="24"/>
        </w:rPr>
        <w:t>c</w:t>
      </w:r>
      <w:r>
        <w:rPr>
          <w:rFonts w:ascii="Times New Roman" w:hAnsi="Times New Roman" w:cs="Times New Roman"/>
          <w:b/>
          <w:sz w:val="24"/>
        </w:rPr>
        <w:t>) Sleeve Gastrectomy</w:t>
      </w:r>
      <w:r w:rsidR="008F7126">
        <w:rPr>
          <w:noProof/>
          <w:lang w:val="en-US"/>
        </w:rPr>
        <w:drawing>
          <wp:inline distT="0" distB="0" distL="0" distR="0">
            <wp:extent cx="8530738" cy="5318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74658"/>
                    <a:stretch/>
                  </pic:blipFill>
                  <pic:spPr bwMode="auto">
                    <a:xfrm>
                      <a:off x="0" y="0"/>
                      <a:ext cx="8542252" cy="5325939"/>
                    </a:xfrm>
                    <a:prstGeom prst="rect">
                      <a:avLst/>
                    </a:prstGeom>
                    <a:noFill/>
                    <a:ln>
                      <a:noFill/>
                    </a:ln>
                    <a:extLst>
                      <a:ext uri="{53640926-AAD7-44D8-BBD7-CCE9431645EC}">
                        <a14:shadowObscured xmlns:a14="http://schemas.microsoft.com/office/drawing/2010/main"/>
                      </a:ext>
                    </a:extLst>
                  </pic:spPr>
                </pic:pic>
              </a:graphicData>
            </a:graphic>
          </wp:inline>
        </w:drawing>
      </w:r>
    </w:p>
    <w:p w:rsidR="008F7126" w:rsidRDefault="008F7126" w:rsidP="005C13D1">
      <w:pPr>
        <w:spacing w:line="480" w:lineRule="auto"/>
        <w:rPr>
          <w:rFonts w:ascii="Times New Roman" w:hAnsi="Times New Roman" w:cs="Times New Roman"/>
          <w:b/>
          <w:sz w:val="24"/>
        </w:rPr>
      </w:pPr>
      <w:r>
        <w:rPr>
          <w:rFonts w:ascii="Times New Roman" w:hAnsi="Times New Roman" w:cs="Times New Roman"/>
          <w:b/>
          <w:sz w:val="24"/>
        </w:rPr>
        <w:lastRenderedPageBreak/>
        <w:t>(</w:t>
      </w:r>
      <w:r w:rsidR="007A2745">
        <w:rPr>
          <w:rFonts w:ascii="Times New Roman" w:hAnsi="Times New Roman" w:cs="Times New Roman"/>
          <w:b/>
          <w:sz w:val="24"/>
        </w:rPr>
        <w:t>d</w:t>
      </w:r>
      <w:r>
        <w:rPr>
          <w:rFonts w:ascii="Times New Roman" w:hAnsi="Times New Roman" w:cs="Times New Roman"/>
          <w:b/>
          <w:sz w:val="24"/>
        </w:rPr>
        <w:t>) No Treatment</w:t>
      </w:r>
    </w:p>
    <w:p w:rsidR="006F3BC4" w:rsidRDefault="008F7126" w:rsidP="005C13D1">
      <w:pPr>
        <w:spacing w:line="480" w:lineRule="auto"/>
        <w:rPr>
          <w:rFonts w:ascii="Times New Roman" w:hAnsi="Times New Roman" w:cs="Times New Roman"/>
          <w:b/>
          <w:sz w:val="24"/>
        </w:rPr>
      </w:pPr>
      <w:r>
        <w:rPr>
          <w:noProof/>
          <w:lang w:val="en-US"/>
        </w:rPr>
        <w:drawing>
          <wp:inline distT="0" distB="0" distL="0" distR="0">
            <wp:extent cx="7802880" cy="454202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85919"/>
                    <a:stretch/>
                  </pic:blipFill>
                  <pic:spPr bwMode="auto">
                    <a:xfrm>
                      <a:off x="0" y="0"/>
                      <a:ext cx="7812194" cy="4547449"/>
                    </a:xfrm>
                    <a:prstGeom prst="rect">
                      <a:avLst/>
                    </a:prstGeom>
                    <a:noFill/>
                    <a:ln>
                      <a:noFill/>
                    </a:ln>
                    <a:extLst>
                      <a:ext uri="{53640926-AAD7-44D8-BBD7-CCE9431645EC}">
                        <a14:shadowObscured xmlns:a14="http://schemas.microsoft.com/office/drawing/2010/main"/>
                      </a:ext>
                    </a:extLst>
                  </pic:spPr>
                </pic:pic>
              </a:graphicData>
            </a:graphic>
          </wp:inline>
        </w:drawing>
      </w:r>
    </w:p>
    <w:p w:rsidR="006F3BC4" w:rsidRDefault="006F3BC4" w:rsidP="005C13D1">
      <w:pPr>
        <w:spacing w:line="480" w:lineRule="auto"/>
        <w:rPr>
          <w:rFonts w:ascii="Times New Roman" w:hAnsi="Times New Roman" w:cs="Times New Roman"/>
          <w:b/>
          <w:sz w:val="24"/>
        </w:rPr>
      </w:pPr>
    </w:p>
    <w:p w:rsidR="006F3BC4" w:rsidRDefault="006F3BC4" w:rsidP="006F3BC4">
      <w:pPr>
        <w:spacing w:line="480" w:lineRule="auto"/>
        <w:rPr>
          <w:rFonts w:ascii="Times New Roman" w:hAnsi="Times New Roman" w:cs="Times New Roman"/>
          <w:sz w:val="24"/>
          <w:szCs w:val="24"/>
        </w:rPr>
        <w:sectPr w:rsidR="006F3BC4" w:rsidSect="00883CE9">
          <w:type w:val="continuous"/>
          <w:pgSz w:w="16838" w:h="11906" w:orient="landscape" w:code="9"/>
          <w:pgMar w:top="1440" w:right="1440" w:bottom="1276" w:left="1440" w:header="709" w:footer="709" w:gutter="0"/>
          <w:cols w:space="708"/>
          <w:titlePg/>
          <w:docGrid w:linePitch="360"/>
        </w:sectPr>
      </w:pPr>
    </w:p>
    <w:p w:rsidR="006F3BC4" w:rsidRPr="00297135" w:rsidRDefault="006F3BC4" w:rsidP="006F3BC4">
      <w:pPr>
        <w:spacing w:line="480" w:lineRule="auto"/>
        <w:rPr>
          <w:rFonts w:ascii="Times New Roman" w:hAnsi="Times New Roman" w:cs="Times New Roman"/>
          <w:sz w:val="24"/>
          <w:szCs w:val="24"/>
        </w:rPr>
      </w:pPr>
      <w:r w:rsidRPr="00297135">
        <w:rPr>
          <w:rFonts w:ascii="Times New Roman" w:hAnsi="Times New Roman" w:cs="Times New Roman"/>
          <w:sz w:val="24"/>
          <w:szCs w:val="24"/>
        </w:rPr>
        <w:lastRenderedPageBreak/>
        <w:t>REFERENCES</w:t>
      </w:r>
    </w:p>
    <w:p w:rsidR="00CF5313" w:rsidRPr="00CF5313" w:rsidRDefault="006F3BC4" w:rsidP="00CF5313">
      <w:pPr>
        <w:pStyle w:val="Bibliography"/>
        <w:rPr>
          <w:rFonts w:ascii="Times New Roman" w:hAnsi="Times New Roman" w:cs="Times New Roman"/>
          <w:sz w:val="24"/>
        </w:rPr>
      </w:pPr>
      <w:r w:rsidRPr="00297135">
        <w:fldChar w:fldCharType="begin"/>
      </w:r>
      <w:r w:rsidR="00CF5313">
        <w:instrText xml:space="preserve"> ADDIN ZOTERO_BIBL {"uncited":[],"omitted":[],"custom":[]} CSL_BIBLIOGRAPHY </w:instrText>
      </w:r>
      <w:r w:rsidRPr="00297135">
        <w:fldChar w:fldCharType="separate"/>
      </w:r>
      <w:r w:rsidR="00CF5313" w:rsidRPr="00CF5313">
        <w:rPr>
          <w:rFonts w:ascii="Times New Roman" w:hAnsi="Times New Roman" w:cs="Times New Roman"/>
          <w:sz w:val="24"/>
        </w:rPr>
        <w:t xml:space="preserve">1. </w:t>
      </w:r>
      <w:r w:rsidR="00CF5313" w:rsidRPr="00CF5313">
        <w:rPr>
          <w:rFonts w:ascii="Times New Roman" w:hAnsi="Times New Roman" w:cs="Times New Roman"/>
          <w:sz w:val="24"/>
        </w:rPr>
        <w:tab/>
      </w:r>
      <w:proofErr w:type="spellStart"/>
      <w:r w:rsidR="00CF5313" w:rsidRPr="00CF5313">
        <w:rPr>
          <w:rFonts w:ascii="Times New Roman" w:hAnsi="Times New Roman" w:cs="Times New Roman"/>
          <w:sz w:val="24"/>
        </w:rPr>
        <w:t>Nyström</w:t>
      </w:r>
      <w:proofErr w:type="spellEnd"/>
      <w:r w:rsidR="00CF5313" w:rsidRPr="00CF5313">
        <w:rPr>
          <w:rFonts w:ascii="Times New Roman" w:hAnsi="Times New Roman" w:cs="Times New Roman"/>
          <w:sz w:val="24"/>
        </w:rPr>
        <w:t xml:space="preserve"> M, </w:t>
      </w:r>
      <w:proofErr w:type="spellStart"/>
      <w:r w:rsidR="00CF5313" w:rsidRPr="00CF5313">
        <w:rPr>
          <w:rFonts w:ascii="Times New Roman" w:hAnsi="Times New Roman" w:cs="Times New Roman"/>
          <w:sz w:val="24"/>
        </w:rPr>
        <w:t>Machytka</w:t>
      </w:r>
      <w:proofErr w:type="spellEnd"/>
      <w:r w:rsidR="00CF5313" w:rsidRPr="00CF5313">
        <w:rPr>
          <w:rFonts w:ascii="Times New Roman" w:hAnsi="Times New Roman" w:cs="Times New Roman"/>
          <w:sz w:val="24"/>
        </w:rPr>
        <w:t xml:space="preserve"> E, </w:t>
      </w:r>
      <w:proofErr w:type="spellStart"/>
      <w:r w:rsidR="00CF5313" w:rsidRPr="00CF5313">
        <w:rPr>
          <w:rFonts w:ascii="Times New Roman" w:hAnsi="Times New Roman" w:cs="Times New Roman"/>
          <w:sz w:val="24"/>
        </w:rPr>
        <w:t>Norén</w:t>
      </w:r>
      <w:proofErr w:type="spellEnd"/>
      <w:r w:rsidR="00CF5313" w:rsidRPr="00CF5313">
        <w:rPr>
          <w:rFonts w:ascii="Times New Roman" w:hAnsi="Times New Roman" w:cs="Times New Roman"/>
          <w:sz w:val="24"/>
        </w:rPr>
        <w:t xml:space="preserve"> E, </w:t>
      </w:r>
      <w:proofErr w:type="gramStart"/>
      <w:r w:rsidR="00CF5313" w:rsidRPr="00CF5313">
        <w:rPr>
          <w:rFonts w:ascii="Times New Roman" w:hAnsi="Times New Roman" w:cs="Times New Roman"/>
          <w:i/>
          <w:iCs/>
          <w:sz w:val="24"/>
        </w:rPr>
        <w:t>et</w:t>
      </w:r>
      <w:proofErr w:type="gramEnd"/>
      <w:r w:rsidR="00CF5313" w:rsidRPr="00CF5313">
        <w:rPr>
          <w:rFonts w:ascii="Times New Roman" w:hAnsi="Times New Roman" w:cs="Times New Roman"/>
          <w:i/>
          <w:iCs/>
          <w:sz w:val="24"/>
        </w:rPr>
        <w:t xml:space="preserve"> al.</w:t>
      </w:r>
      <w:r w:rsidR="00CF5313" w:rsidRPr="00CF5313">
        <w:rPr>
          <w:rFonts w:ascii="Times New Roman" w:hAnsi="Times New Roman" w:cs="Times New Roman"/>
          <w:sz w:val="24"/>
        </w:rPr>
        <w:t xml:space="preserve"> Aspiration therapy as a tool to treat obesity: 1-to 4-year results in a 201-patient multi-center post-market European Registry Study. Obesity surgery 2018</w:t>
      </w:r>
      <w:proofErr w:type="gramStart"/>
      <w:r w:rsidR="00CF5313" w:rsidRPr="00CF5313">
        <w:rPr>
          <w:rFonts w:ascii="Times New Roman" w:hAnsi="Times New Roman" w:cs="Times New Roman"/>
          <w:sz w:val="24"/>
        </w:rPr>
        <w:t>;1</w:t>
      </w:r>
      <w:proofErr w:type="gramEnd"/>
      <w:r w:rsidR="00CF5313" w:rsidRPr="00CF5313">
        <w:rPr>
          <w:rFonts w:ascii="Times New Roman" w:hAnsi="Times New Roman" w:cs="Times New Roman"/>
          <w:sz w:val="24"/>
        </w:rPr>
        <w:t>–9.</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2. </w:t>
      </w:r>
      <w:r w:rsidRPr="00CF5313">
        <w:rPr>
          <w:rFonts w:ascii="Times New Roman" w:hAnsi="Times New Roman" w:cs="Times New Roman"/>
          <w:sz w:val="24"/>
        </w:rPr>
        <w:tab/>
      </w:r>
      <w:proofErr w:type="spellStart"/>
      <w:r w:rsidRPr="00CF5313">
        <w:rPr>
          <w:rFonts w:ascii="Times New Roman" w:hAnsi="Times New Roman" w:cs="Times New Roman"/>
          <w:sz w:val="24"/>
        </w:rPr>
        <w:t>Salminen</w:t>
      </w:r>
      <w:proofErr w:type="spellEnd"/>
      <w:r w:rsidRPr="00CF5313">
        <w:rPr>
          <w:rFonts w:ascii="Times New Roman" w:hAnsi="Times New Roman" w:cs="Times New Roman"/>
          <w:sz w:val="24"/>
        </w:rPr>
        <w:t xml:space="preserve"> P, </w:t>
      </w:r>
      <w:proofErr w:type="spellStart"/>
      <w:r w:rsidRPr="00CF5313">
        <w:rPr>
          <w:rFonts w:ascii="Times New Roman" w:hAnsi="Times New Roman" w:cs="Times New Roman"/>
          <w:sz w:val="24"/>
        </w:rPr>
        <w:t>Helmiö</w:t>
      </w:r>
      <w:proofErr w:type="spellEnd"/>
      <w:r w:rsidRPr="00CF5313">
        <w:rPr>
          <w:rFonts w:ascii="Times New Roman" w:hAnsi="Times New Roman" w:cs="Times New Roman"/>
          <w:sz w:val="24"/>
        </w:rPr>
        <w:t xml:space="preserve"> M, </w:t>
      </w:r>
      <w:proofErr w:type="spellStart"/>
      <w:proofErr w:type="gramStart"/>
      <w:r w:rsidRPr="00CF5313">
        <w:rPr>
          <w:rFonts w:ascii="Times New Roman" w:hAnsi="Times New Roman" w:cs="Times New Roman"/>
          <w:sz w:val="24"/>
        </w:rPr>
        <w:t>Ovaska</w:t>
      </w:r>
      <w:proofErr w:type="spellEnd"/>
      <w:proofErr w:type="gramEnd"/>
      <w:r w:rsidRPr="00CF5313">
        <w:rPr>
          <w:rFonts w:ascii="Times New Roman" w:hAnsi="Times New Roman" w:cs="Times New Roman"/>
          <w:sz w:val="24"/>
        </w:rPr>
        <w:t xml:space="preserve"> J, </w:t>
      </w:r>
      <w:r w:rsidRPr="00CF5313">
        <w:rPr>
          <w:rFonts w:ascii="Times New Roman" w:hAnsi="Times New Roman" w:cs="Times New Roman"/>
          <w:i/>
          <w:iCs/>
          <w:sz w:val="24"/>
        </w:rPr>
        <w:t>et al.</w:t>
      </w:r>
      <w:r w:rsidRPr="00CF5313">
        <w:rPr>
          <w:rFonts w:ascii="Times New Roman" w:hAnsi="Times New Roman" w:cs="Times New Roman"/>
          <w:sz w:val="24"/>
        </w:rPr>
        <w:t xml:space="preserve"> Effect of laparoscopic sleeve gastrectomy vs laparoscopic Roux-</w:t>
      </w:r>
      <w:proofErr w:type="spellStart"/>
      <w:r w:rsidRPr="00CF5313">
        <w:rPr>
          <w:rFonts w:ascii="Times New Roman" w:hAnsi="Times New Roman" w:cs="Times New Roman"/>
          <w:sz w:val="24"/>
        </w:rPr>
        <w:t>en</w:t>
      </w:r>
      <w:proofErr w:type="spellEnd"/>
      <w:r w:rsidRPr="00CF5313">
        <w:rPr>
          <w:rFonts w:ascii="Times New Roman" w:hAnsi="Times New Roman" w:cs="Times New Roman"/>
          <w:sz w:val="24"/>
        </w:rPr>
        <w:t xml:space="preserve">-Y gastric bypass on weight loss at 5 years among patients with morbid obesity: the SLEEVEPASS randomized clinical trial. </w:t>
      </w:r>
      <w:proofErr w:type="spellStart"/>
      <w:r w:rsidRPr="00CF5313">
        <w:rPr>
          <w:rFonts w:ascii="Times New Roman" w:hAnsi="Times New Roman" w:cs="Times New Roman"/>
          <w:sz w:val="24"/>
        </w:rPr>
        <w:t>Jama</w:t>
      </w:r>
      <w:proofErr w:type="spellEnd"/>
      <w:r w:rsidRPr="00CF5313">
        <w:rPr>
          <w:rFonts w:ascii="Times New Roman" w:hAnsi="Times New Roman" w:cs="Times New Roman"/>
          <w:sz w:val="24"/>
        </w:rPr>
        <w:t xml:space="preserve"> 2018</w:t>
      </w:r>
      <w:proofErr w:type="gramStart"/>
      <w:r w:rsidRPr="00CF5313">
        <w:rPr>
          <w:rFonts w:ascii="Times New Roman" w:hAnsi="Times New Roman" w:cs="Times New Roman"/>
          <w:sz w:val="24"/>
        </w:rPr>
        <w:t>;319:241</w:t>
      </w:r>
      <w:proofErr w:type="gramEnd"/>
      <w:r w:rsidRPr="00CF5313">
        <w:rPr>
          <w:rFonts w:ascii="Times New Roman" w:hAnsi="Times New Roman" w:cs="Times New Roman"/>
          <w:sz w:val="24"/>
        </w:rPr>
        <w:t>–254.</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3. </w:t>
      </w:r>
      <w:r w:rsidRPr="00CF5313">
        <w:rPr>
          <w:rFonts w:ascii="Times New Roman" w:hAnsi="Times New Roman" w:cs="Times New Roman"/>
          <w:sz w:val="24"/>
        </w:rPr>
        <w:tab/>
      </w:r>
      <w:proofErr w:type="spellStart"/>
      <w:r w:rsidRPr="00CF5313">
        <w:rPr>
          <w:rFonts w:ascii="Times New Roman" w:hAnsi="Times New Roman" w:cs="Times New Roman"/>
          <w:sz w:val="24"/>
        </w:rPr>
        <w:t>Lyratzopoulos</w:t>
      </w:r>
      <w:proofErr w:type="spellEnd"/>
      <w:r w:rsidRPr="00CF5313">
        <w:rPr>
          <w:rFonts w:ascii="Times New Roman" w:hAnsi="Times New Roman" w:cs="Times New Roman"/>
          <w:sz w:val="24"/>
        </w:rPr>
        <w:t xml:space="preserve"> G, </w:t>
      </w:r>
      <w:proofErr w:type="spellStart"/>
      <w:r w:rsidRPr="00CF5313">
        <w:rPr>
          <w:rFonts w:ascii="Times New Roman" w:hAnsi="Times New Roman" w:cs="Times New Roman"/>
          <w:sz w:val="24"/>
        </w:rPr>
        <w:t>McElduff</w:t>
      </w:r>
      <w:proofErr w:type="spellEnd"/>
      <w:r w:rsidRPr="00CF5313">
        <w:rPr>
          <w:rFonts w:ascii="Times New Roman" w:hAnsi="Times New Roman" w:cs="Times New Roman"/>
          <w:sz w:val="24"/>
        </w:rPr>
        <w:t xml:space="preserve"> P, Heller RF, </w:t>
      </w:r>
      <w:r w:rsidRPr="00CF5313">
        <w:rPr>
          <w:rFonts w:ascii="Times New Roman" w:hAnsi="Times New Roman" w:cs="Times New Roman"/>
          <w:i/>
          <w:iCs/>
          <w:sz w:val="24"/>
        </w:rPr>
        <w:t>et al.</w:t>
      </w:r>
      <w:r w:rsidRPr="00CF5313">
        <w:rPr>
          <w:rFonts w:ascii="Times New Roman" w:hAnsi="Times New Roman" w:cs="Times New Roman"/>
          <w:sz w:val="24"/>
        </w:rPr>
        <w:t xml:space="preserve"> Mid-term Body Mass Index increase among obese and non-obese individuals in middle life and deprivation status: a cohort study. BMC Public Health 2005</w:t>
      </w:r>
      <w:proofErr w:type="gramStart"/>
      <w:r w:rsidRPr="00CF5313">
        <w:rPr>
          <w:rFonts w:ascii="Times New Roman" w:hAnsi="Times New Roman" w:cs="Times New Roman"/>
          <w:sz w:val="24"/>
        </w:rPr>
        <w:t>;5:32</w:t>
      </w:r>
      <w:proofErr w:type="gramEnd"/>
      <w:r w:rsidRPr="00CF5313">
        <w:rPr>
          <w:rFonts w:ascii="Times New Roman" w:hAnsi="Times New Roman" w:cs="Times New Roman"/>
          <w:sz w:val="24"/>
        </w:rPr>
        <w:t>.</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4. </w:t>
      </w:r>
      <w:r w:rsidRPr="00CF5313">
        <w:rPr>
          <w:rFonts w:ascii="Times New Roman" w:hAnsi="Times New Roman" w:cs="Times New Roman"/>
          <w:sz w:val="24"/>
        </w:rPr>
        <w:tab/>
        <w:t>CDC. Health, United States: Table 058: Normal weight, overweight, and obesity among adults aged 20 and over, by selected characteristics: United States, selected years 1988–1994 through 2013–2016 [Internet]. 2018</w:t>
      </w:r>
      <w:proofErr w:type="gramStart"/>
      <w:r w:rsidRPr="00CF5313">
        <w:rPr>
          <w:rFonts w:ascii="Times New Roman" w:hAnsi="Times New Roman" w:cs="Times New Roman"/>
          <w:sz w:val="24"/>
        </w:rPr>
        <w:t>;[</w:t>
      </w:r>
      <w:proofErr w:type="gramEnd"/>
      <w:r w:rsidRPr="00CF5313">
        <w:rPr>
          <w:rFonts w:ascii="Times New Roman" w:hAnsi="Times New Roman" w:cs="Times New Roman"/>
          <w:sz w:val="24"/>
        </w:rPr>
        <w:t>cited 2018 Oct 20] Available from: https://www.cdc.gov/nchs/hus/contents2017.htm</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5. </w:t>
      </w:r>
      <w:r w:rsidRPr="00CF5313">
        <w:rPr>
          <w:rFonts w:ascii="Times New Roman" w:hAnsi="Times New Roman" w:cs="Times New Roman"/>
          <w:sz w:val="24"/>
        </w:rPr>
        <w:tab/>
      </w:r>
      <w:proofErr w:type="spellStart"/>
      <w:r w:rsidRPr="00CF5313">
        <w:rPr>
          <w:rFonts w:ascii="Times New Roman" w:hAnsi="Times New Roman" w:cs="Times New Roman"/>
          <w:sz w:val="24"/>
        </w:rPr>
        <w:t>Hatoum</w:t>
      </w:r>
      <w:proofErr w:type="spellEnd"/>
      <w:r w:rsidRPr="00CF5313">
        <w:rPr>
          <w:rFonts w:ascii="Times New Roman" w:hAnsi="Times New Roman" w:cs="Times New Roman"/>
          <w:sz w:val="24"/>
        </w:rPr>
        <w:t xml:space="preserve"> IJ, Kaplan LM. Advantages of percent weight loss as a method of reporting weight loss after Roux‐</w:t>
      </w:r>
      <w:proofErr w:type="spellStart"/>
      <w:r w:rsidRPr="00CF5313">
        <w:rPr>
          <w:rFonts w:ascii="Times New Roman" w:hAnsi="Times New Roman" w:cs="Times New Roman"/>
          <w:sz w:val="24"/>
        </w:rPr>
        <w:t>en</w:t>
      </w:r>
      <w:proofErr w:type="spellEnd"/>
      <w:r w:rsidRPr="00CF5313">
        <w:rPr>
          <w:rFonts w:ascii="Times New Roman" w:hAnsi="Times New Roman" w:cs="Times New Roman"/>
          <w:sz w:val="24"/>
        </w:rPr>
        <w:t>‐Y gastric bypass. Obesity 2013</w:t>
      </w:r>
      <w:proofErr w:type="gramStart"/>
      <w:r w:rsidRPr="00CF5313">
        <w:rPr>
          <w:rFonts w:ascii="Times New Roman" w:hAnsi="Times New Roman" w:cs="Times New Roman"/>
          <w:sz w:val="24"/>
        </w:rPr>
        <w:t>;21:1519</w:t>
      </w:r>
      <w:proofErr w:type="gramEnd"/>
      <w:r w:rsidRPr="00CF5313">
        <w:rPr>
          <w:rFonts w:ascii="Times New Roman" w:hAnsi="Times New Roman" w:cs="Times New Roman"/>
          <w:sz w:val="24"/>
        </w:rPr>
        <w:t>–1525.</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6. </w:t>
      </w:r>
      <w:r w:rsidRPr="00CF5313">
        <w:rPr>
          <w:rFonts w:ascii="Times New Roman" w:hAnsi="Times New Roman" w:cs="Times New Roman"/>
          <w:sz w:val="24"/>
        </w:rPr>
        <w:tab/>
        <w:t xml:space="preserve">Aspire Bariatrics. </w:t>
      </w:r>
      <w:proofErr w:type="spellStart"/>
      <w:r w:rsidRPr="00CF5313">
        <w:rPr>
          <w:rFonts w:ascii="Times New Roman" w:hAnsi="Times New Roman" w:cs="Times New Roman"/>
          <w:sz w:val="24"/>
        </w:rPr>
        <w:t>AspireAssist</w:t>
      </w:r>
      <w:proofErr w:type="spellEnd"/>
      <w:r w:rsidRPr="00CF5313">
        <w:rPr>
          <w:rFonts w:ascii="Times New Roman" w:hAnsi="Times New Roman" w:cs="Times New Roman"/>
          <w:sz w:val="24"/>
        </w:rPr>
        <w:t>-Clinician Guide [Internet]. 2015</w:t>
      </w:r>
      <w:proofErr w:type="gramStart"/>
      <w:r w:rsidRPr="00CF5313">
        <w:rPr>
          <w:rFonts w:ascii="Times New Roman" w:hAnsi="Times New Roman" w:cs="Times New Roman"/>
          <w:sz w:val="24"/>
        </w:rPr>
        <w:t>;[</w:t>
      </w:r>
      <w:proofErr w:type="gramEnd"/>
      <w:r w:rsidRPr="00CF5313">
        <w:rPr>
          <w:rFonts w:ascii="Times New Roman" w:hAnsi="Times New Roman" w:cs="Times New Roman"/>
          <w:sz w:val="24"/>
        </w:rPr>
        <w:t>cited 2018 Oct 20] Available from: https://www.accessdata.fda.gov/cdrh_docs/pdf15/p150024d.pdf</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7. </w:t>
      </w:r>
      <w:r w:rsidRPr="00CF5313">
        <w:rPr>
          <w:rFonts w:ascii="Times New Roman" w:hAnsi="Times New Roman" w:cs="Times New Roman"/>
          <w:sz w:val="24"/>
        </w:rPr>
        <w:tab/>
        <w:t>Clinical Practice Guidelines for the Support of the Bariatric Surgery Patient | ASMBS [Internet]. American Society for Metabolic and Bariatric Surgery 2013</w:t>
      </w:r>
      <w:proofErr w:type="gramStart"/>
      <w:r w:rsidRPr="00CF5313">
        <w:rPr>
          <w:rFonts w:ascii="Times New Roman" w:hAnsi="Times New Roman" w:cs="Times New Roman"/>
          <w:sz w:val="24"/>
        </w:rPr>
        <w:t>;[</w:t>
      </w:r>
      <w:proofErr w:type="gramEnd"/>
      <w:r w:rsidRPr="00CF5313">
        <w:rPr>
          <w:rFonts w:ascii="Times New Roman" w:hAnsi="Times New Roman" w:cs="Times New Roman"/>
          <w:sz w:val="24"/>
        </w:rPr>
        <w:t>cited 2019 Mar 27] Available from: https://asmbs.org/resources/clinical-practice-guidelines-for-the-perioperative-nutritional-metabolic-and-nonsurgical-support-of-the-bariatric-surgery-patient</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8. </w:t>
      </w:r>
      <w:r w:rsidRPr="00CF5313">
        <w:rPr>
          <w:rFonts w:ascii="Times New Roman" w:hAnsi="Times New Roman" w:cs="Times New Roman"/>
          <w:sz w:val="24"/>
        </w:rPr>
        <w:tab/>
        <w:t xml:space="preserve">Aspire Bariatrics. </w:t>
      </w:r>
      <w:proofErr w:type="spellStart"/>
      <w:r w:rsidRPr="00CF5313">
        <w:rPr>
          <w:rFonts w:ascii="Times New Roman" w:hAnsi="Times New Roman" w:cs="Times New Roman"/>
          <w:sz w:val="24"/>
        </w:rPr>
        <w:t>AspireAssist</w:t>
      </w:r>
      <w:proofErr w:type="spellEnd"/>
      <w:r w:rsidRPr="00CF5313">
        <w:rPr>
          <w:rFonts w:ascii="Times New Roman" w:hAnsi="Times New Roman" w:cs="Times New Roman"/>
          <w:sz w:val="24"/>
        </w:rPr>
        <w:t>-Patient Guide [Internet]. 2015</w:t>
      </w:r>
      <w:proofErr w:type="gramStart"/>
      <w:r w:rsidRPr="00CF5313">
        <w:rPr>
          <w:rFonts w:ascii="Times New Roman" w:hAnsi="Times New Roman" w:cs="Times New Roman"/>
          <w:sz w:val="24"/>
        </w:rPr>
        <w:t>;[</w:t>
      </w:r>
      <w:proofErr w:type="gramEnd"/>
      <w:r w:rsidRPr="00CF5313">
        <w:rPr>
          <w:rFonts w:ascii="Times New Roman" w:hAnsi="Times New Roman" w:cs="Times New Roman"/>
          <w:sz w:val="24"/>
        </w:rPr>
        <w:t>cited 2018 Oct 20] Available from: https://www.accessdata.fda.gov/cdrh_docs/pdf15/p150024c.pdf</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9. </w:t>
      </w:r>
      <w:r w:rsidRPr="00CF5313">
        <w:rPr>
          <w:rFonts w:ascii="Times New Roman" w:hAnsi="Times New Roman" w:cs="Times New Roman"/>
          <w:sz w:val="24"/>
        </w:rPr>
        <w:tab/>
        <w:t xml:space="preserve">Campbell J, </w:t>
      </w:r>
      <w:proofErr w:type="spellStart"/>
      <w:r w:rsidRPr="00CF5313">
        <w:rPr>
          <w:rFonts w:ascii="Times New Roman" w:hAnsi="Times New Roman" w:cs="Times New Roman"/>
          <w:sz w:val="24"/>
        </w:rPr>
        <w:t>McGarry</w:t>
      </w:r>
      <w:proofErr w:type="spellEnd"/>
      <w:r w:rsidRPr="00CF5313">
        <w:rPr>
          <w:rFonts w:ascii="Times New Roman" w:hAnsi="Times New Roman" w:cs="Times New Roman"/>
          <w:sz w:val="24"/>
        </w:rPr>
        <w:t xml:space="preserve"> LA, </w:t>
      </w:r>
      <w:proofErr w:type="spellStart"/>
      <w:r w:rsidRPr="00CF5313">
        <w:rPr>
          <w:rFonts w:ascii="Times New Roman" w:hAnsi="Times New Roman" w:cs="Times New Roman"/>
          <w:sz w:val="24"/>
        </w:rPr>
        <w:t>Shikora</w:t>
      </w:r>
      <w:proofErr w:type="spellEnd"/>
      <w:r w:rsidRPr="00CF5313">
        <w:rPr>
          <w:rFonts w:ascii="Times New Roman" w:hAnsi="Times New Roman" w:cs="Times New Roman"/>
          <w:sz w:val="24"/>
        </w:rPr>
        <w:t xml:space="preserve"> SA, </w:t>
      </w:r>
      <w:r w:rsidRPr="00CF5313">
        <w:rPr>
          <w:rFonts w:ascii="Times New Roman" w:hAnsi="Times New Roman" w:cs="Times New Roman"/>
          <w:i/>
          <w:iCs/>
          <w:sz w:val="24"/>
        </w:rPr>
        <w:t>et al.</w:t>
      </w:r>
      <w:r w:rsidRPr="00CF5313">
        <w:rPr>
          <w:rFonts w:ascii="Times New Roman" w:hAnsi="Times New Roman" w:cs="Times New Roman"/>
          <w:sz w:val="24"/>
        </w:rPr>
        <w:t xml:space="preserve"> Cost-effectiveness of laparoscopic gastric banding and bypass for morbid obesity. The American journal of managed care 2010</w:t>
      </w:r>
      <w:proofErr w:type="gramStart"/>
      <w:r w:rsidRPr="00CF5313">
        <w:rPr>
          <w:rFonts w:ascii="Times New Roman" w:hAnsi="Times New Roman" w:cs="Times New Roman"/>
          <w:sz w:val="24"/>
        </w:rPr>
        <w:t>;16:e174</w:t>
      </w:r>
      <w:proofErr w:type="gramEnd"/>
      <w:r w:rsidRPr="00CF5313">
        <w:rPr>
          <w:rFonts w:ascii="Times New Roman" w:hAnsi="Times New Roman" w:cs="Times New Roman"/>
          <w:sz w:val="24"/>
        </w:rPr>
        <w:t>-87.</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10. </w:t>
      </w:r>
      <w:r w:rsidRPr="00CF5313">
        <w:rPr>
          <w:rFonts w:ascii="Times New Roman" w:hAnsi="Times New Roman" w:cs="Times New Roman"/>
          <w:sz w:val="24"/>
        </w:rPr>
        <w:tab/>
        <w:t xml:space="preserve">Aspire Bariatrics. The </w:t>
      </w:r>
      <w:proofErr w:type="spellStart"/>
      <w:r w:rsidRPr="00CF5313">
        <w:rPr>
          <w:rFonts w:ascii="Times New Roman" w:hAnsi="Times New Roman" w:cs="Times New Roman"/>
          <w:sz w:val="24"/>
        </w:rPr>
        <w:t>AspireAssist</w:t>
      </w:r>
      <w:proofErr w:type="spellEnd"/>
      <w:r w:rsidRPr="00CF5313">
        <w:rPr>
          <w:rFonts w:ascii="Times New Roman" w:hAnsi="Times New Roman" w:cs="Times New Roman"/>
          <w:sz w:val="24"/>
        </w:rPr>
        <w:t xml:space="preserve"> [Internet]. </w:t>
      </w:r>
      <w:proofErr w:type="spellStart"/>
      <w:r w:rsidRPr="00CF5313">
        <w:rPr>
          <w:rFonts w:ascii="Times New Roman" w:hAnsi="Times New Roman" w:cs="Times New Roman"/>
          <w:sz w:val="24"/>
        </w:rPr>
        <w:t>AspireAssist</w:t>
      </w:r>
      <w:proofErr w:type="spellEnd"/>
      <w:r w:rsidRPr="00CF5313">
        <w:rPr>
          <w:rFonts w:ascii="Times New Roman" w:hAnsi="Times New Roman" w:cs="Times New Roman"/>
          <w:sz w:val="24"/>
        </w:rPr>
        <w:t xml:space="preserve"> Non-Surgical Weight Loss Procedure 2017</w:t>
      </w:r>
      <w:proofErr w:type="gramStart"/>
      <w:r w:rsidRPr="00CF5313">
        <w:rPr>
          <w:rFonts w:ascii="Times New Roman" w:hAnsi="Times New Roman" w:cs="Times New Roman"/>
          <w:sz w:val="24"/>
        </w:rPr>
        <w:t>;[</w:t>
      </w:r>
      <w:proofErr w:type="gramEnd"/>
      <w:r w:rsidRPr="00CF5313">
        <w:rPr>
          <w:rFonts w:ascii="Times New Roman" w:hAnsi="Times New Roman" w:cs="Times New Roman"/>
          <w:sz w:val="24"/>
        </w:rPr>
        <w:t>cited 2018 Oct 21] Available from: https://www.aspirebariatrics.com/about-the-aspireassist/</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11. </w:t>
      </w:r>
      <w:r w:rsidRPr="00CF5313">
        <w:rPr>
          <w:rFonts w:ascii="Times New Roman" w:hAnsi="Times New Roman" w:cs="Times New Roman"/>
          <w:sz w:val="24"/>
        </w:rPr>
        <w:tab/>
      </w:r>
      <w:proofErr w:type="spellStart"/>
      <w:r w:rsidRPr="00CF5313">
        <w:rPr>
          <w:rFonts w:ascii="Times New Roman" w:hAnsi="Times New Roman" w:cs="Times New Roman"/>
          <w:sz w:val="24"/>
        </w:rPr>
        <w:t>Peterli</w:t>
      </w:r>
      <w:proofErr w:type="spellEnd"/>
      <w:r w:rsidRPr="00CF5313">
        <w:rPr>
          <w:rFonts w:ascii="Times New Roman" w:hAnsi="Times New Roman" w:cs="Times New Roman"/>
          <w:sz w:val="24"/>
        </w:rPr>
        <w:t xml:space="preserve"> R, </w:t>
      </w:r>
      <w:proofErr w:type="spellStart"/>
      <w:r w:rsidRPr="00CF5313">
        <w:rPr>
          <w:rFonts w:ascii="Times New Roman" w:hAnsi="Times New Roman" w:cs="Times New Roman"/>
          <w:sz w:val="24"/>
        </w:rPr>
        <w:t>Wölnerhanssen</w:t>
      </w:r>
      <w:proofErr w:type="spellEnd"/>
      <w:r w:rsidRPr="00CF5313">
        <w:rPr>
          <w:rFonts w:ascii="Times New Roman" w:hAnsi="Times New Roman" w:cs="Times New Roman"/>
          <w:sz w:val="24"/>
        </w:rPr>
        <w:t xml:space="preserve"> BK, Peters T, </w:t>
      </w:r>
      <w:r w:rsidRPr="00CF5313">
        <w:rPr>
          <w:rFonts w:ascii="Times New Roman" w:hAnsi="Times New Roman" w:cs="Times New Roman"/>
          <w:i/>
          <w:iCs/>
          <w:sz w:val="24"/>
        </w:rPr>
        <w:t>et al.</w:t>
      </w:r>
      <w:r w:rsidRPr="00CF5313">
        <w:rPr>
          <w:rFonts w:ascii="Times New Roman" w:hAnsi="Times New Roman" w:cs="Times New Roman"/>
          <w:sz w:val="24"/>
        </w:rPr>
        <w:t xml:space="preserve"> Effect of laparoscopic sleeve gastrectomy vs laparoscopic Roux-</w:t>
      </w:r>
      <w:proofErr w:type="spellStart"/>
      <w:r w:rsidRPr="00CF5313">
        <w:rPr>
          <w:rFonts w:ascii="Times New Roman" w:hAnsi="Times New Roman" w:cs="Times New Roman"/>
          <w:sz w:val="24"/>
        </w:rPr>
        <w:t>en</w:t>
      </w:r>
      <w:proofErr w:type="spellEnd"/>
      <w:r w:rsidRPr="00CF5313">
        <w:rPr>
          <w:rFonts w:ascii="Times New Roman" w:hAnsi="Times New Roman" w:cs="Times New Roman"/>
          <w:sz w:val="24"/>
        </w:rPr>
        <w:t xml:space="preserve">-Y gastric bypass on weight loss in patients with morbid obesity: the SM-BOSS randomized clinical trial. </w:t>
      </w:r>
      <w:proofErr w:type="spellStart"/>
      <w:r w:rsidRPr="00CF5313">
        <w:rPr>
          <w:rFonts w:ascii="Times New Roman" w:hAnsi="Times New Roman" w:cs="Times New Roman"/>
          <w:sz w:val="24"/>
        </w:rPr>
        <w:t>Jama</w:t>
      </w:r>
      <w:proofErr w:type="spellEnd"/>
      <w:r w:rsidRPr="00CF5313">
        <w:rPr>
          <w:rFonts w:ascii="Times New Roman" w:hAnsi="Times New Roman" w:cs="Times New Roman"/>
          <w:sz w:val="24"/>
        </w:rPr>
        <w:t xml:space="preserve"> 2018</w:t>
      </w:r>
      <w:proofErr w:type="gramStart"/>
      <w:r w:rsidRPr="00CF5313">
        <w:rPr>
          <w:rFonts w:ascii="Times New Roman" w:hAnsi="Times New Roman" w:cs="Times New Roman"/>
          <w:sz w:val="24"/>
        </w:rPr>
        <w:t>;319:255</w:t>
      </w:r>
      <w:proofErr w:type="gramEnd"/>
      <w:r w:rsidRPr="00CF5313">
        <w:rPr>
          <w:rFonts w:ascii="Times New Roman" w:hAnsi="Times New Roman" w:cs="Times New Roman"/>
          <w:sz w:val="24"/>
        </w:rPr>
        <w:t>–265.</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t xml:space="preserve">12. </w:t>
      </w:r>
      <w:r w:rsidRPr="00CF5313">
        <w:rPr>
          <w:rFonts w:ascii="Times New Roman" w:hAnsi="Times New Roman" w:cs="Times New Roman"/>
          <w:sz w:val="24"/>
        </w:rPr>
        <w:tab/>
      </w:r>
      <w:proofErr w:type="spellStart"/>
      <w:r w:rsidRPr="00CF5313">
        <w:rPr>
          <w:rFonts w:ascii="Times New Roman" w:hAnsi="Times New Roman" w:cs="Times New Roman"/>
          <w:sz w:val="24"/>
        </w:rPr>
        <w:t>Osland</w:t>
      </w:r>
      <w:proofErr w:type="spellEnd"/>
      <w:r w:rsidRPr="00CF5313">
        <w:rPr>
          <w:rFonts w:ascii="Times New Roman" w:hAnsi="Times New Roman" w:cs="Times New Roman"/>
          <w:sz w:val="24"/>
        </w:rPr>
        <w:t xml:space="preserve"> E, </w:t>
      </w:r>
      <w:proofErr w:type="spellStart"/>
      <w:r w:rsidRPr="00CF5313">
        <w:rPr>
          <w:rFonts w:ascii="Times New Roman" w:hAnsi="Times New Roman" w:cs="Times New Roman"/>
          <w:sz w:val="24"/>
        </w:rPr>
        <w:t>Yunus</w:t>
      </w:r>
      <w:proofErr w:type="spellEnd"/>
      <w:r w:rsidRPr="00CF5313">
        <w:rPr>
          <w:rFonts w:ascii="Times New Roman" w:hAnsi="Times New Roman" w:cs="Times New Roman"/>
          <w:sz w:val="24"/>
        </w:rPr>
        <w:t xml:space="preserve"> RM, Khan S, </w:t>
      </w:r>
      <w:r w:rsidRPr="00CF5313">
        <w:rPr>
          <w:rFonts w:ascii="Times New Roman" w:hAnsi="Times New Roman" w:cs="Times New Roman"/>
          <w:i/>
          <w:iCs/>
          <w:sz w:val="24"/>
        </w:rPr>
        <w:t>et al.</w:t>
      </w:r>
      <w:r w:rsidRPr="00CF5313">
        <w:rPr>
          <w:rFonts w:ascii="Times New Roman" w:hAnsi="Times New Roman" w:cs="Times New Roman"/>
          <w:sz w:val="24"/>
        </w:rPr>
        <w:t xml:space="preserve"> Postoperative early major and minor complications in laparoscopic vertical sleeve gastrectomy (LVSG) versus laparoscopic Roux-</w:t>
      </w:r>
      <w:proofErr w:type="spellStart"/>
      <w:r w:rsidRPr="00CF5313">
        <w:rPr>
          <w:rFonts w:ascii="Times New Roman" w:hAnsi="Times New Roman" w:cs="Times New Roman"/>
          <w:sz w:val="24"/>
        </w:rPr>
        <w:t>en</w:t>
      </w:r>
      <w:proofErr w:type="spellEnd"/>
      <w:r w:rsidRPr="00CF5313">
        <w:rPr>
          <w:rFonts w:ascii="Times New Roman" w:hAnsi="Times New Roman" w:cs="Times New Roman"/>
          <w:sz w:val="24"/>
        </w:rPr>
        <w:t>-Y gastric bypass (LRYGB) procedures: a meta-analysis and systematic review. Obesity surgery 2016</w:t>
      </w:r>
      <w:proofErr w:type="gramStart"/>
      <w:r w:rsidRPr="00CF5313">
        <w:rPr>
          <w:rFonts w:ascii="Times New Roman" w:hAnsi="Times New Roman" w:cs="Times New Roman"/>
          <w:sz w:val="24"/>
        </w:rPr>
        <w:t>;26:2273</w:t>
      </w:r>
      <w:proofErr w:type="gramEnd"/>
      <w:r w:rsidRPr="00CF5313">
        <w:rPr>
          <w:rFonts w:ascii="Times New Roman" w:hAnsi="Times New Roman" w:cs="Times New Roman"/>
          <w:sz w:val="24"/>
        </w:rPr>
        <w:t>–2284.</w:t>
      </w:r>
    </w:p>
    <w:p w:rsidR="00CF5313" w:rsidRPr="00CF5313" w:rsidRDefault="00CF5313" w:rsidP="00CF5313">
      <w:pPr>
        <w:pStyle w:val="Bibliography"/>
        <w:rPr>
          <w:rFonts w:ascii="Times New Roman" w:hAnsi="Times New Roman" w:cs="Times New Roman"/>
          <w:sz w:val="24"/>
        </w:rPr>
      </w:pPr>
      <w:r w:rsidRPr="00CF5313">
        <w:rPr>
          <w:rFonts w:ascii="Times New Roman" w:hAnsi="Times New Roman" w:cs="Times New Roman"/>
          <w:sz w:val="24"/>
        </w:rPr>
        <w:lastRenderedPageBreak/>
        <w:t xml:space="preserve">13. </w:t>
      </w:r>
      <w:r w:rsidRPr="00CF5313">
        <w:rPr>
          <w:rFonts w:ascii="Times New Roman" w:hAnsi="Times New Roman" w:cs="Times New Roman"/>
          <w:sz w:val="24"/>
        </w:rPr>
        <w:tab/>
      </w:r>
      <w:proofErr w:type="spellStart"/>
      <w:r w:rsidRPr="00CF5313">
        <w:rPr>
          <w:rFonts w:ascii="Times New Roman" w:hAnsi="Times New Roman" w:cs="Times New Roman"/>
          <w:sz w:val="24"/>
        </w:rPr>
        <w:t>Osland</w:t>
      </w:r>
      <w:proofErr w:type="spellEnd"/>
      <w:r w:rsidRPr="00CF5313">
        <w:rPr>
          <w:rFonts w:ascii="Times New Roman" w:hAnsi="Times New Roman" w:cs="Times New Roman"/>
          <w:sz w:val="24"/>
        </w:rPr>
        <w:t xml:space="preserve"> E, </w:t>
      </w:r>
      <w:proofErr w:type="spellStart"/>
      <w:r w:rsidRPr="00CF5313">
        <w:rPr>
          <w:rFonts w:ascii="Times New Roman" w:hAnsi="Times New Roman" w:cs="Times New Roman"/>
          <w:sz w:val="24"/>
        </w:rPr>
        <w:t>Yunus</w:t>
      </w:r>
      <w:proofErr w:type="spellEnd"/>
      <w:r w:rsidRPr="00CF5313">
        <w:rPr>
          <w:rFonts w:ascii="Times New Roman" w:hAnsi="Times New Roman" w:cs="Times New Roman"/>
          <w:sz w:val="24"/>
        </w:rPr>
        <w:t xml:space="preserve"> RM, Khan S, </w:t>
      </w:r>
      <w:r w:rsidRPr="00CF5313">
        <w:rPr>
          <w:rFonts w:ascii="Times New Roman" w:hAnsi="Times New Roman" w:cs="Times New Roman"/>
          <w:i/>
          <w:iCs/>
          <w:sz w:val="24"/>
        </w:rPr>
        <w:t>et al.</w:t>
      </w:r>
      <w:r w:rsidRPr="00CF5313">
        <w:rPr>
          <w:rFonts w:ascii="Times New Roman" w:hAnsi="Times New Roman" w:cs="Times New Roman"/>
          <w:sz w:val="24"/>
        </w:rPr>
        <w:t xml:space="preserve"> Late postoperative complications in laparoscopic sleeve gastrectomy (LVSG) versus laparoscopic Roux-</w:t>
      </w:r>
      <w:proofErr w:type="spellStart"/>
      <w:r w:rsidRPr="00CF5313">
        <w:rPr>
          <w:rFonts w:ascii="Times New Roman" w:hAnsi="Times New Roman" w:cs="Times New Roman"/>
          <w:sz w:val="24"/>
        </w:rPr>
        <w:t>en</w:t>
      </w:r>
      <w:proofErr w:type="spellEnd"/>
      <w:r w:rsidRPr="00CF5313">
        <w:rPr>
          <w:rFonts w:ascii="Times New Roman" w:hAnsi="Times New Roman" w:cs="Times New Roman"/>
          <w:sz w:val="24"/>
        </w:rPr>
        <w:t>-Y gastric bypass (LRYGB): meta-analysis and systematic review. Surgical Laparoscopy Endoscopy &amp; Percutaneous Techniques 2016</w:t>
      </w:r>
      <w:proofErr w:type="gramStart"/>
      <w:r w:rsidRPr="00CF5313">
        <w:rPr>
          <w:rFonts w:ascii="Times New Roman" w:hAnsi="Times New Roman" w:cs="Times New Roman"/>
          <w:sz w:val="24"/>
        </w:rPr>
        <w:t>;26:193</w:t>
      </w:r>
      <w:proofErr w:type="gramEnd"/>
      <w:r w:rsidRPr="00CF5313">
        <w:rPr>
          <w:rFonts w:ascii="Times New Roman" w:hAnsi="Times New Roman" w:cs="Times New Roman"/>
          <w:sz w:val="24"/>
        </w:rPr>
        <w:t>–201.</w:t>
      </w:r>
    </w:p>
    <w:p w:rsidR="006F3BC4" w:rsidRPr="00883CE9" w:rsidRDefault="006F3BC4" w:rsidP="006F3BC4">
      <w:pPr>
        <w:spacing w:line="480" w:lineRule="auto"/>
        <w:rPr>
          <w:rFonts w:ascii="Times New Roman" w:hAnsi="Times New Roman" w:cs="Times New Roman"/>
          <w:b/>
          <w:sz w:val="24"/>
        </w:rPr>
      </w:pPr>
      <w:r w:rsidRPr="00297135">
        <w:rPr>
          <w:rFonts w:ascii="Times New Roman" w:hAnsi="Times New Roman" w:cs="Times New Roman"/>
          <w:sz w:val="24"/>
          <w:szCs w:val="24"/>
        </w:rPr>
        <w:fldChar w:fldCharType="end"/>
      </w:r>
    </w:p>
    <w:sectPr w:rsidR="006F3BC4" w:rsidRPr="00883CE9" w:rsidSect="006F3BC4">
      <w:type w:val="continuous"/>
      <w:pgSz w:w="11906" w:h="16838" w:code="9"/>
      <w:pgMar w:top="1440" w:right="1282"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F8" w:rsidRDefault="00F52AF8" w:rsidP="005C13D1">
      <w:pPr>
        <w:spacing w:after="0" w:line="240" w:lineRule="auto"/>
      </w:pPr>
      <w:r>
        <w:separator/>
      </w:r>
    </w:p>
  </w:endnote>
  <w:endnote w:type="continuationSeparator" w:id="0">
    <w:p w:rsidR="00F52AF8" w:rsidRDefault="00F52AF8" w:rsidP="005C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F8" w:rsidRDefault="00F52AF8" w:rsidP="005C13D1">
      <w:pPr>
        <w:spacing w:after="0" w:line="240" w:lineRule="auto"/>
      </w:pPr>
      <w:r>
        <w:separator/>
      </w:r>
    </w:p>
  </w:footnote>
  <w:footnote w:type="continuationSeparator" w:id="0">
    <w:p w:rsidR="00F52AF8" w:rsidRDefault="00F52AF8" w:rsidP="005C13D1">
      <w:pPr>
        <w:spacing w:after="0" w:line="240" w:lineRule="auto"/>
      </w:pPr>
      <w:r>
        <w:continuationSeparator/>
      </w:r>
    </w:p>
  </w:footnote>
  <w:footnote w:id="1">
    <w:p w:rsidR="005C13D1" w:rsidRPr="00E64489" w:rsidRDefault="005C13D1" w:rsidP="005C13D1">
      <w:pPr>
        <w:pStyle w:val="FootnoteText"/>
        <w:rPr>
          <w:rFonts w:ascii="Times New Roman" w:hAnsi="Times New Roman" w:cs="Times New Roman"/>
          <w:sz w:val="18"/>
        </w:rPr>
      </w:pPr>
      <w:r w:rsidRPr="007B09A7">
        <w:rPr>
          <w:rStyle w:val="FootnoteReference"/>
        </w:rPr>
        <w:footnoteRef/>
      </w:r>
      <w:r w:rsidRPr="00E64489">
        <w:rPr>
          <w:rFonts w:ascii="Times New Roman" w:hAnsi="Times New Roman" w:cs="Times New Roman"/>
          <w:sz w:val="18"/>
        </w:rPr>
        <w:t xml:space="preserve"> %EWL was converted into change in BMI using the formula</w:t>
      </w:r>
      <w:proofErr w:type="gramStart"/>
      <w:r w:rsidRPr="00E64489">
        <w:rPr>
          <w:rFonts w:ascii="Times New Roman" w:hAnsi="Times New Roman" w:cs="Times New Roman"/>
          <w:sz w:val="18"/>
        </w:rPr>
        <w:t>:</w:t>
      </w:r>
      <w:r w:rsidRPr="00E64489">
        <w:rPr>
          <w:rFonts w:ascii="Times New Roman" w:hAnsi="Times New Roman" w:cs="Times New Roman"/>
          <w:sz w:val="32"/>
        </w:rPr>
        <w:t xml:space="preserve"> </w:t>
      </w:r>
      <m:oMath>
        <m:r>
          <w:rPr>
            <w:rFonts w:ascii="Cambria Math" w:hAnsi="Cambria Math" w:cs="Times New Roman"/>
            <w:sz w:val="18"/>
          </w:rPr>
          <m:t>%</m:t>
        </m:r>
        <w:proofErr w:type="gramEnd"/>
        <m:r>
          <w:rPr>
            <w:rFonts w:ascii="Cambria Math" w:hAnsi="Cambria Math" w:cs="Times New Roman"/>
            <w:sz w:val="18"/>
          </w:rPr>
          <m:t>EWL=</m:t>
        </m:r>
        <m:f>
          <m:fPr>
            <m:ctrlPr>
              <w:rPr>
                <w:rFonts w:ascii="Cambria Math" w:hAnsi="Cambria Math" w:cs="Times New Roman"/>
                <w:i/>
                <w:sz w:val="18"/>
              </w:rPr>
            </m:ctrlPr>
          </m:fPr>
          <m:num>
            <m:r>
              <w:rPr>
                <w:rFonts w:ascii="Cambria Math" w:hAnsi="Cambria Math" w:cs="Times New Roman"/>
                <w:sz w:val="18"/>
              </w:rPr>
              <m:t>Initial BMI - Final BMI</m:t>
            </m:r>
          </m:num>
          <m:den>
            <m:r>
              <w:rPr>
                <w:rFonts w:ascii="Cambria Math" w:hAnsi="Cambria Math" w:cs="Times New Roman"/>
                <w:sz w:val="18"/>
              </w:rPr>
              <m:t>Initial BMI - Target BMI</m:t>
            </m:r>
          </m:den>
        </m:f>
      </m:oMath>
      <w:r>
        <w:rPr>
          <w:rFonts w:ascii="Times New Roman" w:eastAsiaTheme="minorEastAsia" w:hAnsi="Times New Roman" w:cs="Times New Roman"/>
          <w:sz w:val="18"/>
        </w:rPr>
        <w:t xml:space="preserve"> . As is frequently done in the literature, </w:t>
      </w:r>
      <w:r w:rsidRPr="00E64489">
        <w:rPr>
          <w:rFonts w:ascii="Times New Roman" w:eastAsiaTheme="minorEastAsia" w:hAnsi="Times New Roman" w:cs="Times New Roman"/>
          <w:sz w:val="18"/>
        </w:rPr>
        <w:t>BMI of 25 kg/ m</w:t>
      </w:r>
      <w:r w:rsidRPr="00E64489">
        <w:rPr>
          <w:rFonts w:ascii="Times New Roman" w:eastAsiaTheme="minorEastAsia" w:hAnsi="Times New Roman" w:cs="Times New Roman"/>
          <w:sz w:val="18"/>
          <w:vertAlign w:val="superscript"/>
        </w:rPr>
        <w:t>2</w:t>
      </w:r>
      <w:r w:rsidRPr="00E64489">
        <w:rPr>
          <w:rFonts w:ascii="Times New Roman" w:eastAsiaTheme="minorEastAsia" w:hAnsi="Times New Roman" w:cs="Times New Roman"/>
          <w:sz w:val="18"/>
        </w:rPr>
        <w:t>, the upper bound normal BMI, was used as the target BMI)</w:t>
      </w:r>
      <w:r w:rsidRPr="00E64489">
        <w:rPr>
          <w:rFonts w:ascii="Times New Roman" w:eastAsiaTheme="minorEastAsia" w:hAnsi="Times New Roman" w:cs="Times New Roman"/>
          <w:sz w:val="18"/>
        </w:rPr>
        <w:fldChar w:fldCharType="begin"/>
      </w:r>
      <w:r w:rsidR="009F4A45">
        <w:rPr>
          <w:rFonts w:ascii="Times New Roman" w:eastAsiaTheme="minorEastAsia" w:hAnsi="Times New Roman" w:cs="Times New Roman"/>
          <w:sz w:val="18"/>
        </w:rPr>
        <w:instrText xml:space="preserve"> ADDIN ZOTERO_ITEM CSL_CITATION {"citationID":"cN5DOThZ","properties":{"formattedCitation":"(5)","plainCitation":"(5)","noteIndex":1},"citationItems":[{"id":796,"uris":["http://zotero.org/users/4010183/items/XAEC3FWE"],"uri":["http://zotero.org/users/4010183/items/XAEC3FWE"],"itemData":{"id":796,"type":"article-journal","title":"Advantages of percent weight loss as a method of reporting weight loss after Roux‐en‐Y gastric bypass","container-title":"Obesity","page":"1519-1525","volume":"21","issue":"8","author":[{"family":"Hatoum","given":"Ida J."},{"family":"Kaplan","given":"Lee M."}],"issued":{"date-parts":[["2013"]]}}}],"schema":"https://github.com/citation-style-language/schema/raw/master/csl-citation.json"} </w:instrText>
      </w:r>
      <w:r w:rsidRPr="00E64489">
        <w:rPr>
          <w:rFonts w:ascii="Times New Roman" w:eastAsiaTheme="minorEastAsia" w:hAnsi="Times New Roman" w:cs="Times New Roman"/>
          <w:sz w:val="18"/>
        </w:rPr>
        <w:fldChar w:fldCharType="separate"/>
      </w:r>
      <w:r w:rsidR="009F4A45" w:rsidRPr="009F4A45">
        <w:rPr>
          <w:rFonts w:ascii="Times New Roman" w:hAnsi="Times New Roman" w:cs="Times New Roman"/>
          <w:sz w:val="18"/>
        </w:rPr>
        <w:t>(5)</w:t>
      </w:r>
      <w:r w:rsidRPr="00E64489">
        <w:rPr>
          <w:rFonts w:ascii="Times New Roman" w:eastAsiaTheme="minorEastAsia" w:hAnsi="Times New Roman" w:cs="Times New Roman"/>
          <w:sz w:val="18"/>
        </w:rPr>
        <w:fldChar w:fldCharType="end"/>
      </w:r>
      <w:r>
        <w:rPr>
          <w:rFonts w:ascii="Times New Roman" w:eastAsiaTheme="minorEastAsia" w:hAnsi="Times New Roman" w:cs="Times New Roman"/>
          <w:sz w:val="18"/>
        </w:rPr>
        <w:t>.</w:t>
      </w:r>
    </w:p>
    <w:p w:rsidR="005C13D1" w:rsidRDefault="005C13D1" w:rsidP="005C13D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D1"/>
    <w:rsid w:val="00047305"/>
    <w:rsid w:val="00070EBB"/>
    <w:rsid w:val="00071DD0"/>
    <w:rsid w:val="00084636"/>
    <w:rsid w:val="0008541F"/>
    <w:rsid w:val="000B48A8"/>
    <w:rsid w:val="000F1089"/>
    <w:rsid w:val="000F4A58"/>
    <w:rsid w:val="00147005"/>
    <w:rsid w:val="00155D0B"/>
    <w:rsid w:val="001E5212"/>
    <w:rsid w:val="001E6C89"/>
    <w:rsid w:val="002474B9"/>
    <w:rsid w:val="00277E3A"/>
    <w:rsid w:val="00290C04"/>
    <w:rsid w:val="00297135"/>
    <w:rsid w:val="002A1434"/>
    <w:rsid w:val="002A3ADE"/>
    <w:rsid w:val="00341A02"/>
    <w:rsid w:val="003C2835"/>
    <w:rsid w:val="00461756"/>
    <w:rsid w:val="004672BF"/>
    <w:rsid w:val="004F5847"/>
    <w:rsid w:val="00500688"/>
    <w:rsid w:val="0050408E"/>
    <w:rsid w:val="005122D3"/>
    <w:rsid w:val="00580627"/>
    <w:rsid w:val="00586AA0"/>
    <w:rsid w:val="005C13D1"/>
    <w:rsid w:val="005E49BD"/>
    <w:rsid w:val="005E5ED8"/>
    <w:rsid w:val="00626E69"/>
    <w:rsid w:val="00630E58"/>
    <w:rsid w:val="00645285"/>
    <w:rsid w:val="00656979"/>
    <w:rsid w:val="00663527"/>
    <w:rsid w:val="00694985"/>
    <w:rsid w:val="00694C4C"/>
    <w:rsid w:val="006C33B3"/>
    <w:rsid w:val="006D11C6"/>
    <w:rsid w:val="006F3BC4"/>
    <w:rsid w:val="0070509C"/>
    <w:rsid w:val="00784873"/>
    <w:rsid w:val="007A2745"/>
    <w:rsid w:val="007B09A7"/>
    <w:rsid w:val="00883CE9"/>
    <w:rsid w:val="008F7126"/>
    <w:rsid w:val="00937459"/>
    <w:rsid w:val="00961746"/>
    <w:rsid w:val="00962028"/>
    <w:rsid w:val="009A0F13"/>
    <w:rsid w:val="009B7424"/>
    <w:rsid w:val="009D5E46"/>
    <w:rsid w:val="009F4A45"/>
    <w:rsid w:val="00A2173B"/>
    <w:rsid w:val="00A7340F"/>
    <w:rsid w:val="00AB1E39"/>
    <w:rsid w:val="00AF3AB8"/>
    <w:rsid w:val="00BF5283"/>
    <w:rsid w:val="00C80173"/>
    <w:rsid w:val="00C869D9"/>
    <w:rsid w:val="00C95F31"/>
    <w:rsid w:val="00C9657A"/>
    <w:rsid w:val="00CB5512"/>
    <w:rsid w:val="00CB72AC"/>
    <w:rsid w:val="00CE2114"/>
    <w:rsid w:val="00CF5009"/>
    <w:rsid w:val="00CF5313"/>
    <w:rsid w:val="00D970AB"/>
    <w:rsid w:val="00ED08F2"/>
    <w:rsid w:val="00EE1698"/>
    <w:rsid w:val="00EE5068"/>
    <w:rsid w:val="00F06CB0"/>
    <w:rsid w:val="00F52AF8"/>
    <w:rsid w:val="00F575A1"/>
    <w:rsid w:val="00F75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1B279-A43F-495F-97DE-A7761362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C13D1"/>
    <w:pPr>
      <w:spacing w:after="0" w:line="240" w:lineRule="auto"/>
    </w:pPr>
    <w:rPr>
      <w:rFonts w:ascii="Calibri" w:eastAsia="Gulim" w:hAnsi="Calibri" w:cs="Gulim"/>
      <w:sz w:val="20"/>
      <w:szCs w:val="20"/>
      <w:lang w:val="en-SG"/>
    </w:rPr>
  </w:style>
  <w:style w:type="character" w:customStyle="1" w:styleId="CommentTextChar">
    <w:name w:val="Comment Text Char"/>
    <w:basedOn w:val="DefaultParagraphFont"/>
    <w:link w:val="CommentText"/>
    <w:uiPriority w:val="99"/>
    <w:rsid w:val="005C13D1"/>
    <w:rPr>
      <w:rFonts w:ascii="Calibri" w:eastAsia="Gulim" w:hAnsi="Calibri" w:cs="Gulim"/>
      <w:sz w:val="20"/>
      <w:szCs w:val="20"/>
      <w:lang w:val="en-SG"/>
    </w:rPr>
  </w:style>
  <w:style w:type="paragraph" w:styleId="FootnoteText">
    <w:name w:val="footnote text"/>
    <w:basedOn w:val="Normal"/>
    <w:link w:val="FootnoteTextChar"/>
    <w:uiPriority w:val="99"/>
    <w:semiHidden/>
    <w:unhideWhenUsed/>
    <w:rsid w:val="005C1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D1"/>
    <w:rPr>
      <w:sz w:val="20"/>
      <w:szCs w:val="20"/>
    </w:rPr>
  </w:style>
  <w:style w:type="character" w:styleId="FootnoteReference">
    <w:name w:val="footnote reference"/>
    <w:basedOn w:val="DefaultParagraphFont"/>
    <w:uiPriority w:val="99"/>
    <w:semiHidden/>
    <w:unhideWhenUsed/>
    <w:rsid w:val="005C13D1"/>
    <w:rPr>
      <w:vertAlign w:val="superscript"/>
    </w:rPr>
  </w:style>
  <w:style w:type="paragraph" w:styleId="Bibliography">
    <w:name w:val="Bibliography"/>
    <w:basedOn w:val="Normal"/>
    <w:next w:val="Normal"/>
    <w:uiPriority w:val="37"/>
    <w:unhideWhenUsed/>
    <w:rsid w:val="00297135"/>
    <w:pPr>
      <w:tabs>
        <w:tab w:val="left" w:pos="384"/>
      </w:tabs>
      <w:spacing w:after="240" w:line="240" w:lineRule="auto"/>
      <w:ind w:left="384" w:hanging="384"/>
    </w:pPr>
  </w:style>
  <w:style w:type="table" w:styleId="TableGrid">
    <w:name w:val="Table Grid"/>
    <w:basedOn w:val="TableNormal"/>
    <w:uiPriority w:val="39"/>
    <w:rsid w:val="00C9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57A"/>
    <w:rPr>
      <w:rFonts w:ascii="Segoe UI" w:hAnsi="Segoe UI" w:cs="Segoe UI"/>
      <w:sz w:val="18"/>
      <w:szCs w:val="18"/>
    </w:rPr>
  </w:style>
  <w:style w:type="character" w:styleId="EndnoteReference">
    <w:name w:val="endnote reference"/>
    <w:basedOn w:val="DefaultParagraphFont"/>
    <w:uiPriority w:val="99"/>
    <w:semiHidden/>
    <w:unhideWhenUsed/>
    <w:rsid w:val="001E5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4063</Words>
  <Characters>23164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Mital</dc:creator>
  <cp:keywords/>
  <dc:description/>
  <cp:lastModifiedBy>Shweta Mital</cp:lastModifiedBy>
  <cp:revision>5</cp:revision>
  <dcterms:created xsi:type="dcterms:W3CDTF">2019-05-07T22:18:00Z</dcterms:created>
  <dcterms:modified xsi:type="dcterms:W3CDTF">2019-05-08T12:49:00Z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id="id9kkF4P"/&gt;&lt;style id="http://www.zotero.org/styles/the-american-journal-of-gastroenterology" hasBibliography="1" bibliographyStyleHasBeenSet="1"/&gt;&lt;prefs&gt;&lt;pref name="fieldType" value="Field"/&gt;&lt;/pr</vt:lpwstr>
  </property>
  <property fmtid="{D5CDD505-2E9C-101B-9397-08002B2CF9AE}" pid="3" name="ZOTERO_PREF_2">
    <vt:lpwstr>efs&gt;&lt;/data&gt;</vt:lpwstr>
  </property>
</Properties>
</file>