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1AF06" w14:textId="62BE2FFB" w:rsidR="004B7E29" w:rsidRPr="004B7E29" w:rsidRDefault="00AB00F7" w:rsidP="004B7E29">
      <w:pPr>
        <w:rPr>
          <w:b/>
          <w:bCs/>
        </w:rPr>
      </w:pPr>
      <w:proofErr w:type="gramStart"/>
      <w:r w:rsidRPr="00D55F94">
        <w:rPr>
          <w:b/>
          <w:bCs/>
        </w:rPr>
        <w:t>Supplementary Table 1.</w:t>
      </w:r>
      <w:proofErr w:type="gramEnd"/>
      <w:r>
        <w:rPr>
          <w:b/>
          <w:bCs/>
        </w:rPr>
        <w:t xml:space="preserve"> </w:t>
      </w:r>
      <w:r w:rsidR="004B7E29" w:rsidRPr="00B82514">
        <w:rPr>
          <w:bCs/>
        </w:rPr>
        <w:t>Definition of exclusion criteria within the GI Quality Improvement Consortium (</w:t>
      </w:r>
      <w:proofErr w:type="spellStart"/>
      <w:r w:rsidR="004B7E29" w:rsidRPr="00B82514">
        <w:rPr>
          <w:bCs/>
        </w:rPr>
        <w:t>GIQuIC</w:t>
      </w:r>
      <w:proofErr w:type="spellEnd"/>
      <w:r w:rsidR="004B7E29" w:rsidRPr="00B82514">
        <w:rPr>
          <w:bCs/>
        </w:rPr>
        <w:t>)</w:t>
      </w:r>
    </w:p>
    <w:p w14:paraId="0046E0DB" w14:textId="5E4E4F5C" w:rsidR="004B7E29" w:rsidRDefault="004B7E29" w:rsidP="004B7E29">
      <w:pPr>
        <w:spacing w:after="0" w:line="48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4B7E29" w14:paraId="1C1EE224" w14:textId="77777777" w:rsidTr="00B82514">
        <w:trPr>
          <w:trHeight w:val="332"/>
        </w:trPr>
        <w:tc>
          <w:tcPr>
            <w:tcW w:w="3415" w:type="dxa"/>
            <w:vAlign w:val="center"/>
          </w:tcPr>
          <w:p w14:paraId="6E0A4618" w14:textId="2F93E7E4" w:rsidR="004B7E29" w:rsidRPr="00B82514" w:rsidRDefault="00B82514" w:rsidP="00B82514">
            <w:pPr>
              <w:spacing w:line="480" w:lineRule="auto"/>
              <w:rPr>
                <w:b/>
                <w:bCs/>
              </w:rPr>
            </w:pPr>
            <w:r w:rsidRPr="00B82514">
              <w:rPr>
                <w:b/>
                <w:bCs/>
              </w:rPr>
              <w:t>Exclusion criteria</w:t>
            </w:r>
          </w:p>
        </w:tc>
        <w:tc>
          <w:tcPr>
            <w:tcW w:w="5935" w:type="dxa"/>
            <w:vAlign w:val="center"/>
          </w:tcPr>
          <w:p w14:paraId="1B30043A" w14:textId="3E476A15" w:rsidR="004B7E29" w:rsidRPr="00B82514" w:rsidRDefault="00B82514" w:rsidP="00B82514">
            <w:pPr>
              <w:spacing w:line="480" w:lineRule="auto"/>
              <w:rPr>
                <w:b/>
                <w:bCs/>
              </w:rPr>
            </w:pPr>
            <w:r w:rsidRPr="00B82514">
              <w:rPr>
                <w:b/>
                <w:bCs/>
              </w:rPr>
              <w:t xml:space="preserve">Definition within </w:t>
            </w:r>
            <w:proofErr w:type="spellStart"/>
            <w:r w:rsidRPr="00B82514">
              <w:rPr>
                <w:b/>
                <w:bCs/>
              </w:rPr>
              <w:t>GIQuIC</w:t>
            </w:r>
            <w:proofErr w:type="spellEnd"/>
          </w:p>
        </w:tc>
      </w:tr>
      <w:tr w:rsidR="004B7E29" w14:paraId="2D80F04A" w14:textId="77777777" w:rsidTr="00B82514">
        <w:tc>
          <w:tcPr>
            <w:tcW w:w="3415" w:type="dxa"/>
          </w:tcPr>
          <w:p w14:paraId="67D633FA" w14:textId="134098A1" w:rsidR="004B7E29" w:rsidRDefault="00B82514" w:rsidP="00B82514">
            <w:pPr>
              <w:spacing w:line="480" w:lineRule="auto"/>
              <w:rPr>
                <w:bCs/>
              </w:rPr>
            </w:pPr>
            <w:r>
              <w:rPr>
                <w:bCs/>
              </w:rPr>
              <w:t>I</w:t>
            </w:r>
            <w:r w:rsidRPr="00310AC3">
              <w:rPr>
                <w:bCs/>
              </w:rPr>
              <w:t>nflammatory bowel disease</w:t>
            </w:r>
          </w:p>
        </w:tc>
        <w:tc>
          <w:tcPr>
            <w:tcW w:w="5935" w:type="dxa"/>
          </w:tcPr>
          <w:p w14:paraId="1F94E0CE" w14:textId="18DD5E45" w:rsidR="004B7E29" w:rsidRPr="00B82514" w:rsidRDefault="00B82514" w:rsidP="00B82514">
            <w:pPr>
              <w:spacing w:line="480" w:lineRule="auto"/>
            </w:pPr>
            <w:r>
              <w:rPr>
                <w:bCs/>
              </w:rPr>
              <w:t>Indication of “</w:t>
            </w:r>
            <w:r w:rsidRPr="004F316F">
              <w:t>inflammatory bowel disease of the intestine if more precise diagnosis or determination of the extent/severity of activity of disease will influence immediate/future management</w:t>
            </w:r>
            <w:r>
              <w:t>” or risk assessment of “</w:t>
            </w:r>
            <w:r>
              <w:rPr>
                <w:color w:val="212121"/>
              </w:rPr>
              <w:t>Inflammatory Bowel Disease ( ≥ 8 years pancolitis or ≥ 15 years left sided colitis) or “Inflammatory Bowel Disease with Known Dysplasia”</w:t>
            </w:r>
          </w:p>
        </w:tc>
      </w:tr>
      <w:tr w:rsidR="004B7E29" w14:paraId="15E401B1" w14:textId="77777777" w:rsidTr="00B82514">
        <w:tc>
          <w:tcPr>
            <w:tcW w:w="3415" w:type="dxa"/>
          </w:tcPr>
          <w:p w14:paraId="468F1C3A" w14:textId="32D289D1" w:rsidR="004B7E29" w:rsidRDefault="00B82514" w:rsidP="00B82514">
            <w:pPr>
              <w:spacing w:line="480" w:lineRule="auto"/>
              <w:rPr>
                <w:bCs/>
              </w:rPr>
            </w:pPr>
            <w:r>
              <w:rPr>
                <w:bCs/>
              </w:rPr>
              <w:t>Serrated polyposis syndrome</w:t>
            </w:r>
          </w:p>
        </w:tc>
        <w:tc>
          <w:tcPr>
            <w:tcW w:w="5935" w:type="dxa"/>
          </w:tcPr>
          <w:p w14:paraId="7B3AB2A3" w14:textId="21E2DEE1" w:rsidR="004B7E29" w:rsidRDefault="00B82514" w:rsidP="00B82514">
            <w:pPr>
              <w:spacing w:line="480" w:lineRule="auto"/>
              <w:rPr>
                <w:bCs/>
              </w:rPr>
            </w:pPr>
            <w:r>
              <w:rPr>
                <w:bCs/>
              </w:rPr>
              <w:t xml:space="preserve">Risk assessment of “personal or family history of serrated polyposis syndrome” defined as </w:t>
            </w:r>
            <w:r w:rsidRPr="00FA162D">
              <w:rPr>
                <w:bCs/>
              </w:rPr>
              <w:t>(1) at least 5 serrated polyps proximal to sigmoid, with 2 or more ≥ 10 mm; (</w:t>
            </w:r>
            <w:r>
              <w:rPr>
                <w:bCs/>
              </w:rPr>
              <w:t xml:space="preserve">2) any serrated polyps proximal </w:t>
            </w:r>
            <w:r w:rsidRPr="00FA162D">
              <w:rPr>
                <w:bCs/>
              </w:rPr>
              <w:t xml:space="preserve">to sigmoid with family history of serrated polyposis syndrome; </w:t>
            </w:r>
            <w:r>
              <w:rPr>
                <w:bCs/>
              </w:rPr>
              <w:t xml:space="preserve">or </w:t>
            </w:r>
            <w:r w:rsidRPr="00FA162D">
              <w:rPr>
                <w:bCs/>
              </w:rPr>
              <w:t>(3) &gt; 20 serrated po</w:t>
            </w:r>
            <w:r>
              <w:rPr>
                <w:bCs/>
              </w:rPr>
              <w:t>lyps of any size throughout the colon)</w:t>
            </w:r>
          </w:p>
        </w:tc>
      </w:tr>
      <w:tr w:rsidR="004B7E29" w14:paraId="78F1D7C6" w14:textId="77777777" w:rsidTr="00B82514">
        <w:tc>
          <w:tcPr>
            <w:tcW w:w="3415" w:type="dxa"/>
          </w:tcPr>
          <w:p w14:paraId="67219B1F" w14:textId="721B5350" w:rsidR="004B7E29" w:rsidRDefault="00B82514" w:rsidP="00B82514">
            <w:pPr>
              <w:spacing w:line="480" w:lineRule="auto"/>
              <w:rPr>
                <w:bCs/>
              </w:rPr>
            </w:pPr>
            <w:r>
              <w:rPr>
                <w:bCs/>
              </w:rPr>
              <w:t>P</w:t>
            </w:r>
            <w:r w:rsidRPr="00310AC3">
              <w:rPr>
                <w:bCs/>
              </w:rPr>
              <w:t>ersonal or family history of a genetic colorectal cancer syndrome</w:t>
            </w:r>
          </w:p>
        </w:tc>
        <w:tc>
          <w:tcPr>
            <w:tcW w:w="5935" w:type="dxa"/>
          </w:tcPr>
          <w:p w14:paraId="0F48DA78" w14:textId="46E2CF52" w:rsidR="004B7E29" w:rsidRDefault="00B82514" w:rsidP="00B82514">
            <w:pPr>
              <w:spacing w:line="480" w:lineRule="auto"/>
              <w:rPr>
                <w:bCs/>
              </w:rPr>
            </w:pPr>
            <w:r>
              <w:rPr>
                <w:bCs/>
              </w:rPr>
              <w:t xml:space="preserve">Risk assessment of </w:t>
            </w:r>
            <w:r>
              <w:rPr>
                <w:color w:val="212121"/>
              </w:rPr>
              <w:t>personal or family history of “High Risk Genetic Family Cancer Syndrome (e.g. Familial Adenomatous Polyposis Syndrome, HNPCC/Lynch Syndrome”)</w:t>
            </w:r>
          </w:p>
        </w:tc>
      </w:tr>
    </w:tbl>
    <w:p w14:paraId="10389DA9" w14:textId="77777777" w:rsidR="004B7E29" w:rsidRDefault="004B7E29" w:rsidP="007B7B25">
      <w:pPr>
        <w:rPr>
          <w:b/>
          <w:bCs/>
        </w:rPr>
      </w:pPr>
    </w:p>
    <w:p w14:paraId="3EC9CC6A" w14:textId="5B106867" w:rsidR="00D604FC" w:rsidRDefault="00D604FC" w:rsidP="000103DF">
      <w:pPr>
        <w:rPr>
          <w:b/>
          <w:bCs/>
        </w:rPr>
      </w:pPr>
    </w:p>
    <w:p w14:paraId="1F821FDF" w14:textId="65BA396D" w:rsidR="00680A57" w:rsidRDefault="00680A57" w:rsidP="000103DF">
      <w:pPr>
        <w:rPr>
          <w:b/>
          <w:bCs/>
        </w:rPr>
      </w:pPr>
    </w:p>
    <w:p w14:paraId="343A0089" w14:textId="30335DDD" w:rsidR="00680A57" w:rsidRDefault="00680A57" w:rsidP="000103DF">
      <w:pPr>
        <w:rPr>
          <w:b/>
          <w:bCs/>
        </w:rPr>
      </w:pPr>
    </w:p>
    <w:p w14:paraId="3DA4B5CF" w14:textId="72DFADD3" w:rsidR="00680A57" w:rsidRDefault="00680A57" w:rsidP="000103DF">
      <w:pPr>
        <w:rPr>
          <w:b/>
          <w:bCs/>
        </w:rPr>
      </w:pPr>
    </w:p>
    <w:p w14:paraId="0A1C5983" w14:textId="7CA2B2C1" w:rsidR="00680A57" w:rsidRDefault="00680A57" w:rsidP="000103DF">
      <w:pPr>
        <w:rPr>
          <w:b/>
          <w:bCs/>
        </w:rPr>
      </w:pPr>
    </w:p>
    <w:p w14:paraId="08B090D9" w14:textId="77777777" w:rsidR="00680A57" w:rsidRDefault="00680A57" w:rsidP="000103DF">
      <w:pPr>
        <w:rPr>
          <w:b/>
          <w:bCs/>
        </w:rPr>
      </w:pPr>
    </w:p>
    <w:p w14:paraId="68171D6E" w14:textId="77777777" w:rsidR="00680A57" w:rsidRPr="00B534A3" w:rsidRDefault="00680A57" w:rsidP="00680A57">
      <w:pPr>
        <w:rPr>
          <w:b/>
          <w:bCs/>
        </w:rPr>
      </w:pPr>
      <w:r>
        <w:rPr>
          <w:b/>
          <w:bCs/>
        </w:rPr>
        <w:t xml:space="preserve">Supplementary Table 2. </w:t>
      </w:r>
      <w:r w:rsidRPr="00D55F94">
        <w:rPr>
          <w:bCs/>
        </w:rPr>
        <w:t>Census regions of the United States</w:t>
      </w:r>
    </w:p>
    <w:tbl>
      <w:tblPr>
        <w:tblStyle w:val="TableGrid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1525"/>
        <w:gridCol w:w="7110"/>
      </w:tblGrid>
      <w:tr w:rsidR="00680A57" w14:paraId="779DE3D5" w14:textId="77777777" w:rsidTr="00A04672">
        <w:tc>
          <w:tcPr>
            <w:tcW w:w="1525" w:type="dxa"/>
          </w:tcPr>
          <w:p w14:paraId="59D1047D" w14:textId="77777777" w:rsidR="00680A57" w:rsidRDefault="00680A57" w:rsidP="00A04672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Region</w:t>
            </w:r>
          </w:p>
        </w:tc>
        <w:tc>
          <w:tcPr>
            <w:tcW w:w="7110" w:type="dxa"/>
          </w:tcPr>
          <w:p w14:paraId="42A60F18" w14:textId="77777777" w:rsidR="00680A57" w:rsidRDefault="00680A57" w:rsidP="00A04672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States</w:t>
            </w:r>
          </w:p>
        </w:tc>
      </w:tr>
      <w:tr w:rsidR="00680A57" w14:paraId="249F1AAD" w14:textId="77777777" w:rsidTr="00A04672">
        <w:tc>
          <w:tcPr>
            <w:tcW w:w="1525" w:type="dxa"/>
          </w:tcPr>
          <w:p w14:paraId="7F3A5398" w14:textId="77777777" w:rsidR="00680A57" w:rsidRPr="00D55F94" w:rsidRDefault="00680A57" w:rsidP="00A04672">
            <w:pPr>
              <w:spacing w:line="480" w:lineRule="auto"/>
              <w:rPr>
                <w:bCs/>
              </w:rPr>
            </w:pPr>
            <w:r w:rsidRPr="00D55F94">
              <w:rPr>
                <w:bCs/>
              </w:rPr>
              <w:t>Northeast</w:t>
            </w:r>
          </w:p>
        </w:tc>
        <w:tc>
          <w:tcPr>
            <w:tcW w:w="7110" w:type="dxa"/>
          </w:tcPr>
          <w:p w14:paraId="7BA5D9BD" w14:textId="77777777" w:rsidR="00680A57" w:rsidRPr="00D55F94" w:rsidRDefault="00680A57" w:rsidP="00A04672">
            <w:pPr>
              <w:spacing w:line="480" w:lineRule="auto"/>
              <w:rPr>
                <w:bCs/>
              </w:rPr>
            </w:pPr>
            <w:r>
              <w:rPr>
                <w:bCs/>
              </w:rPr>
              <w:t>Connecticut, Maine, Massachusetts, New Hampshire, Rhode Island, Vermont, New Jersey, New York, Pennsylvania</w:t>
            </w:r>
          </w:p>
        </w:tc>
      </w:tr>
      <w:tr w:rsidR="00680A57" w14:paraId="4563F11F" w14:textId="77777777" w:rsidTr="00A04672">
        <w:tc>
          <w:tcPr>
            <w:tcW w:w="1525" w:type="dxa"/>
          </w:tcPr>
          <w:p w14:paraId="06CF31CC" w14:textId="77777777" w:rsidR="00680A57" w:rsidRPr="00D55F94" w:rsidRDefault="00680A57" w:rsidP="00A04672">
            <w:pPr>
              <w:spacing w:line="480" w:lineRule="auto"/>
              <w:rPr>
                <w:bCs/>
              </w:rPr>
            </w:pPr>
            <w:r w:rsidRPr="00D55F94">
              <w:rPr>
                <w:bCs/>
              </w:rPr>
              <w:t>Midwest</w:t>
            </w:r>
          </w:p>
        </w:tc>
        <w:tc>
          <w:tcPr>
            <w:tcW w:w="7110" w:type="dxa"/>
          </w:tcPr>
          <w:p w14:paraId="55B61582" w14:textId="77777777" w:rsidR="00680A57" w:rsidRPr="00D55F94" w:rsidRDefault="00680A57" w:rsidP="00A04672">
            <w:pPr>
              <w:spacing w:line="480" w:lineRule="auto"/>
              <w:rPr>
                <w:bCs/>
              </w:rPr>
            </w:pPr>
            <w:r>
              <w:rPr>
                <w:bCs/>
              </w:rPr>
              <w:t>Indiana, Illinois, Michigan, Ohio, Wisconsin, Iowa, Kansas, Minnesota, Missouri, Nebraska, North Dakota, South Dakota</w:t>
            </w:r>
          </w:p>
        </w:tc>
      </w:tr>
      <w:tr w:rsidR="00680A57" w14:paraId="0BB4A48E" w14:textId="77777777" w:rsidTr="00A04672">
        <w:tc>
          <w:tcPr>
            <w:tcW w:w="1525" w:type="dxa"/>
          </w:tcPr>
          <w:p w14:paraId="26260463" w14:textId="77777777" w:rsidR="00680A57" w:rsidRPr="00D55F94" w:rsidRDefault="00680A57" w:rsidP="00A04672">
            <w:pPr>
              <w:spacing w:line="480" w:lineRule="auto"/>
              <w:rPr>
                <w:bCs/>
              </w:rPr>
            </w:pPr>
            <w:r w:rsidRPr="00D55F94">
              <w:rPr>
                <w:bCs/>
              </w:rPr>
              <w:t>South</w:t>
            </w:r>
          </w:p>
        </w:tc>
        <w:tc>
          <w:tcPr>
            <w:tcW w:w="7110" w:type="dxa"/>
          </w:tcPr>
          <w:p w14:paraId="1B830071" w14:textId="77777777" w:rsidR="00680A57" w:rsidRPr="00D55F94" w:rsidRDefault="00680A57" w:rsidP="00A04672">
            <w:pPr>
              <w:spacing w:line="480" w:lineRule="auto"/>
              <w:rPr>
                <w:bCs/>
              </w:rPr>
            </w:pPr>
            <w:r>
              <w:rPr>
                <w:bCs/>
              </w:rPr>
              <w:t>Delaware, District of Columbia, Florida, Georgia, Maryland, North Carolina, South Carolina, Virginia, West Virginia, Alabama, Kentucky, Mississippi, Tennessee, Arkansas, Louisiana, Oklahoma, Texas</w:t>
            </w:r>
          </w:p>
        </w:tc>
      </w:tr>
      <w:tr w:rsidR="00680A57" w14:paraId="51FF55B6" w14:textId="77777777" w:rsidTr="00A04672">
        <w:tc>
          <w:tcPr>
            <w:tcW w:w="1525" w:type="dxa"/>
          </w:tcPr>
          <w:p w14:paraId="2C198339" w14:textId="77777777" w:rsidR="00680A57" w:rsidRPr="00D55F94" w:rsidRDefault="00680A57" w:rsidP="00A04672">
            <w:pPr>
              <w:spacing w:line="480" w:lineRule="auto"/>
              <w:rPr>
                <w:bCs/>
              </w:rPr>
            </w:pPr>
            <w:r w:rsidRPr="00D55F94">
              <w:rPr>
                <w:bCs/>
              </w:rPr>
              <w:t>West</w:t>
            </w:r>
          </w:p>
        </w:tc>
        <w:tc>
          <w:tcPr>
            <w:tcW w:w="7110" w:type="dxa"/>
          </w:tcPr>
          <w:p w14:paraId="69CBFEEA" w14:textId="77777777" w:rsidR="00680A57" w:rsidRPr="00D55F94" w:rsidRDefault="00680A57" w:rsidP="00A04672">
            <w:pPr>
              <w:spacing w:line="480" w:lineRule="auto"/>
              <w:rPr>
                <w:bCs/>
              </w:rPr>
            </w:pPr>
            <w:r>
              <w:rPr>
                <w:bCs/>
              </w:rPr>
              <w:t>Arizona, Colorado, Idaho, New Mexico, Montana, Utah, Nevada, Wyoming, Alaska, California, Hawaii, Oregon, Washington</w:t>
            </w:r>
          </w:p>
        </w:tc>
      </w:tr>
    </w:tbl>
    <w:p w14:paraId="4B8806E0" w14:textId="77777777" w:rsidR="00680A57" w:rsidRDefault="00680A57" w:rsidP="00680A57">
      <w:pPr>
        <w:rPr>
          <w:bCs/>
        </w:rPr>
      </w:pPr>
    </w:p>
    <w:p w14:paraId="3C7C9E76" w14:textId="77777777" w:rsidR="00680A57" w:rsidRPr="00D55F94" w:rsidRDefault="00680A57" w:rsidP="00680A57">
      <w:pPr>
        <w:rPr>
          <w:b/>
          <w:bCs/>
        </w:rPr>
      </w:pPr>
    </w:p>
    <w:p w14:paraId="13D7DB9A" w14:textId="77777777" w:rsidR="00680A57" w:rsidRPr="00D55F94" w:rsidRDefault="00680A57" w:rsidP="00680A57">
      <w:pPr>
        <w:rPr>
          <w:b/>
          <w:bCs/>
        </w:rPr>
      </w:pPr>
    </w:p>
    <w:p w14:paraId="042705D3" w14:textId="78B19CAF" w:rsidR="00680A57" w:rsidRDefault="00680A57" w:rsidP="000103DF">
      <w:pPr>
        <w:rPr>
          <w:b/>
          <w:bCs/>
        </w:rPr>
      </w:pPr>
    </w:p>
    <w:p w14:paraId="50D4ED32" w14:textId="139C6850" w:rsidR="00680A57" w:rsidRDefault="00680A57" w:rsidP="000103DF">
      <w:pPr>
        <w:rPr>
          <w:b/>
          <w:bCs/>
        </w:rPr>
      </w:pPr>
    </w:p>
    <w:p w14:paraId="725A9409" w14:textId="17EE0858" w:rsidR="00680A57" w:rsidRDefault="00680A57" w:rsidP="000103DF">
      <w:pPr>
        <w:rPr>
          <w:b/>
          <w:bCs/>
        </w:rPr>
      </w:pPr>
    </w:p>
    <w:p w14:paraId="21C2E12D" w14:textId="4C454095" w:rsidR="00680A57" w:rsidRDefault="00680A57" w:rsidP="000103DF">
      <w:pPr>
        <w:rPr>
          <w:b/>
          <w:bCs/>
        </w:rPr>
      </w:pPr>
    </w:p>
    <w:p w14:paraId="17CB67AD" w14:textId="71551FA0" w:rsidR="00680A57" w:rsidRDefault="00680A57" w:rsidP="000103DF">
      <w:pPr>
        <w:rPr>
          <w:b/>
          <w:bCs/>
        </w:rPr>
      </w:pPr>
    </w:p>
    <w:p w14:paraId="69AB3DC6" w14:textId="696DD07C" w:rsidR="00680A57" w:rsidRDefault="00680A57" w:rsidP="000103DF">
      <w:pPr>
        <w:rPr>
          <w:b/>
          <w:bCs/>
        </w:rPr>
      </w:pPr>
    </w:p>
    <w:p w14:paraId="34E4130B" w14:textId="2CBB5959" w:rsidR="00680A57" w:rsidRDefault="00680A57" w:rsidP="000103DF">
      <w:pPr>
        <w:rPr>
          <w:b/>
          <w:bCs/>
        </w:rPr>
      </w:pPr>
    </w:p>
    <w:p w14:paraId="2A5F88B2" w14:textId="2E0BD494" w:rsidR="00680A57" w:rsidRDefault="00680A57" w:rsidP="000103DF">
      <w:pPr>
        <w:rPr>
          <w:b/>
          <w:bCs/>
        </w:rPr>
      </w:pPr>
    </w:p>
    <w:p w14:paraId="16E70949" w14:textId="385BEEFE" w:rsidR="00680A57" w:rsidRDefault="00680A57" w:rsidP="000103DF">
      <w:pPr>
        <w:rPr>
          <w:b/>
          <w:bCs/>
        </w:rPr>
      </w:pPr>
    </w:p>
    <w:p w14:paraId="39EC45F7" w14:textId="3844D758" w:rsidR="00680A57" w:rsidRDefault="00680A57" w:rsidP="000103DF">
      <w:pPr>
        <w:rPr>
          <w:b/>
          <w:bCs/>
        </w:rPr>
      </w:pPr>
    </w:p>
    <w:p w14:paraId="440610CD" w14:textId="37BF6D67" w:rsidR="00680A57" w:rsidRDefault="00680A57" w:rsidP="000103DF">
      <w:pPr>
        <w:rPr>
          <w:b/>
          <w:bCs/>
        </w:rPr>
      </w:pPr>
    </w:p>
    <w:p w14:paraId="45D4D598" w14:textId="11130582" w:rsidR="00680A57" w:rsidRDefault="00680A57" w:rsidP="000103DF">
      <w:pPr>
        <w:rPr>
          <w:b/>
          <w:bCs/>
        </w:rPr>
      </w:pPr>
    </w:p>
    <w:p w14:paraId="21C7052D" w14:textId="6B1E449F" w:rsidR="00680A57" w:rsidRDefault="00680A57" w:rsidP="000103DF">
      <w:pPr>
        <w:rPr>
          <w:b/>
          <w:bCs/>
        </w:rPr>
      </w:pPr>
    </w:p>
    <w:p w14:paraId="033B6739" w14:textId="18F3B912" w:rsidR="00680A57" w:rsidRDefault="00680A57" w:rsidP="000103DF">
      <w:pPr>
        <w:rPr>
          <w:b/>
          <w:bCs/>
        </w:rPr>
      </w:pPr>
    </w:p>
    <w:p w14:paraId="590FA655" w14:textId="486CDD99" w:rsidR="00680A57" w:rsidRDefault="00680A57" w:rsidP="000103DF">
      <w:pPr>
        <w:rPr>
          <w:b/>
          <w:bCs/>
        </w:rPr>
      </w:pPr>
    </w:p>
    <w:p w14:paraId="137E24CE" w14:textId="6956ADBA" w:rsidR="00680A57" w:rsidRDefault="00680A57" w:rsidP="000103DF">
      <w:pPr>
        <w:rPr>
          <w:b/>
          <w:bCs/>
        </w:rPr>
      </w:pPr>
    </w:p>
    <w:p w14:paraId="3D53AFEE" w14:textId="4E9124DD" w:rsidR="00680A57" w:rsidRDefault="00680A57" w:rsidP="000103DF">
      <w:pPr>
        <w:rPr>
          <w:b/>
          <w:bCs/>
        </w:rPr>
      </w:pPr>
    </w:p>
    <w:p w14:paraId="313FFF3D" w14:textId="7F2F8F8A" w:rsidR="00680A57" w:rsidRDefault="00680A57" w:rsidP="000103DF">
      <w:pPr>
        <w:rPr>
          <w:b/>
          <w:bCs/>
        </w:rPr>
      </w:pPr>
    </w:p>
    <w:p w14:paraId="5EA28CCE" w14:textId="1D00956D" w:rsidR="00680A57" w:rsidRDefault="00680A57" w:rsidP="000103DF">
      <w:pPr>
        <w:rPr>
          <w:b/>
          <w:bCs/>
        </w:rPr>
      </w:pPr>
    </w:p>
    <w:p w14:paraId="3A71413A" w14:textId="25E0249D" w:rsidR="00680A57" w:rsidRDefault="00680A57" w:rsidP="000103DF">
      <w:pPr>
        <w:rPr>
          <w:b/>
          <w:bCs/>
        </w:rPr>
      </w:pPr>
    </w:p>
    <w:p w14:paraId="22E96D02" w14:textId="7007B4A0" w:rsidR="00680A57" w:rsidRDefault="00680A57" w:rsidP="000103DF">
      <w:pPr>
        <w:rPr>
          <w:b/>
          <w:bCs/>
        </w:rPr>
      </w:pPr>
    </w:p>
    <w:p w14:paraId="72A9423A" w14:textId="625E9EAF" w:rsidR="00680A57" w:rsidRDefault="00680A57" w:rsidP="000103DF">
      <w:pPr>
        <w:rPr>
          <w:b/>
          <w:bCs/>
        </w:rPr>
      </w:pPr>
    </w:p>
    <w:p w14:paraId="62FA83E7" w14:textId="3FA31713" w:rsidR="00680A57" w:rsidRDefault="00680A57" w:rsidP="000103DF">
      <w:pPr>
        <w:rPr>
          <w:b/>
          <w:bCs/>
        </w:rPr>
      </w:pPr>
    </w:p>
    <w:p w14:paraId="6EB90BCA" w14:textId="4C06470F" w:rsidR="00680A57" w:rsidRDefault="00680A57" w:rsidP="000103DF">
      <w:pPr>
        <w:rPr>
          <w:b/>
          <w:bCs/>
        </w:rPr>
      </w:pPr>
    </w:p>
    <w:p w14:paraId="27E0DBE6" w14:textId="7860CB09" w:rsidR="00680A57" w:rsidRDefault="00680A57" w:rsidP="000103DF">
      <w:pPr>
        <w:rPr>
          <w:b/>
          <w:bCs/>
        </w:rPr>
      </w:pPr>
    </w:p>
    <w:p w14:paraId="5CB8B780" w14:textId="77777777" w:rsidR="00FD487F" w:rsidRDefault="00FD487F" w:rsidP="00FD487F">
      <w:pPr>
        <w:tabs>
          <w:tab w:val="left" w:pos="2850"/>
        </w:tabs>
        <w:rPr>
          <w:rFonts w:eastAsia="Times New Roman" w:cs="Arial"/>
          <w:color w:val="222222"/>
        </w:rPr>
      </w:pPr>
      <w:r w:rsidRPr="00E652A5">
        <w:rPr>
          <w:rFonts w:eastAsia="Times New Roman" w:cs="Arial"/>
          <w:b/>
          <w:color w:val="222222"/>
        </w:rPr>
        <w:t>Supplementary Table 3.</w:t>
      </w:r>
      <w:r w:rsidRPr="00E652A5">
        <w:rPr>
          <w:rFonts w:eastAsia="Times New Roman" w:cs="Arial"/>
          <w:color w:val="222222"/>
        </w:rPr>
        <w:t xml:space="preserve"> Recommendations for no further colonoscopy among gastroenterologists (GIs) and non-gastroenterologists (non-GIs). </w:t>
      </w:r>
    </w:p>
    <w:p w14:paraId="356486C9" w14:textId="77777777" w:rsidR="00FD487F" w:rsidRPr="00E652A5" w:rsidRDefault="00FD487F" w:rsidP="00FD487F">
      <w:pPr>
        <w:tabs>
          <w:tab w:val="left" w:pos="2850"/>
        </w:tabs>
        <w:rPr>
          <w:rFonts w:eastAsia="Times New Roman" w:cs="Arial"/>
          <w:color w:val="222222"/>
        </w:rPr>
      </w:pPr>
    </w:p>
    <w:p w14:paraId="6C93AC53" w14:textId="77777777" w:rsidR="00FD487F" w:rsidRPr="00E652A5" w:rsidRDefault="00FD487F" w:rsidP="00FD487F">
      <w:pPr>
        <w:tabs>
          <w:tab w:val="left" w:pos="2850"/>
        </w:tabs>
        <w:rPr>
          <w:rFonts w:eastAsia="Times New Roman" w:cs="Arial"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350"/>
        <w:gridCol w:w="1350"/>
        <w:gridCol w:w="1350"/>
      </w:tblGrid>
      <w:tr w:rsidR="00FD487F" w:rsidRPr="00E652A5" w14:paraId="68A8C001" w14:textId="77777777" w:rsidTr="00A04672">
        <w:tc>
          <w:tcPr>
            <w:tcW w:w="2515" w:type="dxa"/>
            <w:vMerge w:val="restart"/>
            <w:vAlign w:val="center"/>
          </w:tcPr>
          <w:p w14:paraId="7846EE26" w14:textId="77777777" w:rsidR="00FD487F" w:rsidRPr="00E652A5" w:rsidRDefault="00FD487F" w:rsidP="00A0467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E652A5">
              <w:rPr>
                <w:rFonts w:cs="Arial"/>
                <w:b/>
              </w:rPr>
              <w:t>Finding at surveillance colonoscopy</w:t>
            </w:r>
          </w:p>
        </w:tc>
        <w:tc>
          <w:tcPr>
            <w:tcW w:w="4050" w:type="dxa"/>
            <w:gridSpan w:val="3"/>
            <w:vAlign w:val="center"/>
          </w:tcPr>
          <w:p w14:paraId="542B2DB3" w14:textId="77777777" w:rsidR="00FD487F" w:rsidRPr="00E652A5" w:rsidRDefault="00FD487F" w:rsidP="00A04672">
            <w:pPr>
              <w:jc w:val="center"/>
              <w:rPr>
                <w:rFonts w:cs="Arial"/>
                <w:b/>
              </w:rPr>
            </w:pPr>
            <w:r w:rsidRPr="00E652A5">
              <w:rPr>
                <w:rFonts w:cs="Arial"/>
                <w:b/>
              </w:rPr>
              <w:t>Recommendation for</w:t>
            </w:r>
          </w:p>
          <w:p w14:paraId="17851CA6" w14:textId="77777777" w:rsidR="00FD487F" w:rsidRPr="00E652A5" w:rsidRDefault="00FD487F" w:rsidP="00A04672">
            <w:pPr>
              <w:jc w:val="center"/>
              <w:rPr>
                <w:rFonts w:cs="Arial"/>
                <w:b/>
              </w:rPr>
            </w:pPr>
            <w:r w:rsidRPr="00E652A5">
              <w:rPr>
                <w:rFonts w:cs="Arial"/>
                <w:b/>
              </w:rPr>
              <w:t>no further colonoscopy</w:t>
            </w:r>
          </w:p>
        </w:tc>
      </w:tr>
      <w:tr w:rsidR="00FD487F" w:rsidRPr="00E652A5" w14:paraId="298F29E2" w14:textId="77777777" w:rsidTr="00A04672">
        <w:tc>
          <w:tcPr>
            <w:tcW w:w="2515" w:type="dxa"/>
            <w:vMerge/>
            <w:vAlign w:val="center"/>
          </w:tcPr>
          <w:p w14:paraId="2CDACCF1" w14:textId="77777777" w:rsidR="00FD487F" w:rsidRPr="00E652A5" w:rsidRDefault="00FD487F" w:rsidP="00A0467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50" w:type="dxa"/>
            <w:vAlign w:val="center"/>
          </w:tcPr>
          <w:p w14:paraId="60F50693" w14:textId="77777777" w:rsidR="00FD487F" w:rsidRPr="00E652A5" w:rsidRDefault="00FD487F" w:rsidP="00A046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E652A5">
              <w:rPr>
                <w:rFonts w:cs="Arial"/>
                <w:b/>
              </w:rPr>
              <w:t>GI, %</w:t>
            </w:r>
          </w:p>
        </w:tc>
        <w:tc>
          <w:tcPr>
            <w:tcW w:w="1350" w:type="dxa"/>
            <w:vAlign w:val="center"/>
          </w:tcPr>
          <w:p w14:paraId="330A2B1E" w14:textId="77777777" w:rsidR="00FD487F" w:rsidRPr="00E652A5" w:rsidRDefault="00FD487F" w:rsidP="00A0467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652A5">
              <w:rPr>
                <w:rFonts w:cs="Arial"/>
                <w:b/>
              </w:rPr>
              <w:t>Non-GI, %</w:t>
            </w:r>
          </w:p>
        </w:tc>
        <w:tc>
          <w:tcPr>
            <w:tcW w:w="1350" w:type="dxa"/>
            <w:vAlign w:val="center"/>
          </w:tcPr>
          <w:p w14:paraId="2824DF16" w14:textId="77777777" w:rsidR="00FD487F" w:rsidRPr="00E652A5" w:rsidRDefault="00FD487F" w:rsidP="00A0467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E652A5">
              <w:rPr>
                <w:rFonts w:cs="Arial"/>
                <w:b/>
              </w:rPr>
              <w:t>P-value</w:t>
            </w:r>
          </w:p>
        </w:tc>
      </w:tr>
      <w:tr w:rsidR="00FD487F" w:rsidRPr="00E652A5" w14:paraId="328540C7" w14:textId="77777777" w:rsidTr="00A04672">
        <w:tc>
          <w:tcPr>
            <w:tcW w:w="2515" w:type="dxa"/>
            <w:vAlign w:val="center"/>
          </w:tcPr>
          <w:p w14:paraId="7446833D" w14:textId="77777777" w:rsidR="00FD487F" w:rsidRPr="00E652A5" w:rsidRDefault="00FD487F" w:rsidP="00A0467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Colorectal cancer</w:t>
            </w:r>
          </w:p>
        </w:tc>
        <w:tc>
          <w:tcPr>
            <w:tcW w:w="1350" w:type="dxa"/>
            <w:vAlign w:val="center"/>
          </w:tcPr>
          <w:p w14:paraId="5025A795" w14:textId="77777777" w:rsidR="00FD487F" w:rsidRPr="00E652A5" w:rsidRDefault="00FD487F" w:rsidP="00A0467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652A5">
              <w:rPr>
                <w:rFonts w:cs="Arial"/>
              </w:rPr>
              <w:t>8.4</w:t>
            </w:r>
          </w:p>
        </w:tc>
        <w:tc>
          <w:tcPr>
            <w:tcW w:w="1350" w:type="dxa"/>
            <w:vAlign w:val="center"/>
          </w:tcPr>
          <w:p w14:paraId="4F9AD2AC" w14:textId="77777777" w:rsidR="00FD487F" w:rsidRPr="00E652A5" w:rsidRDefault="00FD487F" w:rsidP="00A0467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652A5">
              <w:rPr>
                <w:rFonts w:cs="Arial"/>
              </w:rPr>
              <w:t>11.9</w:t>
            </w:r>
          </w:p>
        </w:tc>
        <w:tc>
          <w:tcPr>
            <w:tcW w:w="1350" w:type="dxa"/>
            <w:vAlign w:val="center"/>
          </w:tcPr>
          <w:p w14:paraId="0190FEA2" w14:textId="77777777" w:rsidR="00FD487F" w:rsidRPr="00E652A5" w:rsidRDefault="00FD487F" w:rsidP="00A0467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652A5">
              <w:rPr>
                <w:rFonts w:cs="Arial"/>
              </w:rPr>
              <w:t>0.25</w:t>
            </w:r>
          </w:p>
        </w:tc>
      </w:tr>
      <w:tr w:rsidR="00FD487F" w:rsidRPr="00E652A5" w14:paraId="2ED9105B" w14:textId="77777777" w:rsidTr="00A04672">
        <w:tc>
          <w:tcPr>
            <w:tcW w:w="2515" w:type="dxa"/>
            <w:vAlign w:val="center"/>
          </w:tcPr>
          <w:p w14:paraId="3D12E76A" w14:textId="77777777" w:rsidR="00FD487F" w:rsidRPr="00E652A5" w:rsidRDefault="00FD487F" w:rsidP="00A04672">
            <w:pPr>
              <w:autoSpaceDE w:val="0"/>
              <w:autoSpaceDN w:val="0"/>
              <w:adjustRightInd w:val="0"/>
              <w:rPr>
                <w:rFonts w:ascii="Calibri" w:hAnsi="Calibri" w:cs="Arial"/>
                <w:vertAlign w:val="superscript"/>
              </w:rPr>
            </w:pPr>
            <w:r w:rsidRPr="00E652A5">
              <w:rPr>
                <w:rFonts w:cs="Arial"/>
              </w:rPr>
              <w:t xml:space="preserve">Advanced </w:t>
            </w:r>
            <w:proofErr w:type="spellStart"/>
            <w:r w:rsidRPr="00E652A5">
              <w:rPr>
                <w:rFonts w:cs="Arial"/>
              </w:rPr>
              <w:t>lesion</w:t>
            </w:r>
            <w:r>
              <w:rPr>
                <w:rFonts w:ascii="Calibri" w:hAnsi="Calibri" w:cs="Arial"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vAlign w:val="center"/>
          </w:tcPr>
          <w:p w14:paraId="194499AD" w14:textId="77777777" w:rsidR="00FD487F" w:rsidRPr="00E652A5" w:rsidRDefault="00FD487F" w:rsidP="00A0467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652A5">
              <w:rPr>
                <w:rFonts w:cs="Arial"/>
              </w:rPr>
              <w:t>6.8</w:t>
            </w:r>
          </w:p>
        </w:tc>
        <w:tc>
          <w:tcPr>
            <w:tcW w:w="1350" w:type="dxa"/>
            <w:vAlign w:val="center"/>
          </w:tcPr>
          <w:p w14:paraId="77C83AA4" w14:textId="77777777" w:rsidR="00FD487F" w:rsidRPr="00E652A5" w:rsidRDefault="00FD487F" w:rsidP="00A0467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652A5">
              <w:rPr>
                <w:rFonts w:cs="Arial"/>
              </w:rPr>
              <w:t>4.8</w:t>
            </w:r>
          </w:p>
        </w:tc>
        <w:tc>
          <w:tcPr>
            <w:tcW w:w="1350" w:type="dxa"/>
            <w:vAlign w:val="center"/>
          </w:tcPr>
          <w:p w14:paraId="577E99A4" w14:textId="77777777" w:rsidR="00FD487F" w:rsidRPr="00E652A5" w:rsidRDefault="00FD487F" w:rsidP="00A0467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652A5">
              <w:rPr>
                <w:rFonts w:cs="Arial"/>
              </w:rPr>
              <w:t>.006</w:t>
            </w:r>
          </w:p>
        </w:tc>
      </w:tr>
      <w:tr w:rsidR="00FD487F" w:rsidRPr="00E652A5" w14:paraId="041062AA" w14:textId="77777777" w:rsidTr="00A04672">
        <w:tc>
          <w:tcPr>
            <w:tcW w:w="2515" w:type="dxa"/>
            <w:vAlign w:val="center"/>
          </w:tcPr>
          <w:p w14:paraId="58553C7D" w14:textId="77777777" w:rsidR="00FD487F" w:rsidRPr="00E652A5" w:rsidRDefault="00FD487F" w:rsidP="00A0467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652A5">
              <w:rPr>
                <w:rFonts w:cs="Arial"/>
              </w:rPr>
              <w:t>3 or more adenomas</w:t>
            </w:r>
          </w:p>
        </w:tc>
        <w:tc>
          <w:tcPr>
            <w:tcW w:w="1350" w:type="dxa"/>
            <w:vAlign w:val="center"/>
          </w:tcPr>
          <w:p w14:paraId="58FE618C" w14:textId="77777777" w:rsidR="00FD487F" w:rsidRPr="00E652A5" w:rsidRDefault="00FD487F" w:rsidP="00A0467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652A5">
              <w:rPr>
                <w:rFonts w:cs="Arial"/>
              </w:rPr>
              <w:t>10.1</w:t>
            </w:r>
          </w:p>
        </w:tc>
        <w:tc>
          <w:tcPr>
            <w:tcW w:w="1350" w:type="dxa"/>
            <w:vAlign w:val="center"/>
          </w:tcPr>
          <w:p w14:paraId="31F12568" w14:textId="77777777" w:rsidR="00FD487F" w:rsidRPr="00E652A5" w:rsidRDefault="00FD487F" w:rsidP="00A0467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652A5">
              <w:rPr>
                <w:rFonts w:cs="Arial"/>
              </w:rPr>
              <w:t>8.4</w:t>
            </w:r>
          </w:p>
        </w:tc>
        <w:tc>
          <w:tcPr>
            <w:tcW w:w="1350" w:type="dxa"/>
            <w:vAlign w:val="center"/>
          </w:tcPr>
          <w:p w14:paraId="0B34CFB1" w14:textId="77777777" w:rsidR="00FD487F" w:rsidRPr="00E652A5" w:rsidRDefault="00FD487F" w:rsidP="00A0467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652A5">
              <w:rPr>
                <w:rFonts w:cs="Arial"/>
              </w:rPr>
              <w:t>.03</w:t>
            </w:r>
          </w:p>
        </w:tc>
      </w:tr>
      <w:tr w:rsidR="00FD487F" w:rsidRPr="00E652A5" w14:paraId="78C784DD" w14:textId="77777777" w:rsidTr="00A04672">
        <w:tc>
          <w:tcPr>
            <w:tcW w:w="2515" w:type="dxa"/>
            <w:vAlign w:val="center"/>
          </w:tcPr>
          <w:p w14:paraId="03A5D16E" w14:textId="77777777" w:rsidR="00FD487F" w:rsidRPr="00E652A5" w:rsidRDefault="00FD487F" w:rsidP="00A0467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652A5">
              <w:rPr>
                <w:rFonts w:cs="Arial"/>
              </w:rPr>
              <w:t>1-2 small adenomas</w:t>
            </w:r>
          </w:p>
        </w:tc>
        <w:tc>
          <w:tcPr>
            <w:tcW w:w="1350" w:type="dxa"/>
            <w:vAlign w:val="center"/>
          </w:tcPr>
          <w:p w14:paraId="0B6008E2" w14:textId="77777777" w:rsidR="00FD487F" w:rsidRPr="00E652A5" w:rsidRDefault="00FD487F" w:rsidP="00A0467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652A5">
              <w:rPr>
                <w:rFonts w:cs="Arial"/>
              </w:rPr>
              <w:t>17.9</w:t>
            </w:r>
          </w:p>
        </w:tc>
        <w:tc>
          <w:tcPr>
            <w:tcW w:w="1350" w:type="dxa"/>
            <w:vAlign w:val="center"/>
          </w:tcPr>
          <w:p w14:paraId="7E41881C" w14:textId="77777777" w:rsidR="00FD487F" w:rsidRPr="00E652A5" w:rsidRDefault="00FD487F" w:rsidP="00A0467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652A5">
              <w:rPr>
                <w:rFonts w:cs="Arial"/>
              </w:rPr>
              <w:t>15.9</w:t>
            </w:r>
          </w:p>
        </w:tc>
        <w:tc>
          <w:tcPr>
            <w:tcW w:w="1350" w:type="dxa"/>
            <w:vAlign w:val="center"/>
          </w:tcPr>
          <w:p w14:paraId="330F9B59" w14:textId="77777777" w:rsidR="00FD487F" w:rsidRPr="00E652A5" w:rsidRDefault="00FD487F" w:rsidP="00A0467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652A5">
              <w:rPr>
                <w:rFonts w:cs="Arial"/>
              </w:rPr>
              <w:t>&lt;.05</w:t>
            </w:r>
          </w:p>
        </w:tc>
      </w:tr>
      <w:tr w:rsidR="00FD487F" w:rsidRPr="00E652A5" w14:paraId="50533DC6" w14:textId="77777777" w:rsidTr="00A04672">
        <w:tc>
          <w:tcPr>
            <w:tcW w:w="2515" w:type="dxa"/>
            <w:vAlign w:val="center"/>
          </w:tcPr>
          <w:p w14:paraId="194102D5" w14:textId="77777777" w:rsidR="00FD487F" w:rsidRPr="00E652A5" w:rsidRDefault="00FD487F" w:rsidP="00A0467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652A5">
              <w:rPr>
                <w:rFonts w:cs="Arial"/>
              </w:rPr>
              <w:t>Hyperplastic</w:t>
            </w:r>
          </w:p>
        </w:tc>
        <w:tc>
          <w:tcPr>
            <w:tcW w:w="1350" w:type="dxa"/>
            <w:vAlign w:val="center"/>
          </w:tcPr>
          <w:p w14:paraId="6E165242" w14:textId="77777777" w:rsidR="00FD487F" w:rsidRPr="00E652A5" w:rsidRDefault="00FD487F" w:rsidP="00A0467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652A5">
              <w:rPr>
                <w:rFonts w:cs="Arial"/>
              </w:rPr>
              <w:t>21.7</w:t>
            </w:r>
          </w:p>
        </w:tc>
        <w:tc>
          <w:tcPr>
            <w:tcW w:w="1350" w:type="dxa"/>
            <w:vAlign w:val="center"/>
          </w:tcPr>
          <w:p w14:paraId="695EA69C" w14:textId="77777777" w:rsidR="00FD487F" w:rsidRPr="00E652A5" w:rsidRDefault="00FD487F" w:rsidP="00A0467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652A5">
              <w:rPr>
                <w:rFonts w:cs="Arial"/>
              </w:rPr>
              <w:t>19.1</w:t>
            </w:r>
          </w:p>
        </w:tc>
        <w:tc>
          <w:tcPr>
            <w:tcW w:w="1350" w:type="dxa"/>
            <w:vAlign w:val="center"/>
          </w:tcPr>
          <w:p w14:paraId="6F2A9998" w14:textId="77777777" w:rsidR="00FD487F" w:rsidRPr="00E652A5" w:rsidRDefault="00FD487F" w:rsidP="00A0467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652A5">
              <w:rPr>
                <w:rFonts w:cs="Arial"/>
              </w:rPr>
              <w:t>0.02</w:t>
            </w:r>
          </w:p>
        </w:tc>
      </w:tr>
      <w:tr w:rsidR="00FD487F" w:rsidRPr="00E652A5" w14:paraId="11B09EFF" w14:textId="77777777" w:rsidTr="00A04672">
        <w:tc>
          <w:tcPr>
            <w:tcW w:w="2515" w:type="dxa"/>
            <w:vAlign w:val="center"/>
          </w:tcPr>
          <w:p w14:paraId="2475C1F4" w14:textId="77777777" w:rsidR="00FD487F" w:rsidRPr="00E652A5" w:rsidRDefault="00FD487F" w:rsidP="00A0467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652A5">
              <w:rPr>
                <w:rFonts w:cs="Arial"/>
              </w:rPr>
              <w:t>No polyps</w:t>
            </w:r>
          </w:p>
        </w:tc>
        <w:tc>
          <w:tcPr>
            <w:tcW w:w="1350" w:type="dxa"/>
            <w:vAlign w:val="center"/>
          </w:tcPr>
          <w:p w14:paraId="549E6C21" w14:textId="77777777" w:rsidR="00FD487F" w:rsidRPr="00E652A5" w:rsidRDefault="00FD487F" w:rsidP="00A0467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652A5">
              <w:rPr>
                <w:rFonts w:cs="Arial"/>
              </w:rPr>
              <w:t>36.7</w:t>
            </w:r>
          </w:p>
        </w:tc>
        <w:tc>
          <w:tcPr>
            <w:tcW w:w="1350" w:type="dxa"/>
            <w:vAlign w:val="center"/>
          </w:tcPr>
          <w:p w14:paraId="5CA71A8F" w14:textId="77777777" w:rsidR="00FD487F" w:rsidRPr="00E652A5" w:rsidRDefault="00FD487F" w:rsidP="00A0467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652A5">
              <w:rPr>
                <w:rFonts w:cs="Arial"/>
              </w:rPr>
              <w:t>31.2</w:t>
            </w:r>
          </w:p>
        </w:tc>
        <w:tc>
          <w:tcPr>
            <w:tcW w:w="1350" w:type="dxa"/>
            <w:vAlign w:val="center"/>
          </w:tcPr>
          <w:p w14:paraId="11B2C15C" w14:textId="77777777" w:rsidR="00FD487F" w:rsidRPr="00E652A5" w:rsidRDefault="00FD487F" w:rsidP="00A04672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652A5">
              <w:rPr>
                <w:rFonts w:cs="Arial"/>
              </w:rPr>
              <w:t>&lt;.05</w:t>
            </w:r>
          </w:p>
        </w:tc>
      </w:tr>
    </w:tbl>
    <w:p w14:paraId="3FD0556F" w14:textId="77777777" w:rsidR="00FD487F" w:rsidRDefault="00FD487F" w:rsidP="00FD487F"/>
    <w:p w14:paraId="366A5107" w14:textId="77777777" w:rsidR="00FD487F" w:rsidRDefault="00FD487F" w:rsidP="00FD487F">
      <w:pPr>
        <w:rPr>
          <w:sz w:val="20"/>
          <w:szCs w:val="20"/>
        </w:rPr>
      </w:pPr>
      <w:proofErr w:type="spellStart"/>
      <w:proofErr w:type="gramStart"/>
      <w:r>
        <w:rPr>
          <w:rFonts w:ascii="Calibri" w:hAnsi="Calibri" w:cs="Arial"/>
          <w:vertAlign w:val="superscript"/>
        </w:rPr>
        <w:t>a</w:t>
      </w:r>
      <w:r>
        <w:rPr>
          <w:sz w:val="20"/>
          <w:szCs w:val="20"/>
        </w:rPr>
        <w:t>Advanced</w:t>
      </w:r>
      <w:proofErr w:type="spellEnd"/>
      <w:proofErr w:type="gramEnd"/>
      <w:r>
        <w:rPr>
          <w:sz w:val="20"/>
          <w:szCs w:val="20"/>
        </w:rPr>
        <w:t xml:space="preserve"> lesion was defined as any </w:t>
      </w:r>
      <w:r w:rsidRPr="00174CF6">
        <w:rPr>
          <w:sz w:val="20"/>
          <w:szCs w:val="20"/>
        </w:rPr>
        <w:t>adenoma ≥10 mm in size, or with high grade dysplasia, or with villous features or significant serrated polyps defined as size ≥10 mm, or with dysplasia or traditional serr</w:t>
      </w:r>
      <w:r>
        <w:rPr>
          <w:sz w:val="20"/>
          <w:szCs w:val="20"/>
        </w:rPr>
        <w:t>ated adenoma</w:t>
      </w:r>
      <w:r w:rsidRPr="00174CF6">
        <w:rPr>
          <w:sz w:val="20"/>
          <w:szCs w:val="20"/>
        </w:rPr>
        <w:t>.</w:t>
      </w:r>
    </w:p>
    <w:p w14:paraId="0414E422" w14:textId="77777777" w:rsidR="002C0CDC" w:rsidRDefault="002C0CDC" w:rsidP="00FD487F">
      <w:pPr>
        <w:rPr>
          <w:sz w:val="20"/>
          <w:szCs w:val="20"/>
        </w:rPr>
      </w:pPr>
    </w:p>
    <w:p w14:paraId="3080A0CD" w14:textId="77777777" w:rsidR="002C0CDC" w:rsidRDefault="002C0CDC" w:rsidP="00FD487F"/>
    <w:p w14:paraId="345A1939" w14:textId="27B33AE2" w:rsidR="00680A57" w:rsidRDefault="00680A57" w:rsidP="000103DF">
      <w:pPr>
        <w:rPr>
          <w:b/>
          <w:bCs/>
        </w:rPr>
      </w:pPr>
    </w:p>
    <w:p w14:paraId="21E6B291" w14:textId="5D19020D" w:rsidR="002C0CDC" w:rsidRDefault="002C0CDC">
      <w:pPr>
        <w:rPr>
          <w:b/>
          <w:bCs/>
        </w:rPr>
      </w:pPr>
      <w:r>
        <w:rPr>
          <w:b/>
          <w:bCs/>
        </w:rPr>
        <w:br w:type="page"/>
      </w:r>
    </w:p>
    <w:p w14:paraId="31AB840B" w14:textId="77777777" w:rsidR="00541EE7" w:rsidRDefault="00541EE7" w:rsidP="00541EE7">
      <w:pPr>
        <w:rPr>
          <w:b/>
        </w:rPr>
      </w:pPr>
    </w:p>
    <w:p w14:paraId="3025048A" w14:textId="77777777" w:rsidR="00541EE7" w:rsidRDefault="00541EE7" w:rsidP="00541EE7">
      <w:pPr>
        <w:rPr>
          <w:b/>
        </w:rPr>
      </w:pPr>
    </w:p>
    <w:p w14:paraId="1B7F2471" w14:textId="1BF564B4" w:rsidR="00541EE7" w:rsidRPr="00032375" w:rsidRDefault="00541EE7" w:rsidP="00541EE7">
      <w:r>
        <w:rPr>
          <w:b/>
        </w:rPr>
        <w:t xml:space="preserve">Supplementary Table 4. </w:t>
      </w:r>
      <w:r>
        <w:t xml:space="preserve">Existing literature regarding the </w:t>
      </w:r>
      <w:r w:rsidRPr="00032375">
        <w:t>incidence of</w:t>
      </w:r>
      <w:r>
        <w:t xml:space="preserve"> colorectal cancer</w:t>
      </w:r>
      <w:r w:rsidRPr="00032375">
        <w:t xml:space="preserve"> </w:t>
      </w:r>
      <w:r>
        <w:t>(</w:t>
      </w:r>
      <w:r w:rsidRPr="00032375">
        <w:t>CRC</w:t>
      </w:r>
      <w:r>
        <w:t>)</w:t>
      </w:r>
      <w:r w:rsidRPr="00032375">
        <w:t xml:space="preserve"> during surveillance</w:t>
      </w:r>
      <w:r>
        <w:t xml:space="preserve"> colonoscopy among </w:t>
      </w:r>
      <w:r w:rsidRPr="00032375">
        <w:t>older adults</w:t>
      </w:r>
    </w:p>
    <w:tbl>
      <w:tblPr>
        <w:tblStyle w:val="TableGrid"/>
        <w:tblW w:w="113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260"/>
        <w:gridCol w:w="2160"/>
        <w:gridCol w:w="1260"/>
        <w:gridCol w:w="1800"/>
        <w:gridCol w:w="3330"/>
        <w:gridCol w:w="1530"/>
      </w:tblGrid>
      <w:tr w:rsidR="00541EE7" w:rsidRPr="00982EB7" w14:paraId="697D8EDE" w14:textId="77777777" w:rsidTr="00A52233">
        <w:tc>
          <w:tcPr>
            <w:tcW w:w="1260" w:type="dxa"/>
          </w:tcPr>
          <w:p w14:paraId="77A5BC71" w14:textId="77777777" w:rsidR="00541EE7" w:rsidRPr="00982EB7" w:rsidRDefault="00541EE7" w:rsidP="00A04672">
            <w:pPr>
              <w:rPr>
                <w:b/>
              </w:rPr>
            </w:pPr>
            <w:r w:rsidRPr="00982EB7">
              <w:rPr>
                <w:b/>
              </w:rPr>
              <w:t>Study</w:t>
            </w:r>
          </w:p>
        </w:tc>
        <w:tc>
          <w:tcPr>
            <w:tcW w:w="2160" w:type="dxa"/>
          </w:tcPr>
          <w:p w14:paraId="2C3B4080" w14:textId="77777777" w:rsidR="00541EE7" w:rsidRPr="00982EB7" w:rsidRDefault="00541EE7" w:rsidP="00A04672">
            <w:pPr>
              <w:rPr>
                <w:b/>
              </w:rPr>
            </w:pPr>
            <w:r w:rsidRPr="00982EB7">
              <w:rPr>
                <w:b/>
              </w:rPr>
              <w:t>Design and setting</w:t>
            </w:r>
          </w:p>
        </w:tc>
        <w:tc>
          <w:tcPr>
            <w:tcW w:w="1260" w:type="dxa"/>
          </w:tcPr>
          <w:p w14:paraId="7826354E" w14:textId="77777777" w:rsidR="00541EE7" w:rsidRPr="00982EB7" w:rsidRDefault="00541EE7" w:rsidP="00A04672">
            <w:pPr>
              <w:rPr>
                <w:b/>
              </w:rPr>
            </w:pPr>
            <w:r w:rsidRPr="00982EB7">
              <w:rPr>
                <w:b/>
              </w:rPr>
              <w:t xml:space="preserve">Age, </w:t>
            </w:r>
            <w:proofErr w:type="spellStart"/>
            <w:r w:rsidRPr="00982EB7">
              <w:rPr>
                <w:b/>
              </w:rPr>
              <w:t>yrs</w:t>
            </w:r>
            <w:proofErr w:type="spellEnd"/>
          </w:p>
        </w:tc>
        <w:tc>
          <w:tcPr>
            <w:tcW w:w="1800" w:type="dxa"/>
          </w:tcPr>
          <w:p w14:paraId="6CD7E420" w14:textId="77777777" w:rsidR="00541EE7" w:rsidRPr="00982EB7" w:rsidRDefault="00541EE7" w:rsidP="00A04672">
            <w:pPr>
              <w:rPr>
                <w:b/>
              </w:rPr>
            </w:pPr>
            <w:r w:rsidRPr="00982EB7">
              <w:rPr>
                <w:b/>
              </w:rPr>
              <w:t>N</w:t>
            </w:r>
          </w:p>
        </w:tc>
        <w:tc>
          <w:tcPr>
            <w:tcW w:w="3330" w:type="dxa"/>
          </w:tcPr>
          <w:p w14:paraId="315783F5" w14:textId="77777777" w:rsidR="00541EE7" w:rsidRPr="00982EB7" w:rsidRDefault="00541EE7" w:rsidP="00A04672">
            <w:pPr>
              <w:rPr>
                <w:b/>
              </w:rPr>
            </w:pPr>
            <w:r w:rsidRPr="00982EB7">
              <w:rPr>
                <w:b/>
              </w:rPr>
              <w:t xml:space="preserve">CRC incidence rates </w:t>
            </w:r>
          </w:p>
        </w:tc>
        <w:tc>
          <w:tcPr>
            <w:tcW w:w="1530" w:type="dxa"/>
          </w:tcPr>
          <w:p w14:paraId="056E09E0" w14:textId="77777777" w:rsidR="00541EE7" w:rsidRPr="00982EB7" w:rsidRDefault="00541EE7" w:rsidP="00A04672">
            <w:pPr>
              <w:ind w:right="-104"/>
              <w:rPr>
                <w:b/>
              </w:rPr>
            </w:pPr>
            <w:r w:rsidRPr="00982EB7">
              <w:rPr>
                <w:b/>
              </w:rPr>
              <w:t>Comments</w:t>
            </w:r>
          </w:p>
        </w:tc>
      </w:tr>
      <w:tr w:rsidR="00541EE7" w:rsidRPr="00982EB7" w14:paraId="67318007" w14:textId="77777777" w:rsidTr="00A52233">
        <w:tc>
          <w:tcPr>
            <w:tcW w:w="1260" w:type="dxa"/>
          </w:tcPr>
          <w:p w14:paraId="10DED935" w14:textId="77777777" w:rsidR="00541EE7" w:rsidRPr="00982EB7" w:rsidRDefault="00541EE7" w:rsidP="00A04672">
            <w:r w:rsidRPr="00982EB7">
              <w:t>Pinsky and Schoen, 2015, US</w:t>
            </w:r>
            <w:r w:rsidRPr="00C11986">
              <w:rPr>
                <w:vertAlign w:val="superscript"/>
              </w:rPr>
              <w:t>11</w:t>
            </w:r>
          </w:p>
        </w:tc>
        <w:tc>
          <w:tcPr>
            <w:tcW w:w="2160" w:type="dxa"/>
          </w:tcPr>
          <w:p w14:paraId="503F71B6" w14:textId="77777777" w:rsidR="00541EE7" w:rsidRPr="00982EB7" w:rsidRDefault="00541EE7" w:rsidP="00A04672">
            <w:r w:rsidRPr="00982EB7">
              <w:t>Secondary data analysis, PLCO trial in 9 US communities</w:t>
            </w:r>
          </w:p>
          <w:p w14:paraId="2CFA3A72" w14:textId="77777777" w:rsidR="00541EE7" w:rsidRPr="00982EB7" w:rsidRDefault="00541EE7" w:rsidP="00A04672"/>
          <w:p w14:paraId="16A0ED66" w14:textId="77777777" w:rsidR="00541EE7" w:rsidRPr="00982EB7" w:rsidRDefault="00541EE7" w:rsidP="00A04672"/>
        </w:tc>
        <w:tc>
          <w:tcPr>
            <w:tcW w:w="1260" w:type="dxa"/>
          </w:tcPr>
          <w:p w14:paraId="36C02E8F" w14:textId="77777777" w:rsidR="00541EE7" w:rsidRPr="00982EB7" w:rsidRDefault="00541EE7" w:rsidP="00A04672">
            <w:r w:rsidRPr="00982EB7">
              <w:t xml:space="preserve">55-80 </w:t>
            </w:r>
          </w:p>
          <w:p w14:paraId="05C6E8E3" w14:textId="77777777" w:rsidR="00541EE7" w:rsidRPr="00982EB7" w:rsidRDefault="00541EE7" w:rsidP="00A04672"/>
          <w:p w14:paraId="3AE10423" w14:textId="77777777" w:rsidR="00541EE7" w:rsidRPr="00982EB7" w:rsidRDefault="00541EE7" w:rsidP="00A04672"/>
        </w:tc>
        <w:tc>
          <w:tcPr>
            <w:tcW w:w="1800" w:type="dxa"/>
          </w:tcPr>
          <w:p w14:paraId="65688AFA" w14:textId="77777777" w:rsidR="00541EE7" w:rsidRPr="00982EB7" w:rsidRDefault="00541EE7" w:rsidP="00A04672">
            <w:r w:rsidRPr="00982EB7">
              <w:t>2398 total</w:t>
            </w:r>
          </w:p>
          <w:p w14:paraId="76A897F8" w14:textId="77777777" w:rsidR="00541EE7" w:rsidRPr="00982EB7" w:rsidRDefault="00541EE7" w:rsidP="00A04672">
            <w:pPr>
              <w:ind w:firstLine="166"/>
            </w:pPr>
            <w:r w:rsidRPr="00982EB7">
              <w:t>Age 65-69: 1678</w:t>
            </w:r>
          </w:p>
          <w:p w14:paraId="3CDB0EAA" w14:textId="77777777" w:rsidR="00541EE7" w:rsidRPr="00982EB7" w:rsidRDefault="00541EE7" w:rsidP="00A04672">
            <w:pPr>
              <w:ind w:firstLine="166"/>
            </w:pPr>
            <w:r w:rsidRPr="00982EB7">
              <w:t>Age 70-74: 533</w:t>
            </w:r>
          </w:p>
          <w:p w14:paraId="3ACE561E" w14:textId="77777777" w:rsidR="00541EE7" w:rsidRPr="00982EB7" w:rsidRDefault="00541EE7" w:rsidP="00A04672">
            <w:pPr>
              <w:ind w:firstLine="166"/>
            </w:pPr>
            <w:r w:rsidRPr="00982EB7">
              <w:t>Age 75-80: 187</w:t>
            </w:r>
          </w:p>
        </w:tc>
        <w:tc>
          <w:tcPr>
            <w:tcW w:w="3330" w:type="dxa"/>
          </w:tcPr>
          <w:p w14:paraId="18CA85E2" w14:textId="77777777" w:rsidR="00541EE7" w:rsidRPr="00982EB7" w:rsidRDefault="00541EE7" w:rsidP="00A04672">
            <w:r w:rsidRPr="00982EB7">
              <w:t>Age ≥70 vs. &lt;70: HR 1.5 (0.7-3.5)</w:t>
            </w:r>
          </w:p>
          <w:p w14:paraId="2C7EDF6F" w14:textId="77777777" w:rsidR="00541EE7" w:rsidRPr="00982EB7" w:rsidRDefault="00541EE7" w:rsidP="00A04672">
            <w:pPr>
              <w:ind w:firstLine="166"/>
            </w:pPr>
            <w:r w:rsidRPr="00982EB7">
              <w:t>Age 65-69: 6.6 per 10,000 PYs</w:t>
            </w:r>
          </w:p>
          <w:p w14:paraId="1A4E5EDF" w14:textId="77777777" w:rsidR="00541EE7" w:rsidRPr="00982EB7" w:rsidRDefault="00541EE7" w:rsidP="00A04672">
            <w:pPr>
              <w:ind w:firstLine="166"/>
            </w:pPr>
            <w:r w:rsidRPr="00982EB7">
              <w:t>Age 70-74: 9.5 p</w:t>
            </w:r>
            <w:bookmarkStart w:id="0" w:name="_GoBack"/>
            <w:bookmarkEnd w:id="0"/>
            <w:r w:rsidRPr="00982EB7">
              <w:t xml:space="preserve">er 10,000 PYs                </w:t>
            </w:r>
          </w:p>
          <w:p w14:paraId="4B9A57AB" w14:textId="77777777" w:rsidR="00541EE7" w:rsidRPr="00982EB7" w:rsidRDefault="00541EE7" w:rsidP="00A04672">
            <w:r w:rsidRPr="00982EB7">
              <w:t xml:space="preserve">   Age 75-80: 11.4 per 10,000 PYs</w:t>
            </w:r>
          </w:p>
        </w:tc>
        <w:tc>
          <w:tcPr>
            <w:tcW w:w="1530" w:type="dxa"/>
          </w:tcPr>
          <w:p w14:paraId="7B221FF9" w14:textId="77777777" w:rsidR="00541EE7" w:rsidRPr="00982EB7" w:rsidRDefault="00541EE7" w:rsidP="00A04672"/>
        </w:tc>
      </w:tr>
      <w:tr w:rsidR="00541EE7" w:rsidRPr="00982EB7" w14:paraId="10D6F3E9" w14:textId="77777777" w:rsidTr="00A52233">
        <w:tc>
          <w:tcPr>
            <w:tcW w:w="1260" w:type="dxa"/>
          </w:tcPr>
          <w:p w14:paraId="71096E06" w14:textId="77777777" w:rsidR="00541EE7" w:rsidRPr="00982EB7" w:rsidRDefault="00541EE7" w:rsidP="00A04672">
            <w:r w:rsidRPr="00982EB7">
              <w:t>Tran et, 2014, US</w:t>
            </w:r>
            <w:r>
              <w:rPr>
                <w:vertAlign w:val="superscript"/>
              </w:rPr>
              <w:t>6</w:t>
            </w:r>
          </w:p>
        </w:tc>
        <w:tc>
          <w:tcPr>
            <w:tcW w:w="2160" w:type="dxa"/>
          </w:tcPr>
          <w:p w14:paraId="11CEC216" w14:textId="77777777" w:rsidR="00541EE7" w:rsidRPr="00982EB7" w:rsidRDefault="00541EE7" w:rsidP="00A04672">
            <w:r w:rsidRPr="00982EB7">
              <w:t>Retrospective, single health system, 2001-2010</w:t>
            </w:r>
          </w:p>
        </w:tc>
        <w:tc>
          <w:tcPr>
            <w:tcW w:w="1260" w:type="dxa"/>
          </w:tcPr>
          <w:p w14:paraId="43F87AAB" w14:textId="77777777" w:rsidR="00541EE7" w:rsidRPr="00982EB7" w:rsidRDefault="00541EE7" w:rsidP="00A04672">
            <w:r w:rsidRPr="00982EB7">
              <w:t>≥75</w:t>
            </w:r>
          </w:p>
          <w:p w14:paraId="2E86C033" w14:textId="77777777" w:rsidR="00541EE7" w:rsidRPr="00982EB7" w:rsidRDefault="00541EE7" w:rsidP="00A04672">
            <w:r w:rsidRPr="00982EB7">
              <w:t xml:space="preserve">Mean 79.6 </w:t>
            </w:r>
          </w:p>
        </w:tc>
        <w:tc>
          <w:tcPr>
            <w:tcW w:w="1800" w:type="dxa"/>
          </w:tcPr>
          <w:p w14:paraId="02882259" w14:textId="77777777" w:rsidR="00541EE7" w:rsidRDefault="00541EE7" w:rsidP="00A04672">
            <w:r>
              <w:t xml:space="preserve">4843 </w:t>
            </w:r>
          </w:p>
          <w:p w14:paraId="3B9A5E30" w14:textId="77777777" w:rsidR="00541EE7" w:rsidRPr="00982EB7" w:rsidRDefault="00541EE7" w:rsidP="00A04672">
            <w:r>
              <w:t xml:space="preserve">Ref </w:t>
            </w:r>
            <w:r w:rsidRPr="00982EB7">
              <w:t xml:space="preserve">age 50-74: 22929 </w:t>
            </w:r>
          </w:p>
        </w:tc>
        <w:tc>
          <w:tcPr>
            <w:tcW w:w="3330" w:type="dxa"/>
          </w:tcPr>
          <w:p w14:paraId="2C1C3793" w14:textId="77777777" w:rsidR="00541EE7" w:rsidRPr="00982EB7" w:rsidRDefault="00541EE7" w:rsidP="00A04672">
            <w:r w:rsidRPr="00982EB7">
              <w:t>Age ≥75 vs. &lt;75: HR 0.06 (0.02-0.13)</w:t>
            </w:r>
          </w:p>
          <w:p w14:paraId="518CCE9B" w14:textId="77777777" w:rsidR="00541EE7" w:rsidRPr="00982EB7" w:rsidRDefault="00541EE7" w:rsidP="00A04672">
            <w:r w:rsidRPr="00982EB7">
              <w:t xml:space="preserve">   Age 50-74: 36.1 per 10,000 PYs</w:t>
            </w:r>
          </w:p>
          <w:p w14:paraId="21DEDFBC" w14:textId="77777777" w:rsidR="00541EE7" w:rsidRPr="00982EB7" w:rsidRDefault="00541EE7" w:rsidP="00A04672">
            <w:r w:rsidRPr="00982EB7">
              <w:t xml:space="preserve">   Age ≥ 75: 2.4 per 10,000 PYs</w:t>
            </w:r>
          </w:p>
        </w:tc>
        <w:tc>
          <w:tcPr>
            <w:tcW w:w="1530" w:type="dxa"/>
          </w:tcPr>
          <w:p w14:paraId="7E39F773" w14:textId="77777777" w:rsidR="00541EE7" w:rsidRPr="00982EB7" w:rsidRDefault="00541EE7" w:rsidP="00A04672"/>
        </w:tc>
      </w:tr>
      <w:tr w:rsidR="00541EE7" w:rsidRPr="00982EB7" w14:paraId="18B2AB79" w14:textId="77777777" w:rsidTr="00A52233">
        <w:tc>
          <w:tcPr>
            <w:tcW w:w="1260" w:type="dxa"/>
          </w:tcPr>
          <w:p w14:paraId="2157F24F" w14:textId="77777777" w:rsidR="00541EE7" w:rsidRPr="00982EB7" w:rsidRDefault="00541EE7" w:rsidP="00A04672">
            <w:r w:rsidRPr="00982EB7">
              <w:t xml:space="preserve">Van </w:t>
            </w:r>
            <w:proofErr w:type="spellStart"/>
            <w:r w:rsidRPr="00982EB7">
              <w:t>Heijningen</w:t>
            </w:r>
            <w:proofErr w:type="spellEnd"/>
            <w:r w:rsidRPr="00982EB7">
              <w:t xml:space="preserve"> et al, 2013, Netherlands</w:t>
            </w:r>
            <w:r>
              <w:rPr>
                <w:vertAlign w:val="superscript"/>
              </w:rPr>
              <w:t>13</w:t>
            </w:r>
          </w:p>
        </w:tc>
        <w:tc>
          <w:tcPr>
            <w:tcW w:w="2160" w:type="dxa"/>
          </w:tcPr>
          <w:p w14:paraId="45F7912C" w14:textId="77777777" w:rsidR="00541EE7" w:rsidRPr="00982EB7" w:rsidRDefault="00541EE7" w:rsidP="00A04672">
            <w:r w:rsidRPr="00982EB7">
              <w:t>Retrospective, 10 hospitals, 1998-2008</w:t>
            </w:r>
          </w:p>
          <w:p w14:paraId="458921F8" w14:textId="77777777" w:rsidR="00541EE7" w:rsidRPr="00982EB7" w:rsidRDefault="00541EE7" w:rsidP="00A04672"/>
          <w:p w14:paraId="38E910E5" w14:textId="77777777" w:rsidR="00541EE7" w:rsidRPr="00982EB7" w:rsidRDefault="00541EE7" w:rsidP="00A04672"/>
        </w:tc>
        <w:tc>
          <w:tcPr>
            <w:tcW w:w="1260" w:type="dxa"/>
          </w:tcPr>
          <w:p w14:paraId="6039E6F3" w14:textId="77777777" w:rsidR="00541EE7" w:rsidRPr="00982EB7" w:rsidRDefault="00541EE7" w:rsidP="00A04672">
            <w:r w:rsidRPr="00982EB7">
              <w:t>Mean 61.3</w:t>
            </w:r>
          </w:p>
        </w:tc>
        <w:tc>
          <w:tcPr>
            <w:tcW w:w="1800" w:type="dxa"/>
          </w:tcPr>
          <w:p w14:paraId="285DD63D" w14:textId="77777777" w:rsidR="00541EE7" w:rsidRPr="00982EB7" w:rsidRDefault="00541EE7" w:rsidP="00A04672">
            <w:r w:rsidRPr="00982EB7">
              <w:t>2990 total</w:t>
            </w:r>
          </w:p>
          <w:p w14:paraId="32F0B375" w14:textId="77777777" w:rsidR="00541EE7" w:rsidRPr="00982EB7" w:rsidRDefault="00541EE7" w:rsidP="00A04672">
            <w:pPr>
              <w:ind w:firstLine="166"/>
            </w:pPr>
            <w:r>
              <w:t>Age 40-69: 1304</w:t>
            </w:r>
          </w:p>
          <w:p w14:paraId="57216C6A" w14:textId="77777777" w:rsidR="00541EE7" w:rsidRPr="00982EB7" w:rsidRDefault="00541EE7" w:rsidP="00A04672">
            <w:pPr>
              <w:ind w:firstLine="166"/>
            </w:pPr>
            <w:r w:rsidRPr="00982EB7">
              <w:t>Age 70-79: 593</w:t>
            </w:r>
          </w:p>
          <w:p w14:paraId="38490157" w14:textId="77777777" w:rsidR="00541EE7" w:rsidRPr="00982EB7" w:rsidRDefault="00541EE7" w:rsidP="00A04672">
            <w:pPr>
              <w:ind w:firstLine="166"/>
            </w:pPr>
            <w:r w:rsidRPr="00982EB7">
              <w:t>Age 80-89: 111</w:t>
            </w:r>
          </w:p>
        </w:tc>
        <w:tc>
          <w:tcPr>
            <w:tcW w:w="3330" w:type="dxa"/>
          </w:tcPr>
          <w:p w14:paraId="63C5307C" w14:textId="77777777" w:rsidR="00541EE7" w:rsidRDefault="00541EE7" w:rsidP="00A04672"/>
          <w:p w14:paraId="1EE1E2A2" w14:textId="77777777" w:rsidR="00541EE7" w:rsidRPr="00982EB7" w:rsidRDefault="00541EE7" w:rsidP="00A04672">
            <w:r>
              <w:t xml:space="preserve">   Age 40-69: 0.96%  </w:t>
            </w:r>
          </w:p>
          <w:p w14:paraId="5AC035AB" w14:textId="77777777" w:rsidR="00541EE7" w:rsidRPr="00982EB7" w:rsidRDefault="00541EE7" w:rsidP="00A04672">
            <w:pPr>
              <w:ind w:firstLine="166"/>
            </w:pPr>
            <w:r>
              <w:t>Age 70-79: 2.4%</w:t>
            </w:r>
          </w:p>
          <w:p w14:paraId="1AD7D2A4" w14:textId="77777777" w:rsidR="00541EE7" w:rsidRPr="00982EB7" w:rsidRDefault="00541EE7" w:rsidP="00A04672">
            <w:r>
              <w:t xml:space="preserve">   Age 80-89: 1.8%</w:t>
            </w:r>
          </w:p>
        </w:tc>
        <w:tc>
          <w:tcPr>
            <w:tcW w:w="1530" w:type="dxa"/>
          </w:tcPr>
          <w:p w14:paraId="64B8982C" w14:textId="77777777" w:rsidR="00541EE7" w:rsidRPr="00982EB7" w:rsidRDefault="00541EE7" w:rsidP="00A04672">
            <w:r w:rsidRPr="00982EB7">
              <w:t>Age not included in predictive model</w:t>
            </w:r>
          </w:p>
        </w:tc>
      </w:tr>
      <w:tr w:rsidR="00541EE7" w:rsidRPr="00982EB7" w14:paraId="1D31A0FA" w14:textId="77777777" w:rsidTr="00A52233">
        <w:tc>
          <w:tcPr>
            <w:tcW w:w="1260" w:type="dxa"/>
          </w:tcPr>
          <w:p w14:paraId="1969127B" w14:textId="77777777" w:rsidR="00541EE7" w:rsidRPr="00982EB7" w:rsidRDefault="00541EE7" w:rsidP="00A04672">
            <w:r w:rsidRPr="00982EB7">
              <w:t>Khan et al, 2011, UK</w:t>
            </w:r>
            <w:r>
              <w:rPr>
                <w:vertAlign w:val="superscript"/>
              </w:rPr>
              <w:t>15</w:t>
            </w:r>
          </w:p>
        </w:tc>
        <w:tc>
          <w:tcPr>
            <w:tcW w:w="2160" w:type="dxa"/>
          </w:tcPr>
          <w:p w14:paraId="6EF6C422" w14:textId="77777777" w:rsidR="00541EE7" w:rsidRPr="00982EB7" w:rsidRDefault="00541EE7" w:rsidP="00A04672">
            <w:r w:rsidRPr="00982EB7">
              <w:t xml:space="preserve">Retrospective data base, </w:t>
            </w:r>
            <w:r>
              <w:t>single center</w:t>
            </w:r>
            <w:r w:rsidRPr="00982EB7">
              <w:t>, 2005-2007</w:t>
            </w:r>
          </w:p>
        </w:tc>
        <w:tc>
          <w:tcPr>
            <w:tcW w:w="1260" w:type="dxa"/>
          </w:tcPr>
          <w:p w14:paraId="0BCF4930" w14:textId="77777777" w:rsidR="00541EE7" w:rsidRPr="00982EB7" w:rsidRDefault="00541EE7" w:rsidP="00A04672">
            <w:r w:rsidRPr="00982EB7">
              <w:t>≥80</w:t>
            </w:r>
          </w:p>
        </w:tc>
        <w:tc>
          <w:tcPr>
            <w:tcW w:w="1800" w:type="dxa"/>
          </w:tcPr>
          <w:p w14:paraId="2A375B3B" w14:textId="77777777" w:rsidR="00541EE7" w:rsidRDefault="00541EE7" w:rsidP="00A04672">
            <w:r>
              <w:t xml:space="preserve">290 </w:t>
            </w:r>
          </w:p>
          <w:p w14:paraId="28B3A107" w14:textId="77777777" w:rsidR="00541EE7" w:rsidRPr="00982EB7" w:rsidRDefault="00541EE7" w:rsidP="00A04672">
            <w:r>
              <w:t xml:space="preserve">Ref </w:t>
            </w:r>
            <w:r w:rsidRPr="00982EB7">
              <w:t xml:space="preserve">age &lt;80: 1616 </w:t>
            </w:r>
          </w:p>
        </w:tc>
        <w:tc>
          <w:tcPr>
            <w:tcW w:w="3330" w:type="dxa"/>
          </w:tcPr>
          <w:p w14:paraId="0E356509" w14:textId="77777777" w:rsidR="00541EE7" w:rsidRDefault="00541EE7" w:rsidP="00A04672">
            <w:r>
              <w:t xml:space="preserve">   Age &lt;80: 6.4% </w:t>
            </w:r>
          </w:p>
          <w:p w14:paraId="3171B56E" w14:textId="77777777" w:rsidR="00541EE7" w:rsidRPr="00982EB7" w:rsidRDefault="00541EE7" w:rsidP="00A04672">
            <w:r>
              <w:t xml:space="preserve">   Age </w:t>
            </w:r>
            <w:r w:rsidRPr="00982EB7">
              <w:t>≥</w:t>
            </w:r>
            <w:r>
              <w:t xml:space="preserve">80: </w:t>
            </w:r>
            <w:r w:rsidRPr="00982EB7">
              <w:t>15.2%</w:t>
            </w:r>
          </w:p>
        </w:tc>
        <w:tc>
          <w:tcPr>
            <w:tcW w:w="1530" w:type="dxa"/>
          </w:tcPr>
          <w:p w14:paraId="724A0869" w14:textId="77777777" w:rsidR="00541EE7" w:rsidRPr="00982EB7" w:rsidRDefault="00541EE7" w:rsidP="00A04672">
            <w:r>
              <w:t>No indication for colonoscopy</w:t>
            </w:r>
          </w:p>
        </w:tc>
      </w:tr>
      <w:tr w:rsidR="00541EE7" w:rsidRPr="00982EB7" w14:paraId="4C271A1E" w14:textId="77777777" w:rsidTr="00A52233">
        <w:tc>
          <w:tcPr>
            <w:tcW w:w="1260" w:type="dxa"/>
          </w:tcPr>
          <w:p w14:paraId="13F961FA" w14:textId="77777777" w:rsidR="00541EE7" w:rsidRPr="00982EB7" w:rsidRDefault="00541EE7" w:rsidP="00A04672">
            <w:r w:rsidRPr="00982EB7">
              <w:t>Miller et al, 2010, US</w:t>
            </w:r>
            <w:r>
              <w:rPr>
                <w:vertAlign w:val="superscript"/>
              </w:rPr>
              <w:t>17</w:t>
            </w:r>
          </w:p>
        </w:tc>
        <w:tc>
          <w:tcPr>
            <w:tcW w:w="2160" w:type="dxa"/>
          </w:tcPr>
          <w:p w14:paraId="61306E6A" w14:textId="77777777" w:rsidR="00541EE7" w:rsidRPr="00982EB7" w:rsidRDefault="00541EE7" w:rsidP="00A04672">
            <w:r w:rsidRPr="00982EB7">
              <w:t>Retrospective, single center, 1997-2006</w:t>
            </w:r>
          </w:p>
        </w:tc>
        <w:tc>
          <w:tcPr>
            <w:tcW w:w="1260" w:type="dxa"/>
          </w:tcPr>
          <w:p w14:paraId="1A08B3FF" w14:textId="77777777" w:rsidR="00541EE7" w:rsidRPr="00982EB7" w:rsidRDefault="00541EE7" w:rsidP="00A04672">
            <w:r w:rsidRPr="00982EB7">
              <w:t>Mean 62</w:t>
            </w:r>
          </w:p>
        </w:tc>
        <w:tc>
          <w:tcPr>
            <w:tcW w:w="1800" w:type="dxa"/>
          </w:tcPr>
          <w:p w14:paraId="5AEE0F28" w14:textId="77777777" w:rsidR="00541EE7" w:rsidRPr="00982EB7" w:rsidRDefault="00541EE7" w:rsidP="00A04672">
            <w:r w:rsidRPr="00982EB7">
              <w:t>399 total</w:t>
            </w:r>
          </w:p>
          <w:p w14:paraId="79C86358" w14:textId="77777777" w:rsidR="00541EE7" w:rsidRPr="00982EB7" w:rsidRDefault="00541EE7" w:rsidP="00A04672">
            <w:pPr>
              <w:ind w:firstLine="166"/>
            </w:pPr>
            <w:r w:rsidRPr="00982EB7">
              <w:t>Age ≥64: 217</w:t>
            </w:r>
          </w:p>
        </w:tc>
        <w:tc>
          <w:tcPr>
            <w:tcW w:w="3330" w:type="dxa"/>
          </w:tcPr>
          <w:p w14:paraId="179823CD" w14:textId="77777777" w:rsidR="00541EE7" w:rsidRDefault="00541EE7" w:rsidP="00A04672"/>
          <w:p w14:paraId="42A23AA0" w14:textId="77777777" w:rsidR="00541EE7" w:rsidRPr="00982EB7" w:rsidRDefault="00541EE7" w:rsidP="00A04672">
            <w:r>
              <w:t>0.5%</w:t>
            </w:r>
          </w:p>
        </w:tc>
        <w:tc>
          <w:tcPr>
            <w:tcW w:w="1530" w:type="dxa"/>
          </w:tcPr>
          <w:p w14:paraId="64AFED15" w14:textId="77777777" w:rsidR="00541EE7" w:rsidRPr="00982EB7" w:rsidRDefault="00541EE7" w:rsidP="00A04672">
            <w:r w:rsidRPr="00982EB7">
              <w:t>Age not evaluated</w:t>
            </w:r>
          </w:p>
        </w:tc>
      </w:tr>
      <w:tr w:rsidR="00541EE7" w:rsidRPr="00982EB7" w14:paraId="3BA943BC" w14:textId="77777777" w:rsidTr="00A52233">
        <w:tc>
          <w:tcPr>
            <w:tcW w:w="1260" w:type="dxa"/>
          </w:tcPr>
          <w:p w14:paraId="1321C26C" w14:textId="77777777" w:rsidR="00541EE7" w:rsidRPr="00982EB7" w:rsidRDefault="00541EE7" w:rsidP="00A04672">
            <w:r w:rsidRPr="00982EB7">
              <w:t>Martinez et al, 2009, North America</w:t>
            </w:r>
            <w:r>
              <w:rPr>
                <w:vertAlign w:val="superscript"/>
              </w:rPr>
              <w:t>12</w:t>
            </w:r>
          </w:p>
        </w:tc>
        <w:tc>
          <w:tcPr>
            <w:tcW w:w="2160" w:type="dxa"/>
          </w:tcPr>
          <w:p w14:paraId="112C74B1" w14:textId="77777777" w:rsidR="00541EE7" w:rsidRPr="00982EB7" w:rsidRDefault="00541EE7" w:rsidP="00A04672">
            <w:r w:rsidRPr="00982EB7">
              <w:t xml:space="preserve">Secondary data analysis, pooling of </w:t>
            </w:r>
            <w:r>
              <w:t>8</w:t>
            </w:r>
            <w:r w:rsidRPr="00982EB7">
              <w:t xml:space="preserve"> prospective studies</w:t>
            </w:r>
          </w:p>
        </w:tc>
        <w:tc>
          <w:tcPr>
            <w:tcW w:w="1260" w:type="dxa"/>
          </w:tcPr>
          <w:p w14:paraId="71855A67" w14:textId="77777777" w:rsidR="00541EE7" w:rsidRPr="00982EB7" w:rsidRDefault="00541EE7" w:rsidP="00A04672">
            <w:r w:rsidRPr="00982EB7">
              <w:t>Mean 62.0 ± 9.5</w:t>
            </w:r>
          </w:p>
        </w:tc>
        <w:tc>
          <w:tcPr>
            <w:tcW w:w="1800" w:type="dxa"/>
          </w:tcPr>
          <w:p w14:paraId="23EA12C9" w14:textId="77777777" w:rsidR="00541EE7" w:rsidRPr="00982EB7" w:rsidRDefault="00541EE7" w:rsidP="00A04672">
            <w:r w:rsidRPr="00982EB7">
              <w:t>9167</w:t>
            </w:r>
          </w:p>
          <w:p w14:paraId="65DF7C1D" w14:textId="77777777" w:rsidR="00541EE7" w:rsidRPr="00982EB7" w:rsidRDefault="00541EE7" w:rsidP="00A04672">
            <w:pPr>
              <w:ind w:firstLine="166"/>
            </w:pPr>
            <w:r>
              <w:t>Age &lt;</w:t>
            </w:r>
            <w:r w:rsidRPr="00982EB7">
              <w:t xml:space="preserve">59: </w:t>
            </w:r>
            <w:r>
              <w:t>3355</w:t>
            </w:r>
          </w:p>
          <w:p w14:paraId="49A94F3C" w14:textId="77777777" w:rsidR="00541EE7" w:rsidRPr="00982EB7" w:rsidRDefault="00541EE7" w:rsidP="00A04672">
            <w:pPr>
              <w:ind w:firstLine="166"/>
            </w:pPr>
            <w:r w:rsidRPr="00982EB7">
              <w:t>Age 60-69: 3676</w:t>
            </w:r>
          </w:p>
          <w:p w14:paraId="7F517D72" w14:textId="77777777" w:rsidR="00541EE7" w:rsidRPr="00982EB7" w:rsidRDefault="00541EE7" w:rsidP="00A04672">
            <w:pPr>
              <w:ind w:firstLine="166"/>
            </w:pPr>
            <w:r w:rsidRPr="00982EB7">
              <w:t>Age 70-79: 2074</w:t>
            </w:r>
          </w:p>
          <w:p w14:paraId="744677A5" w14:textId="77777777" w:rsidR="00541EE7" w:rsidRPr="00982EB7" w:rsidRDefault="00541EE7" w:rsidP="00A04672">
            <w:pPr>
              <w:ind w:firstLine="166"/>
            </w:pPr>
            <w:r w:rsidRPr="00982EB7">
              <w:t>Age ≥80: 62</w:t>
            </w:r>
          </w:p>
        </w:tc>
        <w:tc>
          <w:tcPr>
            <w:tcW w:w="3330" w:type="dxa"/>
          </w:tcPr>
          <w:p w14:paraId="4E68F13F" w14:textId="77777777" w:rsidR="00541EE7" w:rsidRPr="00982EB7" w:rsidRDefault="00541EE7" w:rsidP="00A04672"/>
          <w:p w14:paraId="2AFBE4EA" w14:textId="77777777" w:rsidR="00541EE7" w:rsidRPr="00982EB7" w:rsidRDefault="00541EE7" w:rsidP="00A04672">
            <w:r>
              <w:t xml:space="preserve">   Age &lt;</w:t>
            </w:r>
            <w:r w:rsidRPr="00982EB7">
              <w:t>59: 0.</w:t>
            </w:r>
            <w:r>
              <w:t>2%</w:t>
            </w:r>
          </w:p>
          <w:p w14:paraId="1C89B57C" w14:textId="77777777" w:rsidR="00541EE7" w:rsidRPr="00982EB7" w:rsidRDefault="00541EE7" w:rsidP="00A04672">
            <w:r>
              <w:t xml:space="preserve">   Age 60-6</w:t>
            </w:r>
            <w:r w:rsidRPr="00982EB7">
              <w:t>9: 0.6</w:t>
            </w:r>
            <w:r>
              <w:t>%</w:t>
            </w:r>
          </w:p>
          <w:p w14:paraId="6A040CAB" w14:textId="77777777" w:rsidR="00541EE7" w:rsidRPr="00982EB7" w:rsidRDefault="00541EE7" w:rsidP="00A04672">
            <w:r>
              <w:t xml:space="preserve">   Age 70-79</w:t>
            </w:r>
            <w:r w:rsidRPr="00982EB7">
              <w:t>: 1.3</w:t>
            </w:r>
            <w:r>
              <w:t>%</w:t>
            </w:r>
          </w:p>
          <w:p w14:paraId="3866E5EC" w14:textId="77777777" w:rsidR="00541EE7" w:rsidRPr="00982EB7" w:rsidRDefault="00541EE7" w:rsidP="00A04672">
            <w:r>
              <w:t xml:space="preserve">   Age </w:t>
            </w:r>
            <w:r w:rsidRPr="00982EB7">
              <w:t>≥80: 1.6</w:t>
            </w:r>
            <w:r>
              <w:t>%</w:t>
            </w:r>
          </w:p>
        </w:tc>
        <w:tc>
          <w:tcPr>
            <w:tcW w:w="1530" w:type="dxa"/>
          </w:tcPr>
          <w:p w14:paraId="5E8F547E" w14:textId="77777777" w:rsidR="00541EE7" w:rsidRPr="00982EB7" w:rsidRDefault="00541EE7" w:rsidP="00A04672"/>
        </w:tc>
      </w:tr>
      <w:tr w:rsidR="00541EE7" w:rsidRPr="00982EB7" w14:paraId="68B08891" w14:textId="77777777" w:rsidTr="00A52233">
        <w:tc>
          <w:tcPr>
            <w:tcW w:w="1260" w:type="dxa"/>
          </w:tcPr>
          <w:p w14:paraId="67985498" w14:textId="77777777" w:rsidR="00541EE7" w:rsidRPr="00982EB7" w:rsidRDefault="00541EE7" w:rsidP="00A04672">
            <w:r w:rsidRPr="00982EB7">
              <w:t>Duncan et al, 2006, US</w:t>
            </w:r>
            <w:r w:rsidRPr="00C11986">
              <w:rPr>
                <w:vertAlign w:val="superscript"/>
              </w:rPr>
              <w:t>11</w:t>
            </w:r>
          </w:p>
        </w:tc>
        <w:tc>
          <w:tcPr>
            <w:tcW w:w="2160" w:type="dxa"/>
          </w:tcPr>
          <w:p w14:paraId="59F22821" w14:textId="77777777" w:rsidR="00541EE7" w:rsidRPr="00982EB7" w:rsidRDefault="00541EE7" w:rsidP="00A04672">
            <w:r w:rsidRPr="00982EB7">
              <w:t>Retrospective, single center, 1999-2003</w:t>
            </w:r>
          </w:p>
        </w:tc>
        <w:tc>
          <w:tcPr>
            <w:tcW w:w="1260" w:type="dxa"/>
          </w:tcPr>
          <w:p w14:paraId="39FA5CD2" w14:textId="77777777" w:rsidR="00541EE7" w:rsidRPr="00982EB7" w:rsidRDefault="00541EE7" w:rsidP="00A04672">
            <w:r w:rsidRPr="00982EB7">
              <w:t>≥ 80</w:t>
            </w:r>
          </w:p>
          <w:p w14:paraId="54C7AE2B" w14:textId="77777777" w:rsidR="00541EE7" w:rsidRPr="00982EB7" w:rsidRDefault="00541EE7" w:rsidP="00A04672">
            <w:r w:rsidRPr="00982EB7">
              <w:t>Mean 83.1</w:t>
            </w:r>
          </w:p>
        </w:tc>
        <w:tc>
          <w:tcPr>
            <w:tcW w:w="1800" w:type="dxa"/>
          </w:tcPr>
          <w:p w14:paraId="0B718536" w14:textId="77777777" w:rsidR="00541EE7" w:rsidRPr="00982EB7" w:rsidRDefault="00541EE7" w:rsidP="00A04672">
            <w:r w:rsidRPr="00982EB7">
              <w:t xml:space="preserve">1,112 </w:t>
            </w:r>
          </w:p>
          <w:p w14:paraId="1D101713" w14:textId="77777777" w:rsidR="00541EE7" w:rsidRPr="00982EB7" w:rsidRDefault="00541EE7" w:rsidP="00A04672">
            <w:pPr>
              <w:ind w:firstLine="166"/>
            </w:pPr>
            <w:r w:rsidRPr="00982EB7">
              <w:t xml:space="preserve">Surveillance: 335  </w:t>
            </w:r>
          </w:p>
        </w:tc>
        <w:tc>
          <w:tcPr>
            <w:tcW w:w="3330" w:type="dxa"/>
          </w:tcPr>
          <w:p w14:paraId="0D51FF0F" w14:textId="77777777" w:rsidR="00541EE7" w:rsidRDefault="00541EE7" w:rsidP="00A04672"/>
          <w:p w14:paraId="1DB29D0C" w14:textId="77777777" w:rsidR="00541EE7" w:rsidRPr="00982EB7" w:rsidRDefault="00541EE7" w:rsidP="00A04672">
            <w:r w:rsidRPr="00982EB7">
              <w:t>0.6%</w:t>
            </w:r>
          </w:p>
        </w:tc>
        <w:tc>
          <w:tcPr>
            <w:tcW w:w="1530" w:type="dxa"/>
          </w:tcPr>
          <w:p w14:paraId="683F8A7B" w14:textId="77777777" w:rsidR="00541EE7" w:rsidRPr="00982EB7" w:rsidRDefault="00541EE7" w:rsidP="00A04672"/>
        </w:tc>
      </w:tr>
      <w:tr w:rsidR="00541EE7" w:rsidRPr="00982EB7" w14:paraId="331A9943" w14:textId="77777777" w:rsidTr="00A52233">
        <w:tc>
          <w:tcPr>
            <w:tcW w:w="1260" w:type="dxa"/>
          </w:tcPr>
          <w:p w14:paraId="5774147E" w14:textId="77777777" w:rsidR="00541EE7" w:rsidRPr="00982EB7" w:rsidRDefault="00541EE7" w:rsidP="00A04672">
            <w:proofErr w:type="spellStart"/>
            <w:r w:rsidRPr="00982EB7">
              <w:t>Sardinha</w:t>
            </w:r>
            <w:proofErr w:type="spellEnd"/>
            <w:r w:rsidRPr="00982EB7">
              <w:t xml:space="preserve"> et al, 1999, US</w:t>
            </w:r>
            <w:r>
              <w:rPr>
                <w:vertAlign w:val="superscript"/>
              </w:rPr>
              <w:t>16</w:t>
            </w:r>
          </w:p>
        </w:tc>
        <w:tc>
          <w:tcPr>
            <w:tcW w:w="2160" w:type="dxa"/>
          </w:tcPr>
          <w:p w14:paraId="1B42FC3E" w14:textId="77777777" w:rsidR="00541EE7" w:rsidRPr="00982EB7" w:rsidRDefault="00541EE7" w:rsidP="00A04672">
            <w:r w:rsidRPr="00982EB7">
              <w:t xml:space="preserve">Retrospective, </w:t>
            </w:r>
            <w:r w:rsidRPr="00913AEA">
              <w:t>single center, 1994-1996</w:t>
            </w:r>
          </w:p>
        </w:tc>
        <w:tc>
          <w:tcPr>
            <w:tcW w:w="1260" w:type="dxa"/>
          </w:tcPr>
          <w:p w14:paraId="73D3A186" w14:textId="77777777" w:rsidR="00541EE7" w:rsidRPr="00982EB7" w:rsidRDefault="00541EE7" w:rsidP="00A04672">
            <w:r w:rsidRPr="00982EB7">
              <w:t>80-95</w:t>
            </w:r>
          </w:p>
          <w:p w14:paraId="18E88B11" w14:textId="77777777" w:rsidR="00541EE7" w:rsidRPr="00982EB7" w:rsidRDefault="00541EE7" w:rsidP="00A04672">
            <w:r w:rsidRPr="00982EB7">
              <w:t>Median 84</w:t>
            </w:r>
          </w:p>
        </w:tc>
        <w:tc>
          <w:tcPr>
            <w:tcW w:w="1800" w:type="dxa"/>
          </w:tcPr>
          <w:p w14:paraId="2C2BC88B" w14:textId="77777777" w:rsidR="00541EE7" w:rsidRPr="00982EB7" w:rsidRDefault="00541EE7" w:rsidP="00A04672">
            <w:r w:rsidRPr="00982EB7">
              <w:t>403</w:t>
            </w:r>
          </w:p>
          <w:p w14:paraId="26B94D45" w14:textId="77777777" w:rsidR="00541EE7" w:rsidRPr="00982EB7" w:rsidRDefault="00541EE7" w:rsidP="00A04672">
            <w:r>
              <w:t xml:space="preserve">   </w:t>
            </w:r>
            <w:r w:rsidRPr="00982EB7">
              <w:t>Surveillance: 210</w:t>
            </w:r>
          </w:p>
        </w:tc>
        <w:tc>
          <w:tcPr>
            <w:tcW w:w="3330" w:type="dxa"/>
          </w:tcPr>
          <w:p w14:paraId="2DD62290" w14:textId="77777777" w:rsidR="00541EE7" w:rsidRDefault="00541EE7" w:rsidP="00A04672"/>
          <w:p w14:paraId="0AF8C7A1" w14:textId="77777777" w:rsidR="00541EE7" w:rsidRPr="00982EB7" w:rsidRDefault="00541EE7" w:rsidP="00A04672">
            <w:r>
              <w:t xml:space="preserve">1.9% </w:t>
            </w:r>
          </w:p>
        </w:tc>
        <w:tc>
          <w:tcPr>
            <w:tcW w:w="1530" w:type="dxa"/>
          </w:tcPr>
          <w:p w14:paraId="050F32C0" w14:textId="77777777" w:rsidR="00541EE7" w:rsidRPr="00982EB7" w:rsidRDefault="00541EE7" w:rsidP="00A04672"/>
        </w:tc>
      </w:tr>
    </w:tbl>
    <w:p w14:paraId="1E766AF2" w14:textId="77777777" w:rsidR="00541EE7" w:rsidRPr="00C11986" w:rsidRDefault="00541EE7" w:rsidP="00541EE7">
      <w:pPr>
        <w:rPr>
          <w:i/>
        </w:rPr>
      </w:pPr>
      <w:r>
        <w:rPr>
          <w:i/>
        </w:rPr>
        <w:t>PLCO, Prostate</w:t>
      </w:r>
      <w:r w:rsidRPr="00E66842">
        <w:rPr>
          <w:i/>
        </w:rPr>
        <w:t xml:space="preserve">, Lung, Colorectal, </w:t>
      </w:r>
      <w:r>
        <w:rPr>
          <w:i/>
        </w:rPr>
        <w:t xml:space="preserve">and </w:t>
      </w:r>
      <w:r w:rsidRPr="00E66842">
        <w:rPr>
          <w:i/>
        </w:rPr>
        <w:t xml:space="preserve">Ovarian </w:t>
      </w:r>
      <w:r>
        <w:rPr>
          <w:i/>
        </w:rPr>
        <w:t>Cancer Screening T</w:t>
      </w:r>
      <w:r w:rsidRPr="00E66842">
        <w:rPr>
          <w:i/>
        </w:rPr>
        <w:t>rial; PYs, person-years</w:t>
      </w:r>
      <w:r>
        <w:rPr>
          <w:i/>
        </w:rPr>
        <w:t xml:space="preserve">; ref; referent group; US, United States; UK, United </w:t>
      </w:r>
      <w:proofErr w:type="spellStart"/>
      <w:r>
        <w:rPr>
          <w:i/>
        </w:rPr>
        <w:t>Kingdo</w:t>
      </w:r>
      <w:proofErr w:type="spellEnd"/>
    </w:p>
    <w:p w14:paraId="3FF183F4" w14:textId="77777777" w:rsidR="00541EE7" w:rsidRDefault="00541EE7" w:rsidP="00541EE7">
      <w:pPr>
        <w:rPr>
          <w:b/>
          <w:bCs/>
        </w:rPr>
      </w:pPr>
    </w:p>
    <w:p w14:paraId="2F6010C4" w14:textId="77777777" w:rsidR="00541EE7" w:rsidRDefault="00541EE7" w:rsidP="00541EE7">
      <w:pPr>
        <w:rPr>
          <w:b/>
          <w:bCs/>
        </w:rPr>
      </w:pPr>
    </w:p>
    <w:p w14:paraId="137002FA" w14:textId="77777777" w:rsidR="00541EE7" w:rsidRDefault="00541EE7" w:rsidP="00541EE7">
      <w:pPr>
        <w:rPr>
          <w:b/>
          <w:bCs/>
        </w:rPr>
      </w:pPr>
    </w:p>
    <w:p w14:paraId="4B2EE725" w14:textId="77777777" w:rsidR="00541EE7" w:rsidRPr="00D55F94" w:rsidRDefault="00541EE7" w:rsidP="00541EE7">
      <w:pPr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ADDIN EN.REFLIST </w:instrText>
      </w:r>
      <w:r>
        <w:rPr>
          <w:b/>
          <w:bCs/>
        </w:rPr>
        <w:fldChar w:fldCharType="end"/>
      </w:r>
    </w:p>
    <w:sectPr w:rsidR="00541EE7" w:rsidRPr="00D55F94" w:rsidSect="00A52233"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B834C" w14:textId="77777777" w:rsidR="009A06C3" w:rsidRDefault="009A06C3" w:rsidP="004A7A06">
      <w:pPr>
        <w:spacing w:after="0" w:line="240" w:lineRule="auto"/>
      </w:pPr>
      <w:r>
        <w:separator/>
      </w:r>
    </w:p>
  </w:endnote>
  <w:endnote w:type="continuationSeparator" w:id="0">
    <w:p w14:paraId="6A8F2A64" w14:textId="77777777" w:rsidR="009A06C3" w:rsidRDefault="009A06C3" w:rsidP="004A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3D5E9" w14:textId="77777777" w:rsidR="009A06C3" w:rsidRDefault="009A06C3" w:rsidP="00720E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E10619" w14:textId="77777777" w:rsidR="009A06C3" w:rsidRDefault="009A0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72204" w14:textId="77777777" w:rsidR="009A06C3" w:rsidRDefault="009A06C3" w:rsidP="004A7A06">
      <w:pPr>
        <w:spacing w:after="0" w:line="240" w:lineRule="auto"/>
      </w:pPr>
      <w:r>
        <w:separator/>
      </w:r>
    </w:p>
  </w:footnote>
  <w:footnote w:type="continuationSeparator" w:id="0">
    <w:p w14:paraId="2E45911E" w14:textId="77777777" w:rsidR="009A06C3" w:rsidRDefault="009A06C3" w:rsidP="004A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C77"/>
    <w:multiLevelType w:val="hybridMultilevel"/>
    <w:tmpl w:val="D458DBD4"/>
    <w:lvl w:ilvl="0" w:tplc="8B6A02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4A11"/>
    <w:multiLevelType w:val="hybridMultilevel"/>
    <w:tmpl w:val="AA3EB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22A85"/>
    <w:multiLevelType w:val="hybridMultilevel"/>
    <w:tmpl w:val="6CA8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6373E"/>
    <w:multiLevelType w:val="hybridMultilevel"/>
    <w:tmpl w:val="4E4E7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46A73"/>
    <w:multiLevelType w:val="hybridMultilevel"/>
    <w:tmpl w:val="2CBED848"/>
    <w:lvl w:ilvl="0" w:tplc="D1B0D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28A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62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E02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CE6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D46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16D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60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0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s9pwxvpaswxcea00t5epe1ptwexvwxdfsf&quot;&gt;My EndNote Library&lt;record-ids&gt;&lt;item&gt;887&lt;/item&gt;&lt;item&gt;896&lt;/item&gt;&lt;item&gt;901&lt;/item&gt;&lt;item&gt;912&lt;/item&gt;&lt;item&gt;1299&lt;/item&gt;&lt;item&gt;1334&lt;/item&gt;&lt;item&gt;1364&lt;/item&gt;&lt;item&gt;1366&lt;/item&gt;&lt;/record-ids&gt;&lt;/item&gt;&lt;/Libraries&gt;"/>
  </w:docVars>
  <w:rsids>
    <w:rsidRoot w:val="00D50032"/>
    <w:rsid w:val="00004481"/>
    <w:rsid w:val="0000666E"/>
    <w:rsid w:val="00006D2F"/>
    <w:rsid w:val="00007DDC"/>
    <w:rsid w:val="000103DF"/>
    <w:rsid w:val="00013057"/>
    <w:rsid w:val="000149A0"/>
    <w:rsid w:val="0001623C"/>
    <w:rsid w:val="000166AA"/>
    <w:rsid w:val="00021D4B"/>
    <w:rsid w:val="000243ED"/>
    <w:rsid w:val="00032375"/>
    <w:rsid w:val="00036CBC"/>
    <w:rsid w:val="00037502"/>
    <w:rsid w:val="00040AC9"/>
    <w:rsid w:val="00040AF1"/>
    <w:rsid w:val="00043BF9"/>
    <w:rsid w:val="00045FFC"/>
    <w:rsid w:val="00047CAE"/>
    <w:rsid w:val="000606AF"/>
    <w:rsid w:val="00070CA3"/>
    <w:rsid w:val="00073A7B"/>
    <w:rsid w:val="00074622"/>
    <w:rsid w:val="00081ACE"/>
    <w:rsid w:val="00083186"/>
    <w:rsid w:val="00084925"/>
    <w:rsid w:val="00090B58"/>
    <w:rsid w:val="000941B2"/>
    <w:rsid w:val="00097AAE"/>
    <w:rsid w:val="000A0124"/>
    <w:rsid w:val="000A0BDD"/>
    <w:rsid w:val="000A1F96"/>
    <w:rsid w:val="000A1FF7"/>
    <w:rsid w:val="000A5BC2"/>
    <w:rsid w:val="000B054A"/>
    <w:rsid w:val="000B1455"/>
    <w:rsid w:val="000B152F"/>
    <w:rsid w:val="000B255C"/>
    <w:rsid w:val="000B7CEA"/>
    <w:rsid w:val="000C1A2E"/>
    <w:rsid w:val="000C43CF"/>
    <w:rsid w:val="000D0463"/>
    <w:rsid w:val="000D180A"/>
    <w:rsid w:val="000D1D19"/>
    <w:rsid w:val="000D63E2"/>
    <w:rsid w:val="000D6A09"/>
    <w:rsid w:val="000E05AA"/>
    <w:rsid w:val="000E1432"/>
    <w:rsid w:val="000F031E"/>
    <w:rsid w:val="000F369A"/>
    <w:rsid w:val="000F6786"/>
    <w:rsid w:val="000F7A99"/>
    <w:rsid w:val="00103F4E"/>
    <w:rsid w:val="001047BE"/>
    <w:rsid w:val="00107170"/>
    <w:rsid w:val="001252D1"/>
    <w:rsid w:val="00136CAE"/>
    <w:rsid w:val="00142D02"/>
    <w:rsid w:val="00146E57"/>
    <w:rsid w:val="0015107B"/>
    <w:rsid w:val="0015145C"/>
    <w:rsid w:val="001563CC"/>
    <w:rsid w:val="00156951"/>
    <w:rsid w:val="00160F73"/>
    <w:rsid w:val="001612A6"/>
    <w:rsid w:val="00166BB4"/>
    <w:rsid w:val="0017002F"/>
    <w:rsid w:val="00171646"/>
    <w:rsid w:val="00172009"/>
    <w:rsid w:val="00174592"/>
    <w:rsid w:val="001749BA"/>
    <w:rsid w:val="00177AE2"/>
    <w:rsid w:val="00182DE3"/>
    <w:rsid w:val="00187C98"/>
    <w:rsid w:val="00190814"/>
    <w:rsid w:val="00191756"/>
    <w:rsid w:val="0019581A"/>
    <w:rsid w:val="001976B5"/>
    <w:rsid w:val="001A7270"/>
    <w:rsid w:val="001B031F"/>
    <w:rsid w:val="001B1348"/>
    <w:rsid w:val="001B246D"/>
    <w:rsid w:val="001B3A45"/>
    <w:rsid w:val="001B3A80"/>
    <w:rsid w:val="001B7F14"/>
    <w:rsid w:val="001C3C46"/>
    <w:rsid w:val="001C60AA"/>
    <w:rsid w:val="001E0622"/>
    <w:rsid w:val="001E6578"/>
    <w:rsid w:val="001F2A68"/>
    <w:rsid w:val="001F5A09"/>
    <w:rsid w:val="001F7711"/>
    <w:rsid w:val="0020018D"/>
    <w:rsid w:val="002049BF"/>
    <w:rsid w:val="00205DCA"/>
    <w:rsid w:val="002125D6"/>
    <w:rsid w:val="00214994"/>
    <w:rsid w:val="0021529C"/>
    <w:rsid w:val="00215A93"/>
    <w:rsid w:val="0021681E"/>
    <w:rsid w:val="00216FEE"/>
    <w:rsid w:val="00222145"/>
    <w:rsid w:val="0022262B"/>
    <w:rsid w:val="002238C7"/>
    <w:rsid w:val="002279C2"/>
    <w:rsid w:val="00242F60"/>
    <w:rsid w:val="0025570D"/>
    <w:rsid w:val="00260ADA"/>
    <w:rsid w:val="00261066"/>
    <w:rsid w:val="00264353"/>
    <w:rsid w:val="002656D8"/>
    <w:rsid w:val="00265D8B"/>
    <w:rsid w:val="00266AB6"/>
    <w:rsid w:val="00270224"/>
    <w:rsid w:val="00281EB4"/>
    <w:rsid w:val="00294B9E"/>
    <w:rsid w:val="00295357"/>
    <w:rsid w:val="00295A55"/>
    <w:rsid w:val="002A028B"/>
    <w:rsid w:val="002A1A6C"/>
    <w:rsid w:val="002A21D1"/>
    <w:rsid w:val="002A5266"/>
    <w:rsid w:val="002A66BF"/>
    <w:rsid w:val="002B057B"/>
    <w:rsid w:val="002B1A35"/>
    <w:rsid w:val="002B1E27"/>
    <w:rsid w:val="002C0CDC"/>
    <w:rsid w:val="002C540C"/>
    <w:rsid w:val="002C5D89"/>
    <w:rsid w:val="002C77BE"/>
    <w:rsid w:val="002C7905"/>
    <w:rsid w:val="002D24D2"/>
    <w:rsid w:val="002D2AA1"/>
    <w:rsid w:val="002D3B66"/>
    <w:rsid w:val="002D7DF6"/>
    <w:rsid w:val="002E2F9C"/>
    <w:rsid w:val="002E37F4"/>
    <w:rsid w:val="002E443A"/>
    <w:rsid w:val="002E788A"/>
    <w:rsid w:val="002F2330"/>
    <w:rsid w:val="002F29B6"/>
    <w:rsid w:val="002F54BA"/>
    <w:rsid w:val="003026AD"/>
    <w:rsid w:val="00304F40"/>
    <w:rsid w:val="003056C9"/>
    <w:rsid w:val="003108C0"/>
    <w:rsid w:val="00310AC3"/>
    <w:rsid w:val="003166D6"/>
    <w:rsid w:val="00327E05"/>
    <w:rsid w:val="00334139"/>
    <w:rsid w:val="0033550C"/>
    <w:rsid w:val="00336713"/>
    <w:rsid w:val="003417FE"/>
    <w:rsid w:val="00352400"/>
    <w:rsid w:val="00354E48"/>
    <w:rsid w:val="00356569"/>
    <w:rsid w:val="00362446"/>
    <w:rsid w:val="00374B51"/>
    <w:rsid w:val="00382D53"/>
    <w:rsid w:val="0038642F"/>
    <w:rsid w:val="003A0520"/>
    <w:rsid w:val="003A2B68"/>
    <w:rsid w:val="003A716B"/>
    <w:rsid w:val="003B0AB9"/>
    <w:rsid w:val="003B16D1"/>
    <w:rsid w:val="003B61CD"/>
    <w:rsid w:val="003B777A"/>
    <w:rsid w:val="003C23E7"/>
    <w:rsid w:val="003C5C65"/>
    <w:rsid w:val="003D057D"/>
    <w:rsid w:val="003D7527"/>
    <w:rsid w:val="003E53E1"/>
    <w:rsid w:val="003F3272"/>
    <w:rsid w:val="0040325F"/>
    <w:rsid w:val="00403E91"/>
    <w:rsid w:val="00411D60"/>
    <w:rsid w:val="00412E33"/>
    <w:rsid w:val="00420871"/>
    <w:rsid w:val="00424C01"/>
    <w:rsid w:val="004252A8"/>
    <w:rsid w:val="00426E3C"/>
    <w:rsid w:val="00430EE6"/>
    <w:rsid w:val="00434025"/>
    <w:rsid w:val="00441C51"/>
    <w:rsid w:val="004443F3"/>
    <w:rsid w:val="004455C8"/>
    <w:rsid w:val="004469EB"/>
    <w:rsid w:val="00453DE8"/>
    <w:rsid w:val="004549C2"/>
    <w:rsid w:val="004550C7"/>
    <w:rsid w:val="0045566F"/>
    <w:rsid w:val="0045661F"/>
    <w:rsid w:val="004573B9"/>
    <w:rsid w:val="0046173C"/>
    <w:rsid w:val="00463411"/>
    <w:rsid w:val="00463911"/>
    <w:rsid w:val="004676BF"/>
    <w:rsid w:val="00470501"/>
    <w:rsid w:val="004716DD"/>
    <w:rsid w:val="00471DA2"/>
    <w:rsid w:val="00472CD0"/>
    <w:rsid w:val="00476AB0"/>
    <w:rsid w:val="00477342"/>
    <w:rsid w:val="00477C39"/>
    <w:rsid w:val="00480209"/>
    <w:rsid w:val="004862BF"/>
    <w:rsid w:val="00486CDC"/>
    <w:rsid w:val="00492E25"/>
    <w:rsid w:val="00493D7E"/>
    <w:rsid w:val="00495509"/>
    <w:rsid w:val="004A3247"/>
    <w:rsid w:val="004A3C0E"/>
    <w:rsid w:val="004A3CB4"/>
    <w:rsid w:val="004A7A06"/>
    <w:rsid w:val="004A7C34"/>
    <w:rsid w:val="004B2E4C"/>
    <w:rsid w:val="004B77D6"/>
    <w:rsid w:val="004B7E29"/>
    <w:rsid w:val="004C0AAB"/>
    <w:rsid w:val="004C27F3"/>
    <w:rsid w:val="004C35A9"/>
    <w:rsid w:val="004C3E67"/>
    <w:rsid w:val="004C7F46"/>
    <w:rsid w:val="004D02EB"/>
    <w:rsid w:val="004D20A4"/>
    <w:rsid w:val="004D2F3F"/>
    <w:rsid w:val="004D31D9"/>
    <w:rsid w:val="004D65F7"/>
    <w:rsid w:val="004D703F"/>
    <w:rsid w:val="004E259D"/>
    <w:rsid w:val="004F08FE"/>
    <w:rsid w:val="004F10CD"/>
    <w:rsid w:val="004F4ACF"/>
    <w:rsid w:val="004F69A2"/>
    <w:rsid w:val="00503AC0"/>
    <w:rsid w:val="005073AB"/>
    <w:rsid w:val="00510EA4"/>
    <w:rsid w:val="00513943"/>
    <w:rsid w:val="005171DC"/>
    <w:rsid w:val="0052465D"/>
    <w:rsid w:val="00525A50"/>
    <w:rsid w:val="00525BD2"/>
    <w:rsid w:val="005323B8"/>
    <w:rsid w:val="005323DF"/>
    <w:rsid w:val="00534044"/>
    <w:rsid w:val="00541EE7"/>
    <w:rsid w:val="0054205B"/>
    <w:rsid w:val="005422A3"/>
    <w:rsid w:val="00545C76"/>
    <w:rsid w:val="005514F2"/>
    <w:rsid w:val="00551B13"/>
    <w:rsid w:val="005541B0"/>
    <w:rsid w:val="00570A68"/>
    <w:rsid w:val="00570D33"/>
    <w:rsid w:val="0057100E"/>
    <w:rsid w:val="00572371"/>
    <w:rsid w:val="00580000"/>
    <w:rsid w:val="005838CA"/>
    <w:rsid w:val="005851D5"/>
    <w:rsid w:val="005963AB"/>
    <w:rsid w:val="00597F59"/>
    <w:rsid w:val="005A0634"/>
    <w:rsid w:val="005A7F44"/>
    <w:rsid w:val="005B7BF7"/>
    <w:rsid w:val="005C243F"/>
    <w:rsid w:val="005C401C"/>
    <w:rsid w:val="005D152C"/>
    <w:rsid w:val="005D432C"/>
    <w:rsid w:val="005D7859"/>
    <w:rsid w:val="005D7935"/>
    <w:rsid w:val="005E41BE"/>
    <w:rsid w:val="005F1D68"/>
    <w:rsid w:val="005F3A94"/>
    <w:rsid w:val="00607637"/>
    <w:rsid w:val="00610150"/>
    <w:rsid w:val="00613181"/>
    <w:rsid w:val="00614981"/>
    <w:rsid w:val="00616FD0"/>
    <w:rsid w:val="00624A4C"/>
    <w:rsid w:val="00625EE2"/>
    <w:rsid w:val="00625FE7"/>
    <w:rsid w:val="00626C7A"/>
    <w:rsid w:val="00627244"/>
    <w:rsid w:val="00631B53"/>
    <w:rsid w:val="00637FC7"/>
    <w:rsid w:val="006438BC"/>
    <w:rsid w:val="006524B1"/>
    <w:rsid w:val="0065297F"/>
    <w:rsid w:val="0065407F"/>
    <w:rsid w:val="00655F63"/>
    <w:rsid w:val="00657530"/>
    <w:rsid w:val="00661253"/>
    <w:rsid w:val="006634EA"/>
    <w:rsid w:val="00664D02"/>
    <w:rsid w:val="006705BA"/>
    <w:rsid w:val="006725B5"/>
    <w:rsid w:val="00672732"/>
    <w:rsid w:val="00680A57"/>
    <w:rsid w:val="006816E0"/>
    <w:rsid w:val="0068198E"/>
    <w:rsid w:val="00686579"/>
    <w:rsid w:val="006908D2"/>
    <w:rsid w:val="00692492"/>
    <w:rsid w:val="00694C8E"/>
    <w:rsid w:val="006A1269"/>
    <w:rsid w:val="006B0D43"/>
    <w:rsid w:val="006B3015"/>
    <w:rsid w:val="006B5842"/>
    <w:rsid w:val="006C1ABB"/>
    <w:rsid w:val="006C1ED7"/>
    <w:rsid w:val="006C7237"/>
    <w:rsid w:val="006D034A"/>
    <w:rsid w:val="006D2172"/>
    <w:rsid w:val="006D4AD6"/>
    <w:rsid w:val="006E37DE"/>
    <w:rsid w:val="006E387B"/>
    <w:rsid w:val="006E441B"/>
    <w:rsid w:val="006F0E48"/>
    <w:rsid w:val="006F1FF3"/>
    <w:rsid w:val="006F7289"/>
    <w:rsid w:val="00702AEB"/>
    <w:rsid w:val="007036E9"/>
    <w:rsid w:val="0070646C"/>
    <w:rsid w:val="00710662"/>
    <w:rsid w:val="00710816"/>
    <w:rsid w:val="007115DA"/>
    <w:rsid w:val="007122DC"/>
    <w:rsid w:val="007150ED"/>
    <w:rsid w:val="00720E69"/>
    <w:rsid w:val="00721043"/>
    <w:rsid w:val="00721C27"/>
    <w:rsid w:val="00723867"/>
    <w:rsid w:val="00730CAB"/>
    <w:rsid w:val="00731538"/>
    <w:rsid w:val="007336C0"/>
    <w:rsid w:val="00733C6C"/>
    <w:rsid w:val="00735DC9"/>
    <w:rsid w:val="00737AF2"/>
    <w:rsid w:val="00737DCD"/>
    <w:rsid w:val="007448C9"/>
    <w:rsid w:val="00747381"/>
    <w:rsid w:val="007474C3"/>
    <w:rsid w:val="00747E32"/>
    <w:rsid w:val="00755B13"/>
    <w:rsid w:val="0076068B"/>
    <w:rsid w:val="007610AF"/>
    <w:rsid w:val="00770C93"/>
    <w:rsid w:val="00772B78"/>
    <w:rsid w:val="007751E0"/>
    <w:rsid w:val="00777A5F"/>
    <w:rsid w:val="0078256D"/>
    <w:rsid w:val="00783736"/>
    <w:rsid w:val="0078560C"/>
    <w:rsid w:val="00797610"/>
    <w:rsid w:val="007A7089"/>
    <w:rsid w:val="007A73A4"/>
    <w:rsid w:val="007B3BCB"/>
    <w:rsid w:val="007B5D38"/>
    <w:rsid w:val="007B7B25"/>
    <w:rsid w:val="007C18DC"/>
    <w:rsid w:val="007C490E"/>
    <w:rsid w:val="007D2476"/>
    <w:rsid w:val="007D4B96"/>
    <w:rsid w:val="007E0879"/>
    <w:rsid w:val="007E2B77"/>
    <w:rsid w:val="007E4E14"/>
    <w:rsid w:val="007E6111"/>
    <w:rsid w:val="007F08E3"/>
    <w:rsid w:val="00806187"/>
    <w:rsid w:val="008135E9"/>
    <w:rsid w:val="0082560F"/>
    <w:rsid w:val="00830F6C"/>
    <w:rsid w:val="00831201"/>
    <w:rsid w:val="0083216B"/>
    <w:rsid w:val="00833791"/>
    <w:rsid w:val="00836CE0"/>
    <w:rsid w:val="00842FCA"/>
    <w:rsid w:val="00851166"/>
    <w:rsid w:val="0085124E"/>
    <w:rsid w:val="00853B99"/>
    <w:rsid w:val="00857FBD"/>
    <w:rsid w:val="00870447"/>
    <w:rsid w:val="008821A7"/>
    <w:rsid w:val="0088234F"/>
    <w:rsid w:val="008838A6"/>
    <w:rsid w:val="00883AE7"/>
    <w:rsid w:val="00891C9D"/>
    <w:rsid w:val="00894BAF"/>
    <w:rsid w:val="00895561"/>
    <w:rsid w:val="008A0542"/>
    <w:rsid w:val="008A2119"/>
    <w:rsid w:val="008A40DF"/>
    <w:rsid w:val="008A61BB"/>
    <w:rsid w:val="008A6E85"/>
    <w:rsid w:val="008A7A96"/>
    <w:rsid w:val="008B4BC6"/>
    <w:rsid w:val="008C39E8"/>
    <w:rsid w:val="008C3FF4"/>
    <w:rsid w:val="008C7CF3"/>
    <w:rsid w:val="008D016C"/>
    <w:rsid w:val="008D0C62"/>
    <w:rsid w:val="008D28FA"/>
    <w:rsid w:val="008D481F"/>
    <w:rsid w:val="008D4AAB"/>
    <w:rsid w:val="008E2E4B"/>
    <w:rsid w:val="008E595A"/>
    <w:rsid w:val="008E5C1A"/>
    <w:rsid w:val="008E6BAD"/>
    <w:rsid w:val="008E70B4"/>
    <w:rsid w:val="008F0A1A"/>
    <w:rsid w:val="008F1283"/>
    <w:rsid w:val="008F1D50"/>
    <w:rsid w:val="008F604B"/>
    <w:rsid w:val="008F68B7"/>
    <w:rsid w:val="00902D4D"/>
    <w:rsid w:val="009104F2"/>
    <w:rsid w:val="00911964"/>
    <w:rsid w:val="00913AEA"/>
    <w:rsid w:val="009233E1"/>
    <w:rsid w:val="00924130"/>
    <w:rsid w:val="00926388"/>
    <w:rsid w:val="0092643E"/>
    <w:rsid w:val="0092667E"/>
    <w:rsid w:val="00927996"/>
    <w:rsid w:val="00933F2F"/>
    <w:rsid w:val="0093431A"/>
    <w:rsid w:val="00943E2D"/>
    <w:rsid w:val="009545C4"/>
    <w:rsid w:val="00954A8E"/>
    <w:rsid w:val="00956963"/>
    <w:rsid w:val="00957F47"/>
    <w:rsid w:val="00961DBF"/>
    <w:rsid w:val="00965642"/>
    <w:rsid w:val="0096705C"/>
    <w:rsid w:val="009711BA"/>
    <w:rsid w:val="0097651E"/>
    <w:rsid w:val="00977211"/>
    <w:rsid w:val="00982EB7"/>
    <w:rsid w:val="00990F88"/>
    <w:rsid w:val="0099779D"/>
    <w:rsid w:val="009A06C3"/>
    <w:rsid w:val="009A541F"/>
    <w:rsid w:val="009A79A1"/>
    <w:rsid w:val="009B0810"/>
    <w:rsid w:val="009B0EAB"/>
    <w:rsid w:val="009B50E1"/>
    <w:rsid w:val="009C0D86"/>
    <w:rsid w:val="009C24F2"/>
    <w:rsid w:val="009D0B90"/>
    <w:rsid w:val="009D19EF"/>
    <w:rsid w:val="009D1B0A"/>
    <w:rsid w:val="009D3438"/>
    <w:rsid w:val="009D45F1"/>
    <w:rsid w:val="009D547F"/>
    <w:rsid w:val="009E2D98"/>
    <w:rsid w:val="009F5FC5"/>
    <w:rsid w:val="00A01E11"/>
    <w:rsid w:val="00A029BC"/>
    <w:rsid w:val="00A04678"/>
    <w:rsid w:val="00A07A72"/>
    <w:rsid w:val="00A129F8"/>
    <w:rsid w:val="00A12BD9"/>
    <w:rsid w:val="00A20FD9"/>
    <w:rsid w:val="00A22106"/>
    <w:rsid w:val="00A320B1"/>
    <w:rsid w:val="00A32E30"/>
    <w:rsid w:val="00A41F25"/>
    <w:rsid w:val="00A45540"/>
    <w:rsid w:val="00A52233"/>
    <w:rsid w:val="00A53FD6"/>
    <w:rsid w:val="00A576F0"/>
    <w:rsid w:val="00A5785C"/>
    <w:rsid w:val="00A6033C"/>
    <w:rsid w:val="00A63753"/>
    <w:rsid w:val="00A73C6E"/>
    <w:rsid w:val="00A74AD8"/>
    <w:rsid w:val="00A8649B"/>
    <w:rsid w:val="00A876D0"/>
    <w:rsid w:val="00A90676"/>
    <w:rsid w:val="00A91061"/>
    <w:rsid w:val="00A9235D"/>
    <w:rsid w:val="00A93BE0"/>
    <w:rsid w:val="00A93CD4"/>
    <w:rsid w:val="00A95BC9"/>
    <w:rsid w:val="00A97280"/>
    <w:rsid w:val="00AA1325"/>
    <w:rsid w:val="00AA162E"/>
    <w:rsid w:val="00AA2200"/>
    <w:rsid w:val="00AA4B4C"/>
    <w:rsid w:val="00AB00F7"/>
    <w:rsid w:val="00AB0838"/>
    <w:rsid w:val="00AB0D3A"/>
    <w:rsid w:val="00AC3304"/>
    <w:rsid w:val="00AC4C3F"/>
    <w:rsid w:val="00AD040D"/>
    <w:rsid w:val="00AD0786"/>
    <w:rsid w:val="00AD4BE1"/>
    <w:rsid w:val="00AD6A0F"/>
    <w:rsid w:val="00AE41E4"/>
    <w:rsid w:val="00AE42B1"/>
    <w:rsid w:val="00AE4368"/>
    <w:rsid w:val="00AF1FA7"/>
    <w:rsid w:val="00AF5A4F"/>
    <w:rsid w:val="00AF72FE"/>
    <w:rsid w:val="00B02397"/>
    <w:rsid w:val="00B04AC8"/>
    <w:rsid w:val="00B12AB5"/>
    <w:rsid w:val="00B12EC6"/>
    <w:rsid w:val="00B153BC"/>
    <w:rsid w:val="00B22F8C"/>
    <w:rsid w:val="00B243FA"/>
    <w:rsid w:val="00B25871"/>
    <w:rsid w:val="00B26551"/>
    <w:rsid w:val="00B266A7"/>
    <w:rsid w:val="00B3232A"/>
    <w:rsid w:val="00B32563"/>
    <w:rsid w:val="00B348EB"/>
    <w:rsid w:val="00B37807"/>
    <w:rsid w:val="00B4091C"/>
    <w:rsid w:val="00B46890"/>
    <w:rsid w:val="00B51467"/>
    <w:rsid w:val="00B51A10"/>
    <w:rsid w:val="00B534A3"/>
    <w:rsid w:val="00B5705E"/>
    <w:rsid w:val="00B5721D"/>
    <w:rsid w:val="00B60AE0"/>
    <w:rsid w:val="00B64030"/>
    <w:rsid w:val="00B67F87"/>
    <w:rsid w:val="00B70481"/>
    <w:rsid w:val="00B70B87"/>
    <w:rsid w:val="00B73215"/>
    <w:rsid w:val="00B7566E"/>
    <w:rsid w:val="00B76BD2"/>
    <w:rsid w:val="00B82514"/>
    <w:rsid w:val="00B84D0D"/>
    <w:rsid w:val="00B939F1"/>
    <w:rsid w:val="00B94752"/>
    <w:rsid w:val="00B96BAE"/>
    <w:rsid w:val="00BA4B05"/>
    <w:rsid w:val="00BA4E5B"/>
    <w:rsid w:val="00BB1F8E"/>
    <w:rsid w:val="00BB3DDA"/>
    <w:rsid w:val="00BC49DD"/>
    <w:rsid w:val="00BD48A6"/>
    <w:rsid w:val="00BD6512"/>
    <w:rsid w:val="00BE79F1"/>
    <w:rsid w:val="00BF3577"/>
    <w:rsid w:val="00C056F6"/>
    <w:rsid w:val="00C07448"/>
    <w:rsid w:val="00C14C7A"/>
    <w:rsid w:val="00C20B54"/>
    <w:rsid w:val="00C22E2C"/>
    <w:rsid w:val="00C31A2F"/>
    <w:rsid w:val="00C32815"/>
    <w:rsid w:val="00C33268"/>
    <w:rsid w:val="00C37FD6"/>
    <w:rsid w:val="00C45A94"/>
    <w:rsid w:val="00C45EDA"/>
    <w:rsid w:val="00C505C5"/>
    <w:rsid w:val="00C5236C"/>
    <w:rsid w:val="00C568A7"/>
    <w:rsid w:val="00C62773"/>
    <w:rsid w:val="00C62F07"/>
    <w:rsid w:val="00C6430F"/>
    <w:rsid w:val="00C67703"/>
    <w:rsid w:val="00C71D50"/>
    <w:rsid w:val="00C721D8"/>
    <w:rsid w:val="00C74D93"/>
    <w:rsid w:val="00C8179C"/>
    <w:rsid w:val="00C83F6D"/>
    <w:rsid w:val="00C84D53"/>
    <w:rsid w:val="00C90120"/>
    <w:rsid w:val="00C919FF"/>
    <w:rsid w:val="00C92505"/>
    <w:rsid w:val="00C94D87"/>
    <w:rsid w:val="00C958C0"/>
    <w:rsid w:val="00CA0E94"/>
    <w:rsid w:val="00CA2F53"/>
    <w:rsid w:val="00CB0799"/>
    <w:rsid w:val="00CB3101"/>
    <w:rsid w:val="00CB3E8B"/>
    <w:rsid w:val="00CB683C"/>
    <w:rsid w:val="00CC3EE2"/>
    <w:rsid w:val="00CC61A3"/>
    <w:rsid w:val="00CC6470"/>
    <w:rsid w:val="00CD2824"/>
    <w:rsid w:val="00CD7ABB"/>
    <w:rsid w:val="00CE262C"/>
    <w:rsid w:val="00CE3DA0"/>
    <w:rsid w:val="00CE49CD"/>
    <w:rsid w:val="00CE5F76"/>
    <w:rsid w:val="00CE696E"/>
    <w:rsid w:val="00CF1403"/>
    <w:rsid w:val="00CF2534"/>
    <w:rsid w:val="00D01429"/>
    <w:rsid w:val="00D03C2F"/>
    <w:rsid w:val="00D1033E"/>
    <w:rsid w:val="00D13EC2"/>
    <w:rsid w:val="00D15770"/>
    <w:rsid w:val="00D2066A"/>
    <w:rsid w:val="00D21D27"/>
    <w:rsid w:val="00D22CA3"/>
    <w:rsid w:val="00D36351"/>
    <w:rsid w:val="00D367EB"/>
    <w:rsid w:val="00D44702"/>
    <w:rsid w:val="00D47582"/>
    <w:rsid w:val="00D50032"/>
    <w:rsid w:val="00D50256"/>
    <w:rsid w:val="00D55F94"/>
    <w:rsid w:val="00D604FC"/>
    <w:rsid w:val="00D6671C"/>
    <w:rsid w:val="00D709D3"/>
    <w:rsid w:val="00D82FFC"/>
    <w:rsid w:val="00D85736"/>
    <w:rsid w:val="00D91469"/>
    <w:rsid w:val="00D92F6F"/>
    <w:rsid w:val="00D94622"/>
    <w:rsid w:val="00D95CB4"/>
    <w:rsid w:val="00DA083C"/>
    <w:rsid w:val="00DA3B89"/>
    <w:rsid w:val="00DA77B5"/>
    <w:rsid w:val="00DB053D"/>
    <w:rsid w:val="00DB0B4D"/>
    <w:rsid w:val="00DB6476"/>
    <w:rsid w:val="00DB6F0B"/>
    <w:rsid w:val="00DD00B2"/>
    <w:rsid w:val="00DD211C"/>
    <w:rsid w:val="00DD31A0"/>
    <w:rsid w:val="00DD3AB4"/>
    <w:rsid w:val="00DD77CC"/>
    <w:rsid w:val="00DE454C"/>
    <w:rsid w:val="00DE68C6"/>
    <w:rsid w:val="00DE6BF2"/>
    <w:rsid w:val="00DE7BA9"/>
    <w:rsid w:val="00DF2071"/>
    <w:rsid w:val="00DF6106"/>
    <w:rsid w:val="00DF7084"/>
    <w:rsid w:val="00E00CC8"/>
    <w:rsid w:val="00E02E45"/>
    <w:rsid w:val="00E034B4"/>
    <w:rsid w:val="00E05B09"/>
    <w:rsid w:val="00E11AD1"/>
    <w:rsid w:val="00E13CDE"/>
    <w:rsid w:val="00E1641A"/>
    <w:rsid w:val="00E1657C"/>
    <w:rsid w:val="00E1711F"/>
    <w:rsid w:val="00E230CC"/>
    <w:rsid w:val="00E241DB"/>
    <w:rsid w:val="00E25077"/>
    <w:rsid w:val="00E26477"/>
    <w:rsid w:val="00E26A55"/>
    <w:rsid w:val="00E31359"/>
    <w:rsid w:val="00E3421C"/>
    <w:rsid w:val="00E407C8"/>
    <w:rsid w:val="00E40CED"/>
    <w:rsid w:val="00E42C12"/>
    <w:rsid w:val="00E51A19"/>
    <w:rsid w:val="00E52CD7"/>
    <w:rsid w:val="00E52EAA"/>
    <w:rsid w:val="00E64639"/>
    <w:rsid w:val="00E66842"/>
    <w:rsid w:val="00E70EC4"/>
    <w:rsid w:val="00E76973"/>
    <w:rsid w:val="00E77441"/>
    <w:rsid w:val="00E8299B"/>
    <w:rsid w:val="00E8348C"/>
    <w:rsid w:val="00E84607"/>
    <w:rsid w:val="00E850A2"/>
    <w:rsid w:val="00E861AB"/>
    <w:rsid w:val="00E87C67"/>
    <w:rsid w:val="00E92005"/>
    <w:rsid w:val="00E944D6"/>
    <w:rsid w:val="00E9646F"/>
    <w:rsid w:val="00EA21C3"/>
    <w:rsid w:val="00EA61ED"/>
    <w:rsid w:val="00EB212D"/>
    <w:rsid w:val="00EC0623"/>
    <w:rsid w:val="00EC06F2"/>
    <w:rsid w:val="00EC5D11"/>
    <w:rsid w:val="00ED17F6"/>
    <w:rsid w:val="00ED255D"/>
    <w:rsid w:val="00ED38AD"/>
    <w:rsid w:val="00ED65D7"/>
    <w:rsid w:val="00EE6C7D"/>
    <w:rsid w:val="00EF192F"/>
    <w:rsid w:val="00EF3058"/>
    <w:rsid w:val="00EF6E46"/>
    <w:rsid w:val="00F0165F"/>
    <w:rsid w:val="00F0674C"/>
    <w:rsid w:val="00F14547"/>
    <w:rsid w:val="00F25185"/>
    <w:rsid w:val="00F251FD"/>
    <w:rsid w:val="00F2784F"/>
    <w:rsid w:val="00F3190C"/>
    <w:rsid w:val="00F334DB"/>
    <w:rsid w:val="00F335AF"/>
    <w:rsid w:val="00F341AC"/>
    <w:rsid w:val="00F41B45"/>
    <w:rsid w:val="00F42255"/>
    <w:rsid w:val="00F440A5"/>
    <w:rsid w:val="00F5308D"/>
    <w:rsid w:val="00F536BF"/>
    <w:rsid w:val="00F54C8B"/>
    <w:rsid w:val="00F55995"/>
    <w:rsid w:val="00F559C5"/>
    <w:rsid w:val="00F60F67"/>
    <w:rsid w:val="00F6114E"/>
    <w:rsid w:val="00F62254"/>
    <w:rsid w:val="00F668A9"/>
    <w:rsid w:val="00F73EBA"/>
    <w:rsid w:val="00F80C15"/>
    <w:rsid w:val="00F8195F"/>
    <w:rsid w:val="00F8382A"/>
    <w:rsid w:val="00F85771"/>
    <w:rsid w:val="00F87476"/>
    <w:rsid w:val="00F91962"/>
    <w:rsid w:val="00F92996"/>
    <w:rsid w:val="00FA162D"/>
    <w:rsid w:val="00FA1B7B"/>
    <w:rsid w:val="00FA3DD9"/>
    <w:rsid w:val="00FA4A58"/>
    <w:rsid w:val="00FA621A"/>
    <w:rsid w:val="00FA74C8"/>
    <w:rsid w:val="00FB09E9"/>
    <w:rsid w:val="00FB2596"/>
    <w:rsid w:val="00FB282F"/>
    <w:rsid w:val="00FB7026"/>
    <w:rsid w:val="00FB7D83"/>
    <w:rsid w:val="00FC2E98"/>
    <w:rsid w:val="00FC3C5B"/>
    <w:rsid w:val="00FC4336"/>
    <w:rsid w:val="00FC617E"/>
    <w:rsid w:val="00FC690C"/>
    <w:rsid w:val="00FC731C"/>
    <w:rsid w:val="00FD15CD"/>
    <w:rsid w:val="00FD487F"/>
    <w:rsid w:val="00FD580B"/>
    <w:rsid w:val="00FD58DE"/>
    <w:rsid w:val="00FD61FE"/>
    <w:rsid w:val="00FE1B7E"/>
    <w:rsid w:val="00FE32DE"/>
    <w:rsid w:val="00FF0865"/>
    <w:rsid w:val="00FF2544"/>
    <w:rsid w:val="00FF3552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D9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9B6"/>
    <w:pPr>
      <w:spacing w:after="0" w:line="240" w:lineRule="auto"/>
    </w:pPr>
  </w:style>
  <w:style w:type="table" w:styleId="TableGrid">
    <w:name w:val="Table Grid"/>
    <w:basedOn w:val="TableNormal"/>
    <w:uiPriority w:val="39"/>
    <w:rsid w:val="00F4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B99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AD078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D078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D078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D0786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3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3FD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573B9"/>
    <w:rPr>
      <w:i/>
      <w:iCs/>
    </w:rPr>
  </w:style>
  <w:style w:type="character" w:customStyle="1" w:styleId="label">
    <w:name w:val="label"/>
    <w:basedOn w:val="DefaultParagraphFont"/>
    <w:rsid w:val="004573B9"/>
  </w:style>
  <w:style w:type="character" w:customStyle="1" w:styleId="indented-counter">
    <w:name w:val="indented-counter"/>
    <w:basedOn w:val="DefaultParagraphFont"/>
    <w:rsid w:val="004A7C34"/>
  </w:style>
  <w:style w:type="paragraph" w:customStyle="1" w:styleId="tiny-space-below">
    <w:name w:val="tiny-space-below"/>
    <w:basedOn w:val="Normal"/>
    <w:rsid w:val="004A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4A7C34"/>
    <w:rPr>
      <w:i/>
      <w:iCs/>
    </w:rPr>
  </w:style>
  <w:style w:type="character" w:customStyle="1" w:styleId="show-context-button">
    <w:name w:val="show-context-button"/>
    <w:basedOn w:val="DefaultParagraphFont"/>
    <w:rsid w:val="004A7C34"/>
  </w:style>
  <w:style w:type="character" w:customStyle="1" w:styleId="visually-hidden">
    <w:name w:val="visually-hidden"/>
    <w:basedOn w:val="DefaultParagraphFont"/>
    <w:rsid w:val="004A7C34"/>
  </w:style>
  <w:style w:type="paragraph" w:customStyle="1" w:styleId="xmsonormal">
    <w:name w:val="x_msonormal"/>
    <w:basedOn w:val="Normal"/>
    <w:rsid w:val="00E26477"/>
    <w:pPr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7A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A06"/>
  </w:style>
  <w:style w:type="character" w:styleId="PageNumber">
    <w:name w:val="page number"/>
    <w:basedOn w:val="DefaultParagraphFont"/>
    <w:uiPriority w:val="99"/>
    <w:semiHidden/>
    <w:unhideWhenUsed/>
    <w:rsid w:val="004A7A06"/>
  </w:style>
  <w:style w:type="paragraph" w:styleId="Header">
    <w:name w:val="header"/>
    <w:basedOn w:val="Normal"/>
    <w:link w:val="HeaderChar"/>
    <w:uiPriority w:val="99"/>
    <w:unhideWhenUsed/>
    <w:rsid w:val="004A7A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06"/>
  </w:style>
  <w:style w:type="paragraph" w:styleId="Revision">
    <w:name w:val="Revision"/>
    <w:hidden/>
    <w:uiPriority w:val="99"/>
    <w:semiHidden/>
    <w:rsid w:val="00E42C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9B6"/>
    <w:pPr>
      <w:spacing w:after="0" w:line="240" w:lineRule="auto"/>
    </w:pPr>
  </w:style>
  <w:style w:type="table" w:styleId="TableGrid">
    <w:name w:val="Table Grid"/>
    <w:basedOn w:val="TableNormal"/>
    <w:uiPriority w:val="39"/>
    <w:rsid w:val="00F4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B99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AD078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D078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D078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D0786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3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3FD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573B9"/>
    <w:rPr>
      <w:i/>
      <w:iCs/>
    </w:rPr>
  </w:style>
  <w:style w:type="character" w:customStyle="1" w:styleId="label">
    <w:name w:val="label"/>
    <w:basedOn w:val="DefaultParagraphFont"/>
    <w:rsid w:val="004573B9"/>
  </w:style>
  <w:style w:type="character" w:customStyle="1" w:styleId="indented-counter">
    <w:name w:val="indented-counter"/>
    <w:basedOn w:val="DefaultParagraphFont"/>
    <w:rsid w:val="004A7C34"/>
  </w:style>
  <w:style w:type="paragraph" w:customStyle="1" w:styleId="tiny-space-below">
    <w:name w:val="tiny-space-below"/>
    <w:basedOn w:val="Normal"/>
    <w:rsid w:val="004A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4A7C34"/>
    <w:rPr>
      <w:i/>
      <w:iCs/>
    </w:rPr>
  </w:style>
  <w:style w:type="character" w:customStyle="1" w:styleId="show-context-button">
    <w:name w:val="show-context-button"/>
    <w:basedOn w:val="DefaultParagraphFont"/>
    <w:rsid w:val="004A7C34"/>
  </w:style>
  <w:style w:type="character" w:customStyle="1" w:styleId="visually-hidden">
    <w:name w:val="visually-hidden"/>
    <w:basedOn w:val="DefaultParagraphFont"/>
    <w:rsid w:val="004A7C34"/>
  </w:style>
  <w:style w:type="paragraph" w:customStyle="1" w:styleId="xmsonormal">
    <w:name w:val="x_msonormal"/>
    <w:basedOn w:val="Normal"/>
    <w:rsid w:val="00E26477"/>
    <w:pPr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7A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A06"/>
  </w:style>
  <w:style w:type="character" w:styleId="PageNumber">
    <w:name w:val="page number"/>
    <w:basedOn w:val="DefaultParagraphFont"/>
    <w:uiPriority w:val="99"/>
    <w:semiHidden/>
    <w:unhideWhenUsed/>
    <w:rsid w:val="004A7A06"/>
  </w:style>
  <w:style w:type="paragraph" w:styleId="Header">
    <w:name w:val="header"/>
    <w:basedOn w:val="Normal"/>
    <w:link w:val="HeaderChar"/>
    <w:uiPriority w:val="99"/>
    <w:unhideWhenUsed/>
    <w:rsid w:val="004A7A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06"/>
  </w:style>
  <w:style w:type="paragraph" w:styleId="Revision">
    <w:name w:val="Revision"/>
    <w:hidden/>
    <w:uiPriority w:val="99"/>
    <w:semiHidden/>
    <w:rsid w:val="00E42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00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9370">
          <w:marLeft w:val="36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2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265">
          <w:marLeft w:val="36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2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2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82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5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1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5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37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0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29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2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8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7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4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88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6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59571">
          <w:marLeft w:val="36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0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3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31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6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4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7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251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72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47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99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54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18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2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962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8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26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77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8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70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30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22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2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08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5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893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595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64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21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26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70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95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4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3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6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1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2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3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2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8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5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C800-2D45-4860-A4B2-06E9C188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H. Calderwood</dc:creator>
  <cp:lastModifiedBy>Velmurugan M.</cp:lastModifiedBy>
  <cp:revision>2</cp:revision>
  <cp:lastPrinted>2019-02-28T17:55:00Z</cp:lastPrinted>
  <dcterms:created xsi:type="dcterms:W3CDTF">2019-10-22T14:41:00Z</dcterms:created>
  <dcterms:modified xsi:type="dcterms:W3CDTF">2019-10-22T14:41:00Z</dcterms:modified>
</cp:coreProperties>
</file>