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B" w:rsidRDefault="00D862BF" w:rsidP="0006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</w:t>
      </w:r>
      <w:r w:rsidR="000611FB">
        <w:rPr>
          <w:rFonts w:ascii="Times New Roman" w:hAnsi="Times New Roman" w:cs="Times New Roman"/>
          <w:b/>
          <w:sz w:val="24"/>
          <w:szCs w:val="24"/>
        </w:rPr>
        <w:t xml:space="preserve"> strategies in PubMed</w:t>
      </w:r>
    </w:p>
    <w:p w:rsidR="000611FB" w:rsidRPr="007B3118" w:rsidRDefault="000611FB" w:rsidP="000611FB">
      <w:pPr>
        <w:rPr>
          <w:rFonts w:ascii="Times New Roman" w:hAnsi="Times New Roman" w:cs="Times New Roman"/>
          <w:sz w:val="24"/>
          <w:szCs w:val="24"/>
        </w:rPr>
      </w:pPr>
      <w:r w:rsidRPr="007B31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18">
        <w:rPr>
          <w:rFonts w:ascii="Times New Roman" w:hAnsi="Times New Roman" w:cs="Times New Roman"/>
          <w:sz w:val="24"/>
          <w:szCs w:val="24"/>
        </w:rPr>
        <w:t xml:space="preserve">estrogen OR </w:t>
      </w:r>
      <w:r w:rsidRPr="00AD2DD8">
        <w:rPr>
          <w:rFonts w:ascii="Times New Roman" w:hAnsi="Times New Roman" w:cs="Times New Roman"/>
          <w:sz w:val="24"/>
          <w:szCs w:val="24"/>
        </w:rPr>
        <w:t>oestrogen</w:t>
      </w:r>
      <w:r w:rsidRPr="007B311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androgen</w:t>
      </w:r>
      <w:r w:rsidRPr="007B3118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testosterone OR</w:t>
      </w:r>
      <w:r w:rsidRPr="007B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(dehydroepiandrosterone sulfate)</w:t>
      </w:r>
      <w:r w:rsidRPr="007B311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(dehydroepiandrosterone sulphate) OR (follicle stimulating hormone)</w:t>
      </w:r>
      <w:r w:rsidRPr="007B311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(luteinizing hormone)</w:t>
      </w:r>
      <w:r w:rsidRPr="007B311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(luteinising hormone)</w:t>
      </w:r>
      <w:r w:rsidRPr="007B3118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prolactin</w:t>
      </w:r>
      <w:r w:rsidRPr="007B311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progesterone OR estradiol OR androstenedione OR FSH OR LH OR </w:t>
      </w:r>
      <w:r w:rsidR="003622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sex hormone binding globulin</w:t>
      </w:r>
      <w:r w:rsidR="003622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 SHBG OR </w:t>
      </w:r>
      <w:r w:rsidR="003622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sex hormone*</w:t>
      </w:r>
      <w:r w:rsidR="003622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3622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steroid hormone</w:t>
      </w:r>
      <w:r w:rsidR="003622DD">
        <w:rPr>
          <w:rFonts w:ascii="Times New Roman" w:hAnsi="Times New Roman" w:cs="Times New Roman"/>
          <w:sz w:val="24"/>
          <w:szCs w:val="24"/>
        </w:rPr>
        <w:t>*)</w:t>
      </w:r>
    </w:p>
    <w:p w:rsidR="000611FB" w:rsidRPr="007B3118" w:rsidRDefault="003622DD" w:rsidP="000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1FB" w:rsidRPr="007B3118">
        <w:rPr>
          <w:rFonts w:ascii="Times New Roman" w:hAnsi="Times New Roman" w:cs="Times New Roman"/>
          <w:sz w:val="24"/>
          <w:szCs w:val="24"/>
        </w:rPr>
        <w:t>.</w:t>
      </w:r>
      <w:r w:rsidR="000611FB">
        <w:rPr>
          <w:rFonts w:ascii="Times New Roman" w:hAnsi="Times New Roman" w:cs="Times New Roman"/>
          <w:sz w:val="24"/>
          <w:szCs w:val="24"/>
        </w:rPr>
        <w:t xml:space="preserve"> </w:t>
      </w:r>
      <w:r w:rsidR="000611FB" w:rsidRPr="007B3118">
        <w:rPr>
          <w:rFonts w:ascii="Times New Roman" w:hAnsi="Times New Roman" w:cs="Times New Roman"/>
          <w:sz w:val="24"/>
          <w:szCs w:val="24"/>
        </w:rPr>
        <w:t xml:space="preserve">esophagus OR </w:t>
      </w:r>
      <w:r w:rsidR="000611FB" w:rsidRPr="00AD2DD8">
        <w:rPr>
          <w:rFonts w:ascii="Times New Roman" w:hAnsi="Times New Roman" w:cs="Times New Roman"/>
          <w:sz w:val="24"/>
          <w:szCs w:val="24"/>
        </w:rPr>
        <w:t>oesophagus</w:t>
      </w:r>
      <w:r w:rsidR="000611FB" w:rsidRPr="007B3118">
        <w:rPr>
          <w:rFonts w:ascii="Times New Roman" w:hAnsi="Times New Roman" w:cs="Times New Roman"/>
          <w:sz w:val="24"/>
          <w:szCs w:val="24"/>
        </w:rPr>
        <w:t xml:space="preserve"> OR esophageal OR </w:t>
      </w:r>
      <w:r w:rsidR="000611FB" w:rsidRPr="00AD2DD8">
        <w:rPr>
          <w:rFonts w:ascii="Times New Roman" w:hAnsi="Times New Roman" w:cs="Times New Roman"/>
          <w:sz w:val="24"/>
          <w:szCs w:val="24"/>
        </w:rPr>
        <w:t>oesophageal</w:t>
      </w:r>
      <w:r>
        <w:rPr>
          <w:rFonts w:ascii="Times New Roman" w:hAnsi="Times New Roman" w:cs="Times New Roman"/>
          <w:sz w:val="24"/>
          <w:szCs w:val="24"/>
        </w:rPr>
        <w:t xml:space="preserve"> OR (upper digestive) OR (upper gastrointestinal) OR (upper aerogidestive)</w:t>
      </w:r>
    </w:p>
    <w:p w:rsidR="000611FB" w:rsidRPr="007B3118" w:rsidRDefault="003622DD" w:rsidP="000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1FB" w:rsidRPr="007B3118">
        <w:rPr>
          <w:rFonts w:ascii="Times New Roman" w:hAnsi="Times New Roman" w:cs="Times New Roman"/>
          <w:sz w:val="24"/>
          <w:szCs w:val="24"/>
        </w:rPr>
        <w:t>.</w:t>
      </w:r>
      <w:r w:rsidR="000611FB">
        <w:rPr>
          <w:rFonts w:ascii="Times New Roman" w:hAnsi="Times New Roman" w:cs="Times New Roman"/>
          <w:sz w:val="24"/>
          <w:szCs w:val="24"/>
        </w:rPr>
        <w:t xml:space="preserve"> </w:t>
      </w:r>
      <w:r w:rsidR="000611FB" w:rsidRPr="007B3118">
        <w:rPr>
          <w:rFonts w:ascii="Times New Roman" w:hAnsi="Times New Roman" w:cs="Times New Roman"/>
          <w:sz w:val="24"/>
          <w:szCs w:val="24"/>
        </w:rPr>
        <w:t xml:space="preserve">cancer OR carcinoma OR adenocarcinoma OR </w:t>
      </w:r>
      <w:r>
        <w:rPr>
          <w:rFonts w:ascii="Times New Roman" w:hAnsi="Times New Roman" w:cs="Times New Roman"/>
          <w:sz w:val="24"/>
          <w:szCs w:val="24"/>
        </w:rPr>
        <w:t>tumor OR tumour OR malignan* OR neoplas*</w:t>
      </w:r>
    </w:p>
    <w:p w:rsidR="000611FB" w:rsidRPr="007B3118" w:rsidRDefault="003622DD" w:rsidP="000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1FB" w:rsidRPr="007B3118">
        <w:rPr>
          <w:rFonts w:ascii="Times New Roman" w:hAnsi="Times New Roman" w:cs="Times New Roman"/>
          <w:sz w:val="24"/>
          <w:szCs w:val="24"/>
        </w:rPr>
        <w:t>.</w:t>
      </w:r>
      <w:r w:rsidR="00061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AND 2 AND</w:t>
      </w:r>
      <w:r w:rsidR="000611FB" w:rsidRPr="007B311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611FB" w:rsidRDefault="000611FB" w:rsidP="000611FB">
      <w:r>
        <w:rPr>
          <w:rFonts w:ascii="Times New Roman" w:hAnsi="Times New Roman" w:cs="Times New Roman"/>
          <w:sz w:val="24"/>
          <w:szCs w:val="24"/>
        </w:rPr>
        <w:t>All terms were searched in TITLE/ABSTRACT.</w:t>
      </w:r>
    </w:p>
    <w:p w:rsidR="000611FB" w:rsidRDefault="000611FB">
      <w:pPr>
        <w:rPr>
          <w:rFonts w:ascii="Times New Roman" w:hAnsi="Times New Roman" w:cs="Times New Roman"/>
          <w:sz w:val="20"/>
          <w:szCs w:val="20"/>
        </w:rPr>
        <w:sectPr w:rsidR="000611FB" w:rsidSect="000611FB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905"/>
        <w:gridCol w:w="767"/>
        <w:gridCol w:w="1615"/>
        <w:gridCol w:w="827"/>
        <w:gridCol w:w="1315"/>
        <w:gridCol w:w="1299"/>
        <w:gridCol w:w="1017"/>
        <w:gridCol w:w="1050"/>
        <w:gridCol w:w="864"/>
      </w:tblGrid>
      <w:tr w:rsidR="000611FB" w:rsidRPr="00114D01" w:rsidTr="00A56355"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0611FB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Supplementary Table </w:t>
            </w:r>
            <w:r w:rsidRPr="00114D0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14D01">
              <w:rPr>
                <w:rFonts w:ascii="Times New Roman" w:hAnsi="Times New Roman" w:cs="Times New Roman"/>
                <w:sz w:val="20"/>
                <w:szCs w:val="20"/>
              </w:rPr>
              <w:t xml:space="preserve"> Distributions of circulating sex hormone levels by case-control status</w:t>
            </w:r>
          </w:p>
        </w:tc>
      </w:tr>
      <w:tr w:rsidR="000611FB" w:rsidRPr="00114D01" w:rsidTr="00A56355"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Hormone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 quartile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Upper quartile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issi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</w:t>
            </w:r>
          </w:p>
        </w:tc>
      </w:tr>
      <w:tr w:rsidR="000611FB" w:rsidRPr="00114D01" w:rsidTr="00A56355"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 hormone-binding globulin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nmol/L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16.87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611FB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  <w:r w:rsidR="00C40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15.52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Dehydroepiandrosterone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sulfate, µmol/L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4.5.00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Follicle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stimulating hormone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IU/L</w:t>
            </w:r>
          </w:p>
        </w:tc>
        <w:tc>
          <w:tcPr>
            <w:tcW w:w="343" w:type="pct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56.50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32.20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Luteinizing hormone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IU/L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Prolactin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mIU/L</w:t>
            </w:r>
          </w:p>
        </w:tc>
        <w:tc>
          <w:tcPr>
            <w:tcW w:w="343" w:type="pct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188.66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143.50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158.00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228.50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1243.00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169.35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189.56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141.00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198.00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2690.00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nmol/L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17-OH-progesterone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nmol/L</w:t>
            </w:r>
          </w:p>
        </w:tc>
        <w:tc>
          <w:tcPr>
            <w:tcW w:w="343" w:type="pct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Progesterone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nmol/L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Estradiol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nmol/L</w:t>
            </w:r>
          </w:p>
        </w:tc>
        <w:tc>
          <w:tcPr>
            <w:tcW w:w="343" w:type="pct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  <w:t>Androstenedione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  <w:t>, nmol/L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Testosterone:estradiol ratio</w:t>
            </w:r>
          </w:p>
        </w:tc>
        <w:tc>
          <w:tcPr>
            <w:tcW w:w="343" w:type="pct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247.25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100.89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228.33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306.41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28.28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688.25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11FB" w:rsidRPr="00114D01" w:rsidTr="00A56355">
        <w:tc>
          <w:tcPr>
            <w:tcW w:w="1335" w:type="pct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228.30</w:t>
            </w:r>
          </w:p>
        </w:tc>
        <w:tc>
          <w:tcPr>
            <w:tcW w:w="61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95.58</w:t>
            </w:r>
          </w:p>
        </w:tc>
        <w:tc>
          <w:tcPr>
            <w:tcW w:w="314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218.66</w:t>
            </w:r>
          </w:p>
        </w:tc>
        <w:tc>
          <w:tcPr>
            <w:tcW w:w="499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165.28</w:t>
            </w:r>
          </w:p>
        </w:tc>
        <w:tc>
          <w:tcPr>
            <w:tcW w:w="493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273.53</w:t>
            </w:r>
          </w:p>
        </w:tc>
        <w:tc>
          <w:tcPr>
            <w:tcW w:w="386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24.29</w:t>
            </w:r>
          </w:p>
        </w:tc>
        <w:tc>
          <w:tcPr>
            <w:tcW w:w="39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669.39</w:t>
            </w:r>
          </w:p>
        </w:tc>
        <w:tc>
          <w:tcPr>
            <w:tcW w:w="328" w:type="pct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11FB" w:rsidRPr="00114D01" w:rsidTr="00A56355">
        <w:tc>
          <w:tcPr>
            <w:tcW w:w="1335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Free testosterone index 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0611FB" w:rsidRDefault="000611FB" w:rsidP="00A56355">
            <w:pPr>
              <w:spacing w:line="360" w:lineRule="auto"/>
              <w:jc w:val="center"/>
            </w:pPr>
            <w:r w:rsidRPr="00311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91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E11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31.35</w:t>
            </w:r>
          </w:p>
        </w:tc>
        <w:tc>
          <w:tcPr>
            <w:tcW w:w="328" w:type="pct"/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11FB" w:rsidRPr="00114D01" w:rsidTr="00A56355">
        <w:tc>
          <w:tcPr>
            <w:tcW w:w="1335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611FB" w:rsidRPr="00114D01" w:rsidRDefault="000611FB" w:rsidP="00A563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3110C0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11FB" w:rsidRPr="00114D01" w:rsidRDefault="000611FB" w:rsidP="00A563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370A2A" w:rsidRDefault="00370A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838"/>
        <w:gridCol w:w="883"/>
        <w:gridCol w:w="838"/>
        <w:gridCol w:w="838"/>
        <w:gridCol w:w="1036"/>
        <w:gridCol w:w="1238"/>
        <w:gridCol w:w="973"/>
        <w:gridCol w:w="1414"/>
        <w:gridCol w:w="939"/>
        <w:gridCol w:w="816"/>
        <w:gridCol w:w="1145"/>
        <w:gridCol w:w="916"/>
      </w:tblGrid>
      <w:tr w:rsidR="00953D36" w:rsidRPr="009F19AD" w:rsidTr="00C25E39">
        <w:trPr>
          <w:trHeight w:val="248"/>
        </w:trPr>
        <w:tc>
          <w:tcPr>
            <w:tcW w:w="3502" w:type="pct"/>
            <w:gridSpan w:val="9"/>
            <w:tcBorders>
              <w:bottom w:val="single" w:sz="4" w:space="0" w:color="auto"/>
            </w:tcBorders>
          </w:tcPr>
          <w:p w:rsidR="00AE083A" w:rsidRPr="009F19AD" w:rsidRDefault="009F19AD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b/>
                <w:sz w:val="20"/>
                <w:szCs w:val="20"/>
              </w:rPr>
              <w:t>Supplementary Table 2</w:t>
            </w:r>
            <w:r w:rsidR="00AE083A" w:rsidRPr="009F1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083A" w:rsidRPr="009F19AD">
              <w:rPr>
                <w:rFonts w:ascii="Times New Roman" w:hAnsi="Times New Roman" w:cs="Times New Roman"/>
                <w:sz w:val="20"/>
                <w:szCs w:val="20"/>
              </w:rPr>
              <w:t xml:space="preserve"> Pair-wise Spearman's correlation coefficients between circulating sex hormone levels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nb-NO" w:eastAsia="en-US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D36" w:rsidRPr="009F19AD" w:rsidTr="00BF32E8">
        <w:trPr>
          <w:trHeight w:val="330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7072A1" w:rsidP="00640F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sz w:val="20"/>
                <w:szCs w:val="20"/>
              </w:rPr>
              <w:t>Hormone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7072A1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SHBG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7072A1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DHEA</w:t>
            </w:r>
            <w:r w:rsidR="00312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953D36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FSH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953D36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7072A1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Prolactin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953D36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5B1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estosterone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7072A1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17-OH</w:t>
            </w:r>
            <w:r w:rsidR="00953D36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7072A1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Progesterone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7072A1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DA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stradiol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953D36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eastAsia="Calibri" w:hAnsi="Times New Roman" w:cs="Times New Roman"/>
                <w:sz w:val="20"/>
                <w:szCs w:val="20"/>
                <w:lang w:val="nb-NO" w:eastAsia="en-US"/>
              </w:rPr>
              <w:t>AE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953D36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T:E2 ratio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072A1" w:rsidRPr="009F19AD" w:rsidRDefault="00953D36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FTI</w:t>
            </w:r>
          </w:p>
        </w:tc>
      </w:tr>
      <w:tr w:rsidR="00953D36" w:rsidRPr="009F19AD" w:rsidTr="00D70F75">
        <w:tc>
          <w:tcPr>
            <w:tcW w:w="507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SHBG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47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BF32E8">
        <w:tc>
          <w:tcPr>
            <w:tcW w:w="50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DHEA</w:t>
            </w:r>
            <w:r w:rsidR="00312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34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6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2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48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D70F75">
        <w:tc>
          <w:tcPr>
            <w:tcW w:w="507" w:type="pct"/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FSH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4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  <w:r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6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2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48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47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953D36" w:rsidRPr="009F19AD" w:rsidTr="00BF32E8">
        <w:tc>
          <w:tcPr>
            <w:tcW w:w="50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LH 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4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  <w:r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8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53D36" w:rsidRPr="009F19AD" w:rsidTr="00D70F75">
        <w:tc>
          <w:tcPr>
            <w:tcW w:w="507" w:type="pct"/>
            <w:vAlign w:val="bottom"/>
          </w:tcPr>
          <w:p w:rsidR="00AE083A" w:rsidRPr="009F19AD" w:rsidRDefault="00AC67FD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Prolactin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4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6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2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48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47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BF32E8">
        <w:tc>
          <w:tcPr>
            <w:tcW w:w="50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5B1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estosterone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4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  <w:r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6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8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D70F75">
        <w:tc>
          <w:tcPr>
            <w:tcW w:w="507" w:type="pct"/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17-OH</w:t>
            </w:r>
            <w:r w:rsidR="00953D36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4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6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D84FAC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BF32E8">
        <w:tc>
          <w:tcPr>
            <w:tcW w:w="50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53654B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rogesterone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4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6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2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8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84FAC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953D36" w:rsidRPr="009F19AD" w:rsidTr="00D70F75">
        <w:tc>
          <w:tcPr>
            <w:tcW w:w="507" w:type="pct"/>
            <w:vAlign w:val="bottom"/>
          </w:tcPr>
          <w:p w:rsidR="00AE083A" w:rsidRPr="009F19AD" w:rsidRDefault="00AE083A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DA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stradiol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4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6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8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84FAC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BF32E8">
        <w:tc>
          <w:tcPr>
            <w:tcW w:w="507" w:type="pct"/>
            <w:shd w:val="clear" w:color="auto" w:fill="C6D9F1" w:themeFill="text2" w:themeFillTint="33"/>
            <w:vAlign w:val="bottom"/>
          </w:tcPr>
          <w:p w:rsidR="00AE083A" w:rsidRPr="009F19AD" w:rsidRDefault="00953D36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  <w:t>AE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4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  <w:r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6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8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shd w:val="clear" w:color="auto" w:fill="C6D9F1" w:themeFill="text2" w:themeFillTint="33"/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D70F75"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AE083A" w:rsidRPr="009F19AD" w:rsidRDefault="00953D36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T:E2 ratio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F07E96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:rsidR="00AE083A" w:rsidRPr="009F19AD" w:rsidRDefault="00AE083A" w:rsidP="0064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="00343B11" w:rsidRPr="00343B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343B11"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53D36" w:rsidRPr="009F19AD" w:rsidTr="00C25E39">
        <w:trPr>
          <w:trHeight w:val="684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953D36" w:rsidRPr="009F19AD" w:rsidRDefault="00F07E96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953D36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38BC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P&lt;0.05; </w:t>
            </w:r>
            <w:r w:rsidR="00953D36" w:rsidRPr="009F19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F07E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838BC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P&lt;0.01</w:t>
            </w:r>
          </w:p>
          <w:p w:rsidR="00D70F75" w:rsidRPr="009F19AD" w:rsidRDefault="00D838BC" w:rsidP="00640F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AE: </w:t>
            </w:r>
            <w:r w:rsidR="00D70F75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androstenedione</w:t>
            </w:r>
            <w:r w:rsidR="00B267DD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F65FA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DHEA</w:t>
            </w:r>
            <w:r w:rsidR="00312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F65FA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EE34D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F65FA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ehydroepiandrosterone</w:t>
            </w:r>
            <w:r w:rsidR="00312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sulfate</w:t>
            </w:r>
            <w:r w:rsidR="00F65FA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FSH: </w:t>
            </w:r>
            <w:r w:rsidR="00EE34D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F65FA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ollicle stimulating hormone; </w:t>
            </w:r>
            <w:r w:rsidR="0053654B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FTI: </w:t>
            </w:r>
            <w:r w:rsidR="00EE34D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53654B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ree testosterone index; </w:t>
            </w:r>
            <w:r w:rsidR="00EE34D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LH: luteinizing hormone; </w:t>
            </w:r>
            <w:r w:rsidR="007A4E66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17-OHP: 17-OH-progesterone; </w:t>
            </w:r>
            <w:r w:rsidR="00EE34D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SHBG:</w:t>
            </w:r>
            <w:r w:rsidR="005B1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sex hormone-binding globulin</w:t>
            </w:r>
            <w:r w:rsidR="00EE34D1" w:rsidRPr="009F1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T:E2 ratio: testosterone:estradiol ratio</w:t>
            </w:r>
          </w:p>
        </w:tc>
      </w:tr>
    </w:tbl>
    <w:p w:rsidR="00C869C7" w:rsidRDefault="00C869C7" w:rsidP="008A2B1A">
      <w:pPr>
        <w:rPr>
          <w:rFonts w:ascii="Times New Roman" w:hAnsi="Times New Roman" w:cs="Times New Roman"/>
          <w:sz w:val="20"/>
          <w:szCs w:val="20"/>
        </w:rPr>
      </w:pPr>
    </w:p>
    <w:p w:rsidR="00C869C7" w:rsidRDefault="00C86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072A1" w:rsidRDefault="007072A1" w:rsidP="008A2B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994"/>
        <w:gridCol w:w="1749"/>
        <w:gridCol w:w="1193"/>
        <w:gridCol w:w="994"/>
        <w:gridCol w:w="1844"/>
        <w:gridCol w:w="1327"/>
        <w:gridCol w:w="1383"/>
        <w:gridCol w:w="1361"/>
        <w:gridCol w:w="639"/>
      </w:tblGrid>
      <w:tr w:rsidR="00C869C7" w:rsidTr="007B73E5">
        <w:tc>
          <w:tcPr>
            <w:tcW w:w="13176" w:type="dxa"/>
            <w:gridSpan w:val="10"/>
            <w:tcBorders>
              <w:bottom w:val="single" w:sz="4" w:space="0" w:color="auto"/>
            </w:tcBorders>
          </w:tcPr>
          <w:p w:rsidR="00C869C7" w:rsidRDefault="00C869C7" w:rsidP="00E06B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70A2A">
              <w:rPr>
                <w:rFonts w:ascii="Times New Roman" w:hAnsi="Times New Roman" w:cs="Times New Roman"/>
                <w:b/>
                <w:sz w:val="20"/>
                <w:szCs w:val="20"/>
              </w:rPr>
              <w:t>Supplementary Table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assessment scale of studies included in the meta-analysis</w:t>
            </w:r>
          </w:p>
        </w:tc>
      </w:tr>
      <w:tr w:rsidR="00C869C7" w:rsidTr="007B73E5">
        <w:tc>
          <w:tcPr>
            <w:tcW w:w="16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869C7" w:rsidRDefault="00C869C7" w:rsidP="00E06B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869C7" w:rsidRDefault="00C869C7" w:rsidP="00E06B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Comparability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869C7" w:rsidRDefault="00C869C7" w:rsidP="00E06B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C869C7" w:rsidTr="007B73E5"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definition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Representativeness of cases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 of controls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definition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Exposure ascertainment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Ascertainment method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Non-response rate</w:t>
            </w: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C7" w:rsidTr="007B73E5">
        <w:tc>
          <w:tcPr>
            <w:tcW w:w="1692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Petrick et al. 2019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69C7" w:rsidTr="007B73E5">
        <w:tc>
          <w:tcPr>
            <w:tcW w:w="16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present study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69C7" w:rsidRDefault="00C869C7" w:rsidP="00E06B4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869C7" w:rsidRDefault="00C869C7" w:rsidP="008A2B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69C7" w:rsidSect="004304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FD" w:rsidRDefault="00062CFD" w:rsidP="00A8738F">
      <w:pPr>
        <w:spacing w:after="0" w:line="240" w:lineRule="auto"/>
      </w:pPr>
      <w:r>
        <w:separator/>
      </w:r>
    </w:p>
  </w:endnote>
  <w:endnote w:type="continuationSeparator" w:id="0">
    <w:p w:rsidR="00062CFD" w:rsidRDefault="00062CFD" w:rsidP="00A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FD" w:rsidRDefault="00062CFD" w:rsidP="00A8738F">
      <w:pPr>
        <w:spacing w:after="0" w:line="240" w:lineRule="auto"/>
      </w:pPr>
      <w:r>
        <w:separator/>
      </w:r>
    </w:p>
  </w:footnote>
  <w:footnote w:type="continuationSeparator" w:id="0">
    <w:p w:rsidR="00062CFD" w:rsidRDefault="00062CFD" w:rsidP="00A8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11"/>
    <w:rsid w:val="000611FB"/>
    <w:rsid w:val="00062CFD"/>
    <w:rsid w:val="00096671"/>
    <w:rsid w:val="000C2831"/>
    <w:rsid w:val="00114D01"/>
    <w:rsid w:val="00163ACE"/>
    <w:rsid w:val="001A2059"/>
    <w:rsid w:val="001C4AAB"/>
    <w:rsid w:val="001D1FF6"/>
    <w:rsid w:val="001E6C7B"/>
    <w:rsid w:val="001F3DF4"/>
    <w:rsid w:val="0022343F"/>
    <w:rsid w:val="0024251D"/>
    <w:rsid w:val="00251E0B"/>
    <w:rsid w:val="00290F4B"/>
    <w:rsid w:val="002C6ED7"/>
    <w:rsid w:val="002F08B4"/>
    <w:rsid w:val="00300503"/>
    <w:rsid w:val="003122AB"/>
    <w:rsid w:val="00334127"/>
    <w:rsid w:val="00343B11"/>
    <w:rsid w:val="003622DD"/>
    <w:rsid w:val="0037045E"/>
    <w:rsid w:val="00370A2A"/>
    <w:rsid w:val="00373319"/>
    <w:rsid w:val="00387342"/>
    <w:rsid w:val="003C386D"/>
    <w:rsid w:val="00411E75"/>
    <w:rsid w:val="004226C4"/>
    <w:rsid w:val="004304BA"/>
    <w:rsid w:val="0049546A"/>
    <w:rsid w:val="004D7291"/>
    <w:rsid w:val="004F4198"/>
    <w:rsid w:val="0050616B"/>
    <w:rsid w:val="00522086"/>
    <w:rsid w:val="0053654B"/>
    <w:rsid w:val="00552B3B"/>
    <w:rsid w:val="005532F2"/>
    <w:rsid w:val="00567D11"/>
    <w:rsid w:val="005B1B13"/>
    <w:rsid w:val="00601102"/>
    <w:rsid w:val="00610651"/>
    <w:rsid w:val="00640FB2"/>
    <w:rsid w:val="0064315B"/>
    <w:rsid w:val="0065688D"/>
    <w:rsid w:val="0067622D"/>
    <w:rsid w:val="006B0D44"/>
    <w:rsid w:val="006F2DFE"/>
    <w:rsid w:val="00701AF2"/>
    <w:rsid w:val="007072A1"/>
    <w:rsid w:val="00713F8A"/>
    <w:rsid w:val="00742622"/>
    <w:rsid w:val="007A4E66"/>
    <w:rsid w:val="007C3F31"/>
    <w:rsid w:val="00833747"/>
    <w:rsid w:val="0089782C"/>
    <w:rsid w:val="008A2B1A"/>
    <w:rsid w:val="008E6756"/>
    <w:rsid w:val="008F1FE9"/>
    <w:rsid w:val="00920031"/>
    <w:rsid w:val="00953D36"/>
    <w:rsid w:val="00960E9D"/>
    <w:rsid w:val="00981417"/>
    <w:rsid w:val="009875D9"/>
    <w:rsid w:val="009E34D2"/>
    <w:rsid w:val="009F19AD"/>
    <w:rsid w:val="00A1495C"/>
    <w:rsid w:val="00A21A70"/>
    <w:rsid w:val="00A26411"/>
    <w:rsid w:val="00A4689B"/>
    <w:rsid w:val="00A8738F"/>
    <w:rsid w:val="00A907C1"/>
    <w:rsid w:val="00A9743F"/>
    <w:rsid w:val="00AA161B"/>
    <w:rsid w:val="00AC67FD"/>
    <w:rsid w:val="00AE083A"/>
    <w:rsid w:val="00AE60AB"/>
    <w:rsid w:val="00B267DD"/>
    <w:rsid w:val="00B86C42"/>
    <w:rsid w:val="00BF32E8"/>
    <w:rsid w:val="00C16EF3"/>
    <w:rsid w:val="00C25E39"/>
    <w:rsid w:val="00C32AD4"/>
    <w:rsid w:val="00C40AB6"/>
    <w:rsid w:val="00C869C7"/>
    <w:rsid w:val="00D2174C"/>
    <w:rsid w:val="00D473C5"/>
    <w:rsid w:val="00D70F75"/>
    <w:rsid w:val="00D838BC"/>
    <w:rsid w:val="00D84FAC"/>
    <w:rsid w:val="00D862BF"/>
    <w:rsid w:val="00D918F0"/>
    <w:rsid w:val="00D94720"/>
    <w:rsid w:val="00DA1894"/>
    <w:rsid w:val="00E06B43"/>
    <w:rsid w:val="00E11270"/>
    <w:rsid w:val="00E142D7"/>
    <w:rsid w:val="00E31623"/>
    <w:rsid w:val="00E43A14"/>
    <w:rsid w:val="00E52BE0"/>
    <w:rsid w:val="00E64936"/>
    <w:rsid w:val="00E77A2E"/>
    <w:rsid w:val="00E92252"/>
    <w:rsid w:val="00EB4DE1"/>
    <w:rsid w:val="00EE34D1"/>
    <w:rsid w:val="00F05815"/>
    <w:rsid w:val="00F07E96"/>
    <w:rsid w:val="00F14938"/>
    <w:rsid w:val="00F429C3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39CB66E-F9B2-409E-9393-D98634FD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8F"/>
  </w:style>
  <w:style w:type="paragraph" w:styleId="Footer">
    <w:name w:val="footer"/>
    <w:basedOn w:val="Normal"/>
    <w:link w:val="FooterChar"/>
    <w:uiPriority w:val="99"/>
    <w:unhideWhenUsed/>
    <w:rsid w:val="00A8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8F"/>
  </w:style>
  <w:style w:type="paragraph" w:styleId="ListParagraph">
    <w:name w:val="List Paragraph"/>
    <w:basedOn w:val="Normal"/>
    <w:uiPriority w:val="34"/>
    <w:qFormat/>
    <w:rsid w:val="0095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0E3B-835D-4A45-BCFA-72BBBEC9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Sirus Rabbani</dc:creator>
  <cp:keywords/>
  <dc:description/>
  <cp:lastModifiedBy>Shaohua Xia</cp:lastModifiedBy>
  <cp:revision>96</cp:revision>
  <cp:lastPrinted>2018-11-01T15:28:00Z</cp:lastPrinted>
  <dcterms:created xsi:type="dcterms:W3CDTF">2018-11-01T12:25:00Z</dcterms:created>
  <dcterms:modified xsi:type="dcterms:W3CDTF">2019-07-25T09:10:00Z</dcterms:modified>
</cp:coreProperties>
</file>