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264EF" w14:textId="4A0A664D" w:rsidR="00DE5EBE" w:rsidRPr="00C929B2" w:rsidRDefault="00DE5EBE" w:rsidP="00DE5EBE">
      <w:pPr>
        <w:spacing w:line="240" w:lineRule="auto"/>
        <w:rPr>
          <w:rFonts w:ascii="Arial" w:hAnsi="Arial" w:cs="Arial"/>
          <w:b/>
          <w:lang w:val="en-US"/>
        </w:rPr>
      </w:pPr>
      <w:bookmarkStart w:id="0" w:name="_GoBack"/>
      <w:bookmarkEnd w:id="0"/>
      <w:r w:rsidRPr="00C929B2">
        <w:rPr>
          <w:rFonts w:ascii="Arial" w:hAnsi="Arial" w:cs="Arial"/>
          <w:b/>
          <w:lang w:val="en-US"/>
        </w:rPr>
        <w:t>Online-only supplement of Atkinson</w:t>
      </w:r>
      <w:r w:rsidR="00A54DAF">
        <w:rPr>
          <w:rFonts w:ascii="Arial" w:hAnsi="Arial" w:cs="Arial"/>
          <w:b/>
          <w:lang w:val="en-US"/>
        </w:rPr>
        <w:t>*, Hamesch*</w:t>
      </w:r>
      <w:r w:rsidRPr="00C929B2">
        <w:rPr>
          <w:rFonts w:ascii="Arial" w:hAnsi="Arial" w:cs="Arial"/>
          <w:b/>
          <w:lang w:val="en-US"/>
        </w:rPr>
        <w:t xml:space="preserve"> et al. – “</w:t>
      </w:r>
      <w:r w:rsidR="00A54DAF" w:rsidRPr="00186963">
        <w:rPr>
          <w:rFonts w:ascii="Arial" w:hAnsi="Arial" w:cs="Arial"/>
          <w:b/>
          <w:color w:val="0070C0"/>
          <w:lang w:val="en-US"/>
        </w:rPr>
        <w:t>Serum transferrin is an independent predictor of mortality in severe alcoholic hepatitis</w:t>
      </w:r>
      <w:r w:rsidRPr="00186963">
        <w:rPr>
          <w:rFonts w:ascii="Arial" w:hAnsi="Arial" w:cs="Arial"/>
          <w:b/>
          <w:color w:val="0070C0"/>
          <w:lang w:val="en-US"/>
        </w:rPr>
        <w:t>.</w:t>
      </w:r>
      <w:r w:rsidRPr="00C929B2">
        <w:rPr>
          <w:rFonts w:ascii="Arial" w:hAnsi="Arial" w:cs="Arial"/>
          <w:b/>
          <w:lang w:val="en-US"/>
        </w:rPr>
        <w:t>”</w:t>
      </w:r>
    </w:p>
    <w:p w14:paraId="5864AFDF" w14:textId="77777777" w:rsidR="00D95A4A" w:rsidRPr="00C929B2" w:rsidRDefault="00D95A4A" w:rsidP="00D95A4A">
      <w:pPr>
        <w:spacing w:line="240" w:lineRule="auto"/>
        <w:rPr>
          <w:rFonts w:ascii="Arial" w:hAnsi="Arial" w:cs="Arial"/>
          <w:b/>
          <w:lang w:val="en-US"/>
        </w:rPr>
      </w:pPr>
    </w:p>
    <w:p w14:paraId="4B5AA995" w14:textId="1700BE32" w:rsidR="0082345F" w:rsidRDefault="0082345F" w:rsidP="0082345F">
      <w:pPr>
        <w:pStyle w:val="berschrift1"/>
        <w:rPr>
          <w:rFonts w:ascii="Arial" w:hAnsi="Arial" w:cs="Arial"/>
          <w:b/>
          <w:sz w:val="24"/>
          <w:szCs w:val="24"/>
        </w:rPr>
      </w:pPr>
      <w:r w:rsidRPr="00C929B2">
        <w:rPr>
          <w:rFonts w:ascii="Arial" w:hAnsi="Arial" w:cs="Arial"/>
          <w:b/>
          <w:sz w:val="24"/>
          <w:szCs w:val="24"/>
        </w:rPr>
        <w:t xml:space="preserve">SUPPLEMENTARY </w:t>
      </w:r>
      <w:r>
        <w:rPr>
          <w:rFonts w:ascii="Arial" w:hAnsi="Arial" w:cs="Arial"/>
          <w:b/>
          <w:sz w:val="24"/>
          <w:szCs w:val="24"/>
        </w:rPr>
        <w:t>METHODS</w:t>
      </w:r>
    </w:p>
    <w:p w14:paraId="05BFDD95" w14:textId="4113CF2A" w:rsidR="003A5273" w:rsidRPr="005E5FEA" w:rsidRDefault="003A5273" w:rsidP="003A5273">
      <w:pPr>
        <w:pStyle w:val="berschrift3"/>
        <w:rPr>
          <w:rFonts w:ascii="Arial" w:hAnsi="Arial" w:cs="Arial"/>
          <w:b/>
          <w:color w:val="auto"/>
        </w:rPr>
      </w:pPr>
      <w:r w:rsidRPr="005E5FEA">
        <w:rPr>
          <w:rFonts w:ascii="Arial" w:hAnsi="Arial" w:cs="Arial"/>
          <w:b/>
          <w:color w:val="auto"/>
        </w:rPr>
        <w:t>Study population</w:t>
      </w:r>
      <w:r w:rsidR="00AD7F39">
        <w:rPr>
          <w:rFonts w:ascii="Arial" w:hAnsi="Arial" w:cs="Arial"/>
          <w:b/>
          <w:color w:val="auto"/>
        </w:rPr>
        <w:t xml:space="preserve"> </w:t>
      </w:r>
      <w:r w:rsidR="00AD7F39" w:rsidRPr="00D779F8">
        <w:rPr>
          <w:rFonts w:ascii="Arial" w:hAnsi="Arial" w:cs="Arial"/>
          <w:b/>
          <w:bCs/>
          <w:lang w:val="en-US"/>
        </w:rPr>
        <w:t>(continued)</w:t>
      </w:r>
    </w:p>
    <w:p w14:paraId="43E2A64A" w14:textId="68ABF7A8" w:rsidR="003A5273" w:rsidRPr="00DD337C" w:rsidRDefault="003A5273" w:rsidP="00DD337C">
      <w:pPr>
        <w:rPr>
          <w:rFonts w:ascii="Arial" w:hAnsi="Arial" w:cs="Arial"/>
        </w:rPr>
      </w:pPr>
      <w:r w:rsidRPr="00186963">
        <w:rPr>
          <w:rFonts w:ascii="Arial" w:hAnsi="Arial" w:cs="Arial"/>
          <w:color w:val="0070C0"/>
        </w:rPr>
        <w:t xml:space="preserve">Ethical </w:t>
      </w:r>
      <w:r w:rsidRPr="005E5FEA">
        <w:rPr>
          <w:rFonts w:ascii="Arial" w:hAnsi="Arial" w:cs="Arial"/>
        </w:rPr>
        <w:t xml:space="preserve">approval was granted for this study by the Wales Research Ethics Committee </w:t>
      </w:r>
      <w:r w:rsidRPr="005E5FEA">
        <w:rPr>
          <w:rFonts w:ascii="Arial" w:hAnsi="Arial" w:cs="Arial"/>
          <w:lang w:val="en-US"/>
        </w:rPr>
        <w:t xml:space="preserve">(REC </w:t>
      </w:r>
      <w:r w:rsidRPr="005E5FEA">
        <w:rPr>
          <w:rFonts w:ascii="Arial" w:hAnsi="Arial" w:cs="Arial"/>
        </w:rPr>
        <w:t xml:space="preserve">09/MRE09/59). The study was conducted according to the Declaration of Helsinki (Hong Kong Amendment) and Good Clinical Practice (European guidelines). All participants, or their legally appointed representatives, provided written informed consent. </w:t>
      </w:r>
    </w:p>
    <w:p w14:paraId="460CCFAB" w14:textId="77777777" w:rsidR="003A5273" w:rsidRDefault="003A5273" w:rsidP="003A5273">
      <w:pPr>
        <w:pStyle w:val="berschrift3"/>
        <w:rPr>
          <w:rFonts w:ascii="Arial" w:hAnsi="Arial" w:cs="Arial"/>
          <w:b/>
          <w:color w:val="auto"/>
        </w:rPr>
      </w:pPr>
    </w:p>
    <w:p w14:paraId="2058942C" w14:textId="06CB7324" w:rsidR="003A5273" w:rsidRPr="005E5FEA" w:rsidRDefault="003A5273" w:rsidP="003A5273">
      <w:pPr>
        <w:pStyle w:val="berschrift3"/>
        <w:rPr>
          <w:rFonts w:ascii="Arial" w:hAnsi="Arial" w:cs="Arial"/>
          <w:b/>
          <w:color w:val="auto"/>
        </w:rPr>
      </w:pPr>
      <w:r w:rsidRPr="005E5FEA">
        <w:rPr>
          <w:rFonts w:ascii="Arial" w:hAnsi="Arial" w:cs="Arial"/>
          <w:b/>
          <w:color w:val="auto"/>
        </w:rPr>
        <w:t>Measurement of laboratory parameters</w:t>
      </w:r>
    </w:p>
    <w:p w14:paraId="0F3A7C51" w14:textId="0423769B" w:rsidR="00E2038B" w:rsidRPr="00186963" w:rsidRDefault="00A33264" w:rsidP="00E2038B">
      <w:pPr>
        <w:rPr>
          <w:rFonts w:ascii="Arial" w:hAnsi="Arial" w:cs="Arial"/>
          <w:color w:val="0070C0"/>
        </w:rPr>
      </w:pPr>
      <w:r w:rsidRPr="00186963">
        <w:rPr>
          <w:rFonts w:ascii="Arial" w:hAnsi="Arial" w:cs="Arial"/>
          <w:color w:val="0070C0"/>
        </w:rPr>
        <w:t xml:space="preserve">All blood samples were drawn at baseline, i.e. prior to the initiation of therapy but after confirmation of eligibility for entry to the STOPAH trial by screening and subsequent randomization. These </w:t>
      </w:r>
      <w:r>
        <w:rPr>
          <w:rFonts w:ascii="Arial" w:hAnsi="Arial" w:cs="Arial"/>
        </w:rPr>
        <w:t>p</w:t>
      </w:r>
      <w:r w:rsidR="003A5273" w:rsidRPr="005E5FEA">
        <w:rPr>
          <w:rFonts w:ascii="Arial" w:hAnsi="Arial" w:cs="Arial"/>
        </w:rPr>
        <w:t>re-treatment serum samples were successfully collected from 866/1092 patients. In 828 of them (96%), a sufficient volume of serum was available to carry out the described analyses. Serum C-reactive protein (CRP; turbidimetry), ferritin (electrochemiluminescence), transferrin (TF; turbidimetry), iron (photometry), TSAT, and soluble transferrin receptor (sTfR; turbidimetry) were measured with routine assays using the Cobas 8000 system (Roche Diagnostics, Mannheim, Germany) available at the Clinical Chemistry Department of University Hospital Aachen. All tests have been approved for use in clinical practice and were not altered by hemolysis or increased serum bilirubin. Serum hepcidin was quantified by a commercially available enzyme-linked immunosorbent assay kit (EIA-5782; DRG Instruments, Marburg, Germany). Non-transferrin bound iron (NTBI) was measured using the FeROS eLPI kit, a fl</w:t>
      </w:r>
      <w:r w:rsidR="003A5273">
        <w:rPr>
          <w:rFonts w:ascii="Arial" w:hAnsi="Arial" w:cs="Arial"/>
        </w:rPr>
        <w:t>u</w:t>
      </w:r>
      <w:r w:rsidR="003A5273" w:rsidRPr="005E5FEA">
        <w:rPr>
          <w:rFonts w:ascii="Arial" w:hAnsi="Arial" w:cs="Arial"/>
        </w:rPr>
        <w:t xml:space="preserve">orescence-based assay intended for the in vitro </w:t>
      </w:r>
      <w:r w:rsidR="003A5273" w:rsidRPr="00313C04">
        <w:rPr>
          <w:rFonts w:ascii="Arial" w:hAnsi="Arial" w:cs="Arial"/>
        </w:rPr>
        <w:lastRenderedPageBreak/>
        <w:t>semiquantitative detection of both over</w:t>
      </w:r>
      <w:r w:rsidR="003A5273">
        <w:rPr>
          <w:rFonts w:ascii="Arial" w:hAnsi="Arial" w:cs="Arial"/>
        </w:rPr>
        <w:t>t</w:t>
      </w:r>
      <w:r w:rsidR="003A5273" w:rsidRPr="00313C04">
        <w:rPr>
          <w:rFonts w:ascii="Arial" w:hAnsi="Arial" w:cs="Arial"/>
        </w:rPr>
        <w:t xml:space="preserve"> and cryptic redox active forms of NTBI (Aferrix Ltd</w:t>
      </w:r>
      <w:r w:rsidR="003A5273" w:rsidRPr="00EA2DE7">
        <w:rPr>
          <w:rFonts w:ascii="Arial" w:hAnsi="Arial" w:cs="Arial"/>
        </w:rPr>
        <w:t xml:space="preserve">, Tel Aviv, Israel). LPI levels less than 0.4 were considered to be </w:t>
      </w:r>
      <w:r w:rsidR="003A5273" w:rsidRPr="00186963">
        <w:rPr>
          <w:rFonts w:ascii="Arial" w:hAnsi="Arial" w:cs="Arial"/>
          <w:color w:val="0070C0"/>
        </w:rPr>
        <w:t>negative.</w:t>
      </w:r>
    </w:p>
    <w:p w14:paraId="7BB22F49" w14:textId="77777777" w:rsidR="00257A0D" w:rsidRDefault="00257A0D" w:rsidP="00E2038B">
      <w:pPr>
        <w:rPr>
          <w:rFonts w:ascii="Arial" w:hAnsi="Arial" w:cs="Arial"/>
        </w:rPr>
      </w:pPr>
    </w:p>
    <w:p w14:paraId="1D65DE5D" w14:textId="10E9D27D" w:rsidR="0082345F" w:rsidRDefault="0082345F" w:rsidP="00D95A4A">
      <w:pPr>
        <w:pStyle w:val="berschrift1"/>
        <w:rPr>
          <w:rFonts w:ascii="Arial" w:hAnsi="Arial" w:cs="Arial"/>
          <w:b/>
          <w:sz w:val="24"/>
          <w:szCs w:val="24"/>
        </w:rPr>
      </w:pPr>
    </w:p>
    <w:p w14:paraId="753CBF8D" w14:textId="7B26A5DD" w:rsidR="00257A0D" w:rsidRDefault="00257A0D" w:rsidP="00257A0D"/>
    <w:p w14:paraId="14B5FF61" w14:textId="74FCCB31" w:rsidR="00257A0D" w:rsidRDefault="00257A0D" w:rsidP="00257A0D"/>
    <w:p w14:paraId="210BFB82" w14:textId="33B504BD" w:rsidR="00257A0D" w:rsidRDefault="00257A0D" w:rsidP="00257A0D"/>
    <w:p w14:paraId="42838F6A" w14:textId="534DD570" w:rsidR="00257A0D" w:rsidRDefault="00257A0D" w:rsidP="00257A0D"/>
    <w:p w14:paraId="6C020B04" w14:textId="213B92C1" w:rsidR="00257A0D" w:rsidRDefault="00257A0D" w:rsidP="00257A0D"/>
    <w:p w14:paraId="0579AAF1" w14:textId="2CD27D42" w:rsidR="00257A0D" w:rsidRDefault="00257A0D" w:rsidP="00257A0D"/>
    <w:p w14:paraId="221C2971" w14:textId="09CAC1EC" w:rsidR="008A3ED2" w:rsidRDefault="008A3ED2" w:rsidP="00257A0D"/>
    <w:p w14:paraId="427E236C" w14:textId="4D5C3447" w:rsidR="008A3ED2" w:rsidRDefault="008A3ED2" w:rsidP="00257A0D"/>
    <w:p w14:paraId="654E6467" w14:textId="7370845F" w:rsidR="008A3ED2" w:rsidRDefault="008A3ED2" w:rsidP="00257A0D"/>
    <w:p w14:paraId="3E933390" w14:textId="354060DB" w:rsidR="008A3ED2" w:rsidRDefault="008A3ED2" w:rsidP="00257A0D"/>
    <w:p w14:paraId="01D07021" w14:textId="1FF4CD40" w:rsidR="008A3ED2" w:rsidRDefault="008A3ED2" w:rsidP="00257A0D"/>
    <w:p w14:paraId="0D72D4D0" w14:textId="168C99BB" w:rsidR="008A3ED2" w:rsidRDefault="008A3ED2" w:rsidP="00257A0D"/>
    <w:p w14:paraId="2AF267D0" w14:textId="1144FFF4" w:rsidR="008A3ED2" w:rsidRDefault="008A3ED2" w:rsidP="00257A0D"/>
    <w:p w14:paraId="1F1BF9ED" w14:textId="610050D7" w:rsidR="008A3ED2" w:rsidRDefault="008A3ED2" w:rsidP="00257A0D"/>
    <w:p w14:paraId="642A24DD" w14:textId="3F8E4C76" w:rsidR="008A3ED2" w:rsidRDefault="008A3ED2" w:rsidP="00257A0D"/>
    <w:p w14:paraId="5118271A" w14:textId="1BFB12B0" w:rsidR="008A3ED2" w:rsidRDefault="008A3ED2" w:rsidP="00257A0D"/>
    <w:p w14:paraId="0A089BFE" w14:textId="720EF78F" w:rsidR="008A3ED2" w:rsidRDefault="008A3ED2" w:rsidP="00257A0D"/>
    <w:p w14:paraId="433C25EE" w14:textId="5D88259B" w:rsidR="008A3ED2" w:rsidRDefault="008A3ED2" w:rsidP="00257A0D"/>
    <w:p w14:paraId="09F3E95E" w14:textId="3C8D8CF8" w:rsidR="00D95A4A" w:rsidRPr="00C929B2" w:rsidRDefault="00D95A4A" w:rsidP="00D95A4A">
      <w:pPr>
        <w:pStyle w:val="berschrift1"/>
        <w:rPr>
          <w:rFonts w:ascii="Arial" w:hAnsi="Arial" w:cs="Arial"/>
          <w:b/>
          <w:sz w:val="24"/>
          <w:szCs w:val="24"/>
        </w:rPr>
      </w:pPr>
      <w:r w:rsidRPr="00C929B2">
        <w:rPr>
          <w:rFonts w:ascii="Arial" w:hAnsi="Arial" w:cs="Arial"/>
          <w:b/>
          <w:sz w:val="24"/>
          <w:szCs w:val="24"/>
        </w:rPr>
        <w:lastRenderedPageBreak/>
        <w:t>SUPPLEMENTARY FIGURES</w:t>
      </w:r>
    </w:p>
    <w:p w14:paraId="40516259" w14:textId="77777777" w:rsidR="00D95A4A" w:rsidRPr="00C929B2" w:rsidRDefault="00D95A4A" w:rsidP="00D95A4A">
      <w:pPr>
        <w:spacing w:line="240" w:lineRule="auto"/>
        <w:jc w:val="left"/>
        <w:rPr>
          <w:rFonts w:ascii="Arial" w:hAnsi="Arial" w:cs="Arial"/>
        </w:rPr>
      </w:pPr>
    </w:p>
    <w:p w14:paraId="0D36BEDC" w14:textId="77777777" w:rsidR="00D95A4A" w:rsidRPr="00C929B2" w:rsidRDefault="00D95A4A" w:rsidP="00D95A4A">
      <w:pPr>
        <w:spacing w:line="240" w:lineRule="auto"/>
        <w:jc w:val="left"/>
        <w:rPr>
          <w:rFonts w:ascii="Arial" w:hAnsi="Arial" w:cs="Arial"/>
        </w:rPr>
      </w:pPr>
      <w:r w:rsidRPr="00C929B2">
        <w:rPr>
          <w:rFonts w:ascii="Arial" w:hAnsi="Arial" w:cs="Arial"/>
          <w:noProof/>
          <w:lang w:val="de-DE" w:eastAsia="de-DE"/>
        </w:rPr>
        <w:drawing>
          <wp:inline distT="0" distB="0" distL="0" distR="0" wp14:anchorId="339357A1" wp14:editId="36957EB3">
            <wp:extent cx="5486400" cy="5486400"/>
            <wp:effectExtent l="0" t="0" r="0" b="0"/>
            <wp:docPr id="9" name="Picture 3" descr="D28_Youden_Index_plo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8_Youden_Index_plot.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14:paraId="0844BF30" w14:textId="77777777" w:rsidR="00D95A4A" w:rsidRPr="00C929B2" w:rsidRDefault="00D95A4A" w:rsidP="00D95A4A">
      <w:pPr>
        <w:spacing w:line="240" w:lineRule="auto"/>
        <w:jc w:val="left"/>
        <w:rPr>
          <w:rFonts w:ascii="Arial" w:hAnsi="Arial" w:cs="Arial"/>
          <w:b/>
        </w:rPr>
      </w:pPr>
      <w:r w:rsidRPr="00C929B2">
        <w:rPr>
          <w:rFonts w:ascii="Arial" w:hAnsi="Arial" w:cs="Arial"/>
          <w:b/>
        </w:rPr>
        <w:t xml:space="preserve">Supplementary Figure 1. Application of Youden’s index to ROC curve for serum transferrin in relation to 28-day mortality. </w:t>
      </w:r>
    </w:p>
    <w:p w14:paraId="50674FEE" w14:textId="77777777" w:rsidR="00D95A4A" w:rsidRPr="00C929B2" w:rsidRDefault="00D95A4A" w:rsidP="00D95A4A">
      <w:pPr>
        <w:spacing w:line="240" w:lineRule="auto"/>
        <w:jc w:val="left"/>
        <w:rPr>
          <w:rFonts w:ascii="Arial" w:hAnsi="Arial" w:cs="Arial"/>
        </w:rPr>
      </w:pPr>
      <w:r w:rsidRPr="00C929B2">
        <w:rPr>
          <w:rFonts w:ascii="Arial" w:hAnsi="Arial" w:cs="Arial"/>
        </w:rPr>
        <w:t>The cut point (sensitivity 71%, specificity 64%) corresponded to serum transferrin level of 102 mg/dL.</w:t>
      </w:r>
      <w:r w:rsidRPr="00C929B2">
        <w:rPr>
          <w:rFonts w:ascii="Arial" w:hAnsi="Arial" w:cs="Arial"/>
        </w:rPr>
        <w:br w:type="page"/>
      </w:r>
    </w:p>
    <w:p w14:paraId="080807E8" w14:textId="77777777" w:rsidR="00D95A4A" w:rsidRPr="00C929B2" w:rsidRDefault="00D95A4A" w:rsidP="00D95A4A">
      <w:pPr>
        <w:spacing w:line="360" w:lineRule="auto"/>
        <w:rPr>
          <w:rFonts w:ascii="Arial" w:hAnsi="Arial" w:cs="Arial"/>
          <w:b/>
        </w:rPr>
      </w:pPr>
      <w:r w:rsidRPr="00C929B2">
        <w:rPr>
          <w:rFonts w:ascii="Arial" w:hAnsi="Arial" w:cs="Arial"/>
          <w:noProof/>
          <w:lang w:val="de-DE" w:eastAsia="de-DE"/>
        </w:rPr>
        <w:lastRenderedPageBreak/>
        <w:drawing>
          <wp:inline distT="0" distB="0" distL="0" distR="0" wp14:anchorId="202A703F" wp14:editId="1720E4D9">
            <wp:extent cx="5486400" cy="5486400"/>
            <wp:effectExtent l="0" t="0" r="0" b="0"/>
            <wp:docPr id="10" name="Picture 5" descr="Correlation_heatma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relation_heatmap.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r w:rsidRPr="00C929B2">
        <w:rPr>
          <w:rFonts w:ascii="Arial" w:hAnsi="Arial" w:cs="Arial"/>
        </w:rPr>
        <w:t xml:space="preserve"> </w:t>
      </w:r>
      <w:r w:rsidRPr="00C929B2">
        <w:rPr>
          <w:rFonts w:ascii="Arial" w:hAnsi="Arial" w:cs="Arial"/>
          <w:b/>
        </w:rPr>
        <w:t xml:space="preserve">Supplementary Figure 2. Correlation heat map for serum biomarkers and clinical scores. </w:t>
      </w:r>
    </w:p>
    <w:p w14:paraId="3723F8DE" w14:textId="77777777" w:rsidR="00D95A4A" w:rsidRPr="00C929B2" w:rsidRDefault="00D95A4A" w:rsidP="00D95A4A">
      <w:pPr>
        <w:spacing w:line="360" w:lineRule="auto"/>
        <w:rPr>
          <w:rFonts w:ascii="Arial" w:hAnsi="Arial" w:cs="Arial"/>
        </w:rPr>
      </w:pPr>
      <w:r w:rsidRPr="00C929B2">
        <w:rPr>
          <w:rFonts w:ascii="Arial" w:hAnsi="Arial" w:cs="Arial"/>
        </w:rPr>
        <w:t xml:space="preserve">Cells are shaded according to the Spearman’s rank Rho value and annotated with the Benjamini-Hochberg (false discovery rate) adjusted p-value. Serum transferrin demonstrated statistically significant moderate negative correlations with serum C-reactive protein (rho=-0.33, p&lt;0.01) and ferritin (rho=-0.40, p&lt;0.01) as acute phase reactants. Weak negative correlations were also observed between serum transferrin and serum bilirubin (rho=-0.20, p&lt;0.01) and the international normalised ratio (rho=-0.19, p&lt;0.01). Abbreviations: CRP: C-reactive protein; TSAT: transferrin saturation; GAHS: Glasgow alcoholic hepatitis score; MELD: model for end-stage liver disease; DF: discriminant function; Creat: Creatinine; ALT: alanine transaminase; AST: </w:t>
      </w:r>
      <w:r w:rsidRPr="00C929B2">
        <w:rPr>
          <w:rFonts w:ascii="Arial" w:hAnsi="Arial" w:cs="Arial"/>
        </w:rPr>
        <w:lastRenderedPageBreak/>
        <w:t>aspartate transaminase; INR: international normalised ratio; WCC: white cell count; HB: haemoglobin.</w:t>
      </w:r>
    </w:p>
    <w:p w14:paraId="7A0F2F37" w14:textId="6312FA54" w:rsidR="00D95A4A" w:rsidRDefault="00D95A4A" w:rsidP="00D95A4A">
      <w:pPr>
        <w:spacing w:line="360" w:lineRule="auto"/>
        <w:rPr>
          <w:rFonts w:ascii="Arial" w:hAnsi="Arial" w:cs="Arial"/>
          <w:noProof/>
        </w:rPr>
      </w:pPr>
    </w:p>
    <w:p w14:paraId="2FE20787" w14:textId="77777777" w:rsidR="00895572" w:rsidRPr="005D4C0E" w:rsidRDefault="00895572" w:rsidP="00895572">
      <w:pPr>
        <w:spacing w:line="240" w:lineRule="auto"/>
        <w:jc w:val="left"/>
        <w:rPr>
          <w:noProof/>
          <w:lang w:val="en-US" w:eastAsia="de-DE"/>
        </w:rPr>
      </w:pPr>
    </w:p>
    <w:p w14:paraId="0D478AD5" w14:textId="77777777" w:rsidR="00895572" w:rsidRDefault="00895572" w:rsidP="00895572">
      <w:pPr>
        <w:spacing w:line="240" w:lineRule="auto"/>
        <w:jc w:val="left"/>
      </w:pPr>
    </w:p>
    <w:p w14:paraId="0CA5B71E" w14:textId="5EDF64B3" w:rsidR="00895572" w:rsidRDefault="00895572" w:rsidP="00895572">
      <w:pPr>
        <w:spacing w:line="240" w:lineRule="auto"/>
        <w:jc w:val="left"/>
      </w:pPr>
    </w:p>
    <w:p w14:paraId="4C6EB40B" w14:textId="77777777" w:rsidR="00895572" w:rsidRDefault="00895572" w:rsidP="00895572">
      <w:pPr>
        <w:spacing w:line="240" w:lineRule="auto"/>
        <w:jc w:val="left"/>
      </w:pPr>
    </w:p>
    <w:p w14:paraId="6A1A49D9" w14:textId="77777777" w:rsidR="00895572" w:rsidRPr="00C929B2" w:rsidRDefault="00895572" w:rsidP="00D95A4A">
      <w:pPr>
        <w:spacing w:line="360" w:lineRule="auto"/>
        <w:rPr>
          <w:rFonts w:ascii="Arial" w:hAnsi="Arial" w:cs="Arial"/>
          <w:noProof/>
        </w:rPr>
      </w:pPr>
    </w:p>
    <w:p w14:paraId="4249F2D7" w14:textId="62DFF6C0" w:rsidR="00D95A4A" w:rsidRPr="00C929B2" w:rsidRDefault="00D95A4A" w:rsidP="00D95A4A">
      <w:pPr>
        <w:pStyle w:val="berschrift1"/>
        <w:pageBreakBefore/>
        <w:rPr>
          <w:rFonts w:ascii="Arial" w:hAnsi="Arial" w:cs="Arial"/>
          <w:b/>
          <w:sz w:val="24"/>
          <w:szCs w:val="24"/>
        </w:rPr>
      </w:pPr>
      <w:r w:rsidRPr="00C929B2">
        <w:rPr>
          <w:rFonts w:ascii="Arial" w:hAnsi="Arial" w:cs="Arial"/>
          <w:b/>
          <w:sz w:val="24"/>
          <w:szCs w:val="24"/>
        </w:rPr>
        <w:lastRenderedPageBreak/>
        <w:t>SUPPLEMENTARY TABLES</w:t>
      </w:r>
    </w:p>
    <w:p w14:paraId="2FCF5735" w14:textId="77777777" w:rsidR="00D95A4A" w:rsidRPr="00C929B2" w:rsidRDefault="00D95A4A" w:rsidP="00D95A4A">
      <w:pPr>
        <w:spacing w:line="360" w:lineRule="auto"/>
        <w:rPr>
          <w:rFonts w:ascii="Arial" w:hAnsi="Arial" w:cs="Arial"/>
          <w:b/>
        </w:rPr>
      </w:pPr>
    </w:p>
    <w:p w14:paraId="61B29890" w14:textId="2AEA8A2B" w:rsidR="00D95A4A" w:rsidRPr="00C929B2" w:rsidRDefault="00D95A4A" w:rsidP="00D95A4A">
      <w:pPr>
        <w:spacing w:line="360" w:lineRule="auto"/>
        <w:rPr>
          <w:rFonts w:ascii="Arial" w:hAnsi="Arial" w:cs="Arial"/>
          <w:b/>
        </w:rPr>
      </w:pPr>
      <w:r w:rsidRPr="00186963">
        <w:rPr>
          <w:rFonts w:ascii="Arial" w:hAnsi="Arial" w:cs="Arial"/>
          <w:b/>
          <w:color w:val="0070C0"/>
        </w:rPr>
        <w:t xml:space="preserve">Supplementary Table </w:t>
      </w:r>
      <w:r w:rsidR="00F45F63" w:rsidRPr="00186963">
        <w:rPr>
          <w:rFonts w:ascii="Arial" w:hAnsi="Arial" w:cs="Arial"/>
          <w:b/>
          <w:color w:val="0070C0"/>
        </w:rPr>
        <w:t>1</w:t>
      </w:r>
      <w:r w:rsidRPr="00C929B2">
        <w:rPr>
          <w:rFonts w:ascii="Arial" w:hAnsi="Arial" w:cs="Arial"/>
          <w:b/>
        </w:rPr>
        <w:t>. Iron indices in patients with severe alcoholic hepatitis, separated by sex.</w:t>
      </w:r>
    </w:p>
    <w:tbl>
      <w:tblPr>
        <w:tblStyle w:val="GridTable4-Accent11"/>
        <w:tblW w:w="9715" w:type="dxa"/>
        <w:tblLook w:val="04A0" w:firstRow="1" w:lastRow="0" w:firstColumn="1" w:lastColumn="0" w:noHBand="0" w:noVBand="1"/>
      </w:tblPr>
      <w:tblGrid>
        <w:gridCol w:w="2245"/>
        <w:gridCol w:w="2790"/>
        <w:gridCol w:w="2790"/>
        <w:gridCol w:w="1890"/>
      </w:tblGrid>
      <w:tr w:rsidR="00D95A4A" w:rsidRPr="00C929B2" w14:paraId="6185F3B3" w14:textId="77777777" w:rsidTr="00DD3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1B93B597" w14:textId="77777777" w:rsidR="00D95A4A" w:rsidRPr="00C929B2" w:rsidRDefault="00D95A4A" w:rsidP="00DD337C">
            <w:pPr>
              <w:spacing w:before="60" w:after="60" w:line="276" w:lineRule="auto"/>
              <w:rPr>
                <w:rFonts w:ascii="Arial" w:hAnsi="Arial" w:cs="Arial"/>
              </w:rPr>
            </w:pPr>
            <w:r w:rsidRPr="00C929B2">
              <w:rPr>
                <w:rFonts w:ascii="Arial" w:hAnsi="Arial" w:cs="Arial"/>
              </w:rPr>
              <w:t>Characteristic</w:t>
            </w:r>
          </w:p>
        </w:tc>
        <w:tc>
          <w:tcPr>
            <w:tcW w:w="2790" w:type="dxa"/>
          </w:tcPr>
          <w:p w14:paraId="0CAA1D34" w14:textId="77777777" w:rsidR="00D95A4A" w:rsidRPr="00C929B2" w:rsidRDefault="00D95A4A" w:rsidP="00DD337C">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Exploratory population (n=200)</w:t>
            </w:r>
          </w:p>
        </w:tc>
        <w:tc>
          <w:tcPr>
            <w:tcW w:w="2790" w:type="dxa"/>
          </w:tcPr>
          <w:p w14:paraId="752F01F8" w14:textId="77777777" w:rsidR="00D95A4A" w:rsidRPr="00C929B2" w:rsidRDefault="00D95A4A" w:rsidP="00DD337C">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Replication population (n=628)</w:t>
            </w:r>
          </w:p>
        </w:tc>
        <w:tc>
          <w:tcPr>
            <w:tcW w:w="1890" w:type="dxa"/>
          </w:tcPr>
          <w:p w14:paraId="276B7C22" w14:textId="77777777" w:rsidR="00D95A4A" w:rsidRPr="00C929B2" w:rsidRDefault="00D95A4A" w:rsidP="00DD337C">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Reference ranges</w:t>
            </w:r>
          </w:p>
        </w:tc>
      </w:tr>
      <w:tr w:rsidR="00D95A4A" w:rsidRPr="00C929B2" w14:paraId="1EF04C6F" w14:textId="77777777" w:rsidTr="00DD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AE30193" w14:textId="77777777" w:rsidR="00D95A4A" w:rsidRPr="00C929B2" w:rsidRDefault="00D95A4A" w:rsidP="00DD337C">
            <w:pPr>
              <w:spacing w:before="60" w:after="60" w:line="276" w:lineRule="auto"/>
              <w:rPr>
                <w:rFonts w:ascii="Arial" w:hAnsi="Arial" w:cs="Arial"/>
              </w:rPr>
            </w:pPr>
            <w:r w:rsidRPr="00C929B2">
              <w:rPr>
                <w:rFonts w:ascii="Arial" w:hAnsi="Arial" w:cs="Arial"/>
              </w:rPr>
              <w:t>Ferritin (ng/ml)</w:t>
            </w:r>
          </w:p>
        </w:tc>
        <w:tc>
          <w:tcPr>
            <w:tcW w:w="2790" w:type="dxa"/>
          </w:tcPr>
          <w:p w14:paraId="21C065A8"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Male: 862 (307 – 1574)</w:t>
            </w:r>
            <w:r w:rsidRPr="00C929B2">
              <w:rPr>
                <w:rFonts w:ascii="Arial" w:hAnsi="Arial" w:cs="Arial"/>
              </w:rPr>
              <w:br/>
              <w:t>Female: 497 (260 – 853)</w:t>
            </w:r>
          </w:p>
          <w:p w14:paraId="6D089E3E"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p=0.01</w:t>
            </w:r>
          </w:p>
        </w:tc>
        <w:tc>
          <w:tcPr>
            <w:tcW w:w="2790" w:type="dxa"/>
          </w:tcPr>
          <w:p w14:paraId="7EABA3E9"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Male: 827 (353 – 1577)</w:t>
            </w:r>
            <w:r w:rsidRPr="00C929B2">
              <w:rPr>
                <w:rFonts w:ascii="Arial" w:hAnsi="Arial" w:cs="Arial"/>
              </w:rPr>
              <w:br/>
              <w:t>Female: 692 (275 – 1310)</w:t>
            </w:r>
          </w:p>
          <w:p w14:paraId="19BC175C"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p=0.02</w:t>
            </w:r>
          </w:p>
        </w:tc>
        <w:tc>
          <w:tcPr>
            <w:tcW w:w="1890" w:type="dxa"/>
          </w:tcPr>
          <w:p w14:paraId="5FD8E5AF"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Male: 30 – 400</w:t>
            </w:r>
            <w:r w:rsidRPr="00C929B2">
              <w:rPr>
                <w:rFonts w:ascii="Arial" w:hAnsi="Arial" w:cs="Arial"/>
              </w:rPr>
              <w:br/>
              <w:t>Female: 13 – 150</w:t>
            </w:r>
          </w:p>
        </w:tc>
      </w:tr>
      <w:tr w:rsidR="00D95A4A" w:rsidRPr="00C929B2" w14:paraId="20D31A21" w14:textId="77777777" w:rsidTr="00DD337C">
        <w:tc>
          <w:tcPr>
            <w:cnfStyle w:val="001000000000" w:firstRow="0" w:lastRow="0" w:firstColumn="1" w:lastColumn="0" w:oddVBand="0" w:evenVBand="0" w:oddHBand="0" w:evenHBand="0" w:firstRowFirstColumn="0" w:firstRowLastColumn="0" w:lastRowFirstColumn="0" w:lastRowLastColumn="0"/>
            <w:tcW w:w="2245" w:type="dxa"/>
          </w:tcPr>
          <w:p w14:paraId="03B0FA59" w14:textId="77777777" w:rsidR="00D95A4A" w:rsidRPr="00C929B2" w:rsidRDefault="00D95A4A" w:rsidP="00DD337C">
            <w:pPr>
              <w:spacing w:before="60" w:after="60" w:line="276" w:lineRule="auto"/>
              <w:rPr>
                <w:rFonts w:ascii="Arial" w:hAnsi="Arial" w:cs="Arial"/>
              </w:rPr>
            </w:pPr>
            <w:r w:rsidRPr="00C929B2">
              <w:rPr>
                <w:rFonts w:ascii="Arial" w:hAnsi="Arial" w:cs="Arial"/>
              </w:rPr>
              <w:t>Transferrin (mg/dL)</w:t>
            </w:r>
          </w:p>
        </w:tc>
        <w:tc>
          <w:tcPr>
            <w:tcW w:w="2790" w:type="dxa"/>
          </w:tcPr>
          <w:p w14:paraId="3780C867" w14:textId="77777777" w:rsidR="00D95A4A" w:rsidRPr="00C929B2" w:rsidRDefault="00D95A4A" w:rsidP="00DD337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Male: 93 (72 – 124)</w:t>
            </w:r>
            <w:r w:rsidRPr="00C929B2">
              <w:rPr>
                <w:rFonts w:ascii="Arial" w:hAnsi="Arial" w:cs="Arial"/>
              </w:rPr>
              <w:br/>
              <w:t>Female: 99 (69 – 129)</w:t>
            </w:r>
          </w:p>
        </w:tc>
        <w:tc>
          <w:tcPr>
            <w:tcW w:w="2790" w:type="dxa"/>
          </w:tcPr>
          <w:p w14:paraId="6294E75D" w14:textId="77777777" w:rsidR="00D95A4A" w:rsidRPr="00C929B2" w:rsidRDefault="00D95A4A" w:rsidP="00DD337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Male: 126 (93 – 171)</w:t>
            </w:r>
            <w:r w:rsidRPr="00C929B2">
              <w:rPr>
                <w:rFonts w:ascii="Arial" w:hAnsi="Arial" w:cs="Arial"/>
              </w:rPr>
              <w:br/>
              <w:t>Female: 120 (90 – 168)</w:t>
            </w:r>
          </w:p>
        </w:tc>
        <w:tc>
          <w:tcPr>
            <w:tcW w:w="1890" w:type="dxa"/>
          </w:tcPr>
          <w:p w14:paraId="057CD3B9" w14:textId="77777777" w:rsidR="00D95A4A" w:rsidRPr="00C929B2" w:rsidRDefault="00D95A4A" w:rsidP="00DD337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200 – 360</w:t>
            </w:r>
          </w:p>
        </w:tc>
      </w:tr>
      <w:tr w:rsidR="00D95A4A" w:rsidRPr="00C929B2" w14:paraId="65862BF8" w14:textId="77777777" w:rsidTr="00DD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5D9E271F" w14:textId="77777777" w:rsidR="00D95A4A" w:rsidRPr="00C929B2" w:rsidRDefault="00D95A4A" w:rsidP="00DD337C">
            <w:pPr>
              <w:spacing w:before="60" w:after="60" w:line="276" w:lineRule="auto"/>
              <w:rPr>
                <w:rFonts w:ascii="Arial" w:hAnsi="Arial" w:cs="Arial"/>
              </w:rPr>
            </w:pPr>
            <w:r w:rsidRPr="00C929B2">
              <w:rPr>
                <w:rFonts w:ascii="Arial" w:hAnsi="Arial" w:cs="Arial"/>
              </w:rPr>
              <w:t>TSAT (%)</w:t>
            </w:r>
          </w:p>
        </w:tc>
        <w:tc>
          <w:tcPr>
            <w:tcW w:w="2790" w:type="dxa"/>
          </w:tcPr>
          <w:p w14:paraId="174FC6E0"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Male: 69 (38 – 87)</w:t>
            </w:r>
            <w:r w:rsidRPr="00C929B2">
              <w:rPr>
                <w:rFonts w:ascii="Arial" w:hAnsi="Arial" w:cs="Arial"/>
              </w:rPr>
              <w:br/>
              <w:t>Female: 69 (43 – 82)</w:t>
            </w:r>
          </w:p>
        </w:tc>
        <w:tc>
          <w:tcPr>
            <w:tcW w:w="2790" w:type="dxa"/>
          </w:tcPr>
          <w:p w14:paraId="6A8D4774"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Male: 58 (35 – 82)</w:t>
            </w:r>
            <w:r w:rsidRPr="00C929B2">
              <w:rPr>
                <w:rFonts w:ascii="Arial" w:hAnsi="Arial" w:cs="Arial"/>
              </w:rPr>
              <w:br/>
              <w:t>Female: 58 (34 – 83)</w:t>
            </w:r>
          </w:p>
        </w:tc>
        <w:tc>
          <w:tcPr>
            <w:tcW w:w="1890" w:type="dxa"/>
          </w:tcPr>
          <w:p w14:paraId="48FB234D"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25 – 45%</w:t>
            </w:r>
          </w:p>
        </w:tc>
      </w:tr>
      <w:tr w:rsidR="00D95A4A" w:rsidRPr="00C929B2" w14:paraId="230D6125" w14:textId="77777777" w:rsidTr="00DD337C">
        <w:tc>
          <w:tcPr>
            <w:cnfStyle w:val="001000000000" w:firstRow="0" w:lastRow="0" w:firstColumn="1" w:lastColumn="0" w:oddVBand="0" w:evenVBand="0" w:oddHBand="0" w:evenHBand="0" w:firstRowFirstColumn="0" w:firstRowLastColumn="0" w:lastRowFirstColumn="0" w:lastRowLastColumn="0"/>
            <w:tcW w:w="2245" w:type="dxa"/>
          </w:tcPr>
          <w:p w14:paraId="5741A054" w14:textId="77777777" w:rsidR="004565DE" w:rsidRDefault="00D95A4A" w:rsidP="00DD337C">
            <w:pPr>
              <w:spacing w:before="60" w:after="60" w:line="276" w:lineRule="auto"/>
              <w:rPr>
                <w:rFonts w:ascii="Arial" w:hAnsi="Arial" w:cs="Arial"/>
                <w:b w:val="0"/>
                <w:bCs w:val="0"/>
              </w:rPr>
            </w:pPr>
            <w:r w:rsidRPr="00C929B2">
              <w:rPr>
                <w:rFonts w:ascii="Arial" w:hAnsi="Arial" w:cs="Arial"/>
              </w:rPr>
              <w:t>Serum iron</w:t>
            </w:r>
          </w:p>
          <w:p w14:paraId="6751B19E" w14:textId="4C0522A9" w:rsidR="00D95A4A" w:rsidRPr="00C929B2" w:rsidRDefault="00D95A4A" w:rsidP="00DD337C">
            <w:pPr>
              <w:spacing w:before="60" w:after="60" w:line="276" w:lineRule="auto"/>
              <w:rPr>
                <w:rFonts w:ascii="Arial" w:hAnsi="Arial" w:cs="Arial"/>
              </w:rPr>
            </w:pPr>
            <w:r w:rsidRPr="00C929B2">
              <w:rPr>
                <w:rFonts w:ascii="Arial" w:hAnsi="Arial" w:cs="Arial"/>
              </w:rPr>
              <w:t>(</w:t>
            </w:r>
            <w:r w:rsidR="004565DE">
              <w:rPr>
                <w:rFonts w:ascii="Arial" w:hAnsi="Arial" w:cs="Arial"/>
              </w:rPr>
              <w:t>µ</w:t>
            </w:r>
            <w:r w:rsidR="004565DE" w:rsidRPr="00C929B2">
              <w:rPr>
                <w:rFonts w:ascii="Arial" w:hAnsi="Arial" w:cs="Arial"/>
              </w:rPr>
              <w:t>mol</w:t>
            </w:r>
            <w:r w:rsidRPr="00C929B2">
              <w:rPr>
                <w:rFonts w:ascii="Arial" w:hAnsi="Arial" w:cs="Arial"/>
              </w:rPr>
              <w:t>/L)</w:t>
            </w:r>
          </w:p>
        </w:tc>
        <w:tc>
          <w:tcPr>
            <w:tcW w:w="2790" w:type="dxa"/>
          </w:tcPr>
          <w:p w14:paraId="4417E326" w14:textId="77777777" w:rsidR="00D95A4A" w:rsidRPr="00C929B2" w:rsidRDefault="00D95A4A" w:rsidP="00DD337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Male: 13.8 (10.2 – 18.3)</w:t>
            </w:r>
            <w:r w:rsidRPr="00C929B2">
              <w:rPr>
                <w:rFonts w:ascii="Arial" w:hAnsi="Arial" w:cs="Arial"/>
              </w:rPr>
              <w:br/>
              <w:t>Female: 13.8 (9.0 – 18.6)</w:t>
            </w:r>
          </w:p>
        </w:tc>
        <w:tc>
          <w:tcPr>
            <w:tcW w:w="2790" w:type="dxa"/>
          </w:tcPr>
          <w:p w14:paraId="63720018" w14:textId="77777777" w:rsidR="00D95A4A" w:rsidRPr="00C929B2" w:rsidRDefault="00D95A4A" w:rsidP="00DD337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Male: 16.5 (11.4 – 22.8)</w:t>
            </w:r>
            <w:r w:rsidRPr="00C929B2">
              <w:rPr>
                <w:rFonts w:ascii="Arial" w:hAnsi="Arial" w:cs="Arial"/>
              </w:rPr>
              <w:br/>
              <w:t>Female: 15.9 (11.1 – 22.5)</w:t>
            </w:r>
          </w:p>
        </w:tc>
        <w:tc>
          <w:tcPr>
            <w:tcW w:w="1890" w:type="dxa"/>
          </w:tcPr>
          <w:p w14:paraId="277A8A03" w14:textId="77777777" w:rsidR="00D95A4A" w:rsidRPr="00C929B2" w:rsidRDefault="00D95A4A" w:rsidP="00DD337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5.8 – 35</w:t>
            </w:r>
          </w:p>
        </w:tc>
      </w:tr>
      <w:tr w:rsidR="00D95A4A" w:rsidRPr="00C929B2" w14:paraId="7886588D" w14:textId="77777777" w:rsidTr="00DD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535489EE" w14:textId="77777777" w:rsidR="00D95A4A" w:rsidRPr="00C929B2" w:rsidRDefault="00D95A4A" w:rsidP="00DD337C">
            <w:pPr>
              <w:spacing w:before="60" w:after="60" w:line="276" w:lineRule="auto"/>
              <w:rPr>
                <w:rFonts w:ascii="Arial" w:hAnsi="Arial" w:cs="Arial"/>
              </w:rPr>
            </w:pPr>
            <w:r w:rsidRPr="00C929B2">
              <w:rPr>
                <w:rFonts w:ascii="Arial" w:hAnsi="Arial" w:cs="Arial"/>
              </w:rPr>
              <w:t>Hepcidin (ng/ml)</w:t>
            </w:r>
          </w:p>
        </w:tc>
        <w:tc>
          <w:tcPr>
            <w:tcW w:w="2790" w:type="dxa"/>
          </w:tcPr>
          <w:p w14:paraId="6D3C3FDB"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Male: 9.78 (3.69 – 23.6)</w:t>
            </w:r>
            <w:r w:rsidRPr="00C929B2">
              <w:rPr>
                <w:rFonts w:ascii="Arial" w:hAnsi="Arial" w:cs="Arial"/>
              </w:rPr>
              <w:br/>
              <w:t>Female: 8.53 (2.98 – 21.1)</w:t>
            </w:r>
          </w:p>
        </w:tc>
        <w:tc>
          <w:tcPr>
            <w:tcW w:w="2790" w:type="dxa"/>
          </w:tcPr>
          <w:p w14:paraId="3B6AB0F1"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Male: 14.1 (5.4 – 29.4)</w:t>
            </w:r>
            <w:r w:rsidRPr="00C929B2">
              <w:rPr>
                <w:rFonts w:ascii="Arial" w:hAnsi="Arial" w:cs="Arial"/>
              </w:rPr>
              <w:br/>
              <w:t>Female: 10.4 (3.48 – 21.3)</w:t>
            </w:r>
          </w:p>
        </w:tc>
        <w:tc>
          <w:tcPr>
            <w:tcW w:w="1890" w:type="dxa"/>
          </w:tcPr>
          <w:p w14:paraId="0712D51C"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NA</w:t>
            </w:r>
          </w:p>
        </w:tc>
      </w:tr>
    </w:tbl>
    <w:p w14:paraId="55002111" w14:textId="08F591C0" w:rsidR="00D95A4A" w:rsidRPr="00B57507" w:rsidRDefault="00D95A4A" w:rsidP="00D95A4A">
      <w:pPr>
        <w:spacing w:line="360" w:lineRule="auto"/>
        <w:rPr>
          <w:rFonts w:ascii="Arial" w:hAnsi="Arial" w:cs="Arial"/>
        </w:rPr>
      </w:pPr>
      <w:r w:rsidRPr="00C929B2">
        <w:rPr>
          <w:rFonts w:ascii="Arial" w:hAnsi="Arial" w:cs="Arial"/>
        </w:rPr>
        <w:t xml:space="preserve">Data are presented as median and interquartile range. Baseline serum parameters were available in 828 patients, who were randomly divided into the exploratory and replication subgroup. Male vs. female </w:t>
      </w:r>
      <w:r w:rsidRPr="00B57507">
        <w:rPr>
          <w:rFonts w:ascii="Arial" w:hAnsi="Arial" w:cs="Arial"/>
        </w:rPr>
        <w:t>comparisons for serum ferritin were made with the Mann-Whitney U test. Abbreviations: TSAT: transferrin saturation</w:t>
      </w:r>
    </w:p>
    <w:p w14:paraId="59C37545" w14:textId="7EC9A2ED" w:rsidR="00D95A4A" w:rsidRPr="00B57507" w:rsidRDefault="00D95A4A" w:rsidP="00D95A4A">
      <w:pPr>
        <w:spacing w:line="360" w:lineRule="auto"/>
        <w:rPr>
          <w:rFonts w:ascii="Arial" w:hAnsi="Arial" w:cs="Arial"/>
          <w:b/>
        </w:rPr>
      </w:pPr>
    </w:p>
    <w:p w14:paraId="6195AC70" w14:textId="52C0FFA0" w:rsidR="00B57507" w:rsidRPr="00186963" w:rsidRDefault="00B57507" w:rsidP="00B57507">
      <w:pPr>
        <w:spacing w:line="276" w:lineRule="auto"/>
        <w:rPr>
          <w:rFonts w:ascii="Arial" w:hAnsi="Arial" w:cs="Arial"/>
          <w:b/>
          <w:bCs/>
          <w:color w:val="0070C0"/>
          <w:lang w:val="en-US"/>
        </w:rPr>
      </w:pPr>
      <w:r w:rsidRPr="00186963">
        <w:rPr>
          <w:rFonts w:ascii="Arial" w:hAnsi="Arial" w:cs="Arial"/>
          <w:b/>
          <w:bCs/>
          <w:color w:val="0070C0"/>
          <w:lang w:val="en-US"/>
        </w:rPr>
        <w:t>Supplementary Table 2. Logistic regression model assessing interaction between serum transferrin and prednisolone therapy in relation to Lille response.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7"/>
        <w:gridCol w:w="1973"/>
        <w:gridCol w:w="1975"/>
        <w:gridCol w:w="1975"/>
      </w:tblGrid>
      <w:tr w:rsidR="00186963" w:rsidRPr="00186963" w14:paraId="0E7F3C62" w14:textId="77777777" w:rsidTr="00532B68">
        <w:tc>
          <w:tcPr>
            <w:tcW w:w="2252" w:type="dxa"/>
            <w:tcBorders>
              <w:top w:val="single" w:sz="4" w:space="0" w:color="auto"/>
              <w:bottom w:val="single" w:sz="4" w:space="0" w:color="auto"/>
            </w:tcBorders>
          </w:tcPr>
          <w:p w14:paraId="46053FB8" w14:textId="77777777" w:rsidR="00B57507" w:rsidRPr="00186963" w:rsidRDefault="00B57507" w:rsidP="00532B68">
            <w:pPr>
              <w:spacing w:line="276" w:lineRule="auto"/>
              <w:rPr>
                <w:rFonts w:ascii="Arial" w:hAnsi="Arial" w:cs="Arial"/>
                <w:b/>
                <w:bCs/>
                <w:color w:val="0070C0"/>
                <w:lang w:val="en-US"/>
              </w:rPr>
            </w:pPr>
          </w:p>
        </w:tc>
        <w:tc>
          <w:tcPr>
            <w:tcW w:w="2252" w:type="dxa"/>
            <w:tcBorders>
              <w:top w:val="single" w:sz="4" w:space="0" w:color="auto"/>
              <w:bottom w:val="single" w:sz="4" w:space="0" w:color="auto"/>
            </w:tcBorders>
          </w:tcPr>
          <w:p w14:paraId="526A596C" w14:textId="77777777" w:rsidR="00B57507" w:rsidRPr="00186963" w:rsidRDefault="00B57507" w:rsidP="00532B68">
            <w:pPr>
              <w:spacing w:line="276" w:lineRule="auto"/>
              <w:rPr>
                <w:rFonts w:ascii="Arial" w:hAnsi="Arial" w:cs="Arial"/>
                <w:b/>
                <w:bCs/>
                <w:color w:val="0070C0"/>
              </w:rPr>
            </w:pPr>
            <w:r w:rsidRPr="00186963">
              <w:rPr>
                <w:rFonts w:ascii="Arial" w:hAnsi="Arial" w:cs="Arial"/>
                <w:b/>
                <w:bCs/>
                <w:color w:val="0070C0"/>
              </w:rPr>
              <w:t>OR</w:t>
            </w:r>
          </w:p>
        </w:tc>
        <w:tc>
          <w:tcPr>
            <w:tcW w:w="2253" w:type="dxa"/>
            <w:tcBorders>
              <w:top w:val="single" w:sz="4" w:space="0" w:color="auto"/>
              <w:bottom w:val="single" w:sz="4" w:space="0" w:color="auto"/>
            </w:tcBorders>
          </w:tcPr>
          <w:p w14:paraId="54F56D6F" w14:textId="77777777" w:rsidR="00B57507" w:rsidRPr="00186963" w:rsidRDefault="00B57507" w:rsidP="00532B68">
            <w:pPr>
              <w:spacing w:line="276" w:lineRule="auto"/>
              <w:rPr>
                <w:rFonts w:ascii="Arial" w:hAnsi="Arial" w:cs="Arial"/>
                <w:b/>
                <w:bCs/>
                <w:color w:val="0070C0"/>
              </w:rPr>
            </w:pPr>
            <w:r w:rsidRPr="00186963">
              <w:rPr>
                <w:rFonts w:ascii="Arial" w:hAnsi="Arial" w:cs="Arial"/>
                <w:b/>
                <w:bCs/>
                <w:color w:val="0070C0"/>
              </w:rPr>
              <w:t>95% CI</w:t>
            </w:r>
          </w:p>
        </w:tc>
        <w:tc>
          <w:tcPr>
            <w:tcW w:w="2253" w:type="dxa"/>
            <w:tcBorders>
              <w:top w:val="single" w:sz="4" w:space="0" w:color="auto"/>
              <w:bottom w:val="single" w:sz="4" w:space="0" w:color="auto"/>
            </w:tcBorders>
          </w:tcPr>
          <w:p w14:paraId="6674160F" w14:textId="77777777" w:rsidR="00B57507" w:rsidRPr="00186963" w:rsidRDefault="00B57507" w:rsidP="00532B68">
            <w:pPr>
              <w:spacing w:line="276" w:lineRule="auto"/>
              <w:rPr>
                <w:rFonts w:ascii="Arial" w:hAnsi="Arial" w:cs="Arial"/>
                <w:b/>
                <w:bCs/>
                <w:color w:val="0070C0"/>
              </w:rPr>
            </w:pPr>
            <w:r w:rsidRPr="00186963">
              <w:rPr>
                <w:rFonts w:ascii="Arial" w:hAnsi="Arial" w:cs="Arial"/>
                <w:b/>
                <w:bCs/>
                <w:color w:val="0070C0"/>
              </w:rPr>
              <w:t>P</w:t>
            </w:r>
          </w:p>
        </w:tc>
      </w:tr>
      <w:tr w:rsidR="00186963" w:rsidRPr="00186963" w14:paraId="3A263B5A" w14:textId="77777777" w:rsidTr="00532B68">
        <w:tc>
          <w:tcPr>
            <w:tcW w:w="2252" w:type="dxa"/>
            <w:tcBorders>
              <w:top w:val="single" w:sz="4" w:space="0" w:color="auto"/>
            </w:tcBorders>
          </w:tcPr>
          <w:p w14:paraId="423C238A" w14:textId="77777777" w:rsidR="00B57507" w:rsidRPr="00186963" w:rsidRDefault="00B57507" w:rsidP="00532B68">
            <w:pPr>
              <w:spacing w:line="276" w:lineRule="auto"/>
              <w:rPr>
                <w:rFonts w:ascii="Arial" w:hAnsi="Arial" w:cs="Arial"/>
                <w:b/>
                <w:bCs/>
                <w:color w:val="0070C0"/>
              </w:rPr>
            </w:pPr>
            <w:r w:rsidRPr="00186963">
              <w:rPr>
                <w:rFonts w:ascii="Arial" w:hAnsi="Arial" w:cs="Arial"/>
                <w:b/>
                <w:bCs/>
                <w:color w:val="0070C0"/>
              </w:rPr>
              <w:t>Prednisolone</w:t>
            </w:r>
          </w:p>
        </w:tc>
        <w:tc>
          <w:tcPr>
            <w:tcW w:w="2252" w:type="dxa"/>
            <w:tcBorders>
              <w:top w:val="single" w:sz="4" w:space="0" w:color="auto"/>
            </w:tcBorders>
          </w:tcPr>
          <w:p w14:paraId="182C37DB" w14:textId="77777777" w:rsidR="00B57507" w:rsidRPr="00186963" w:rsidRDefault="00B57507" w:rsidP="00532B68">
            <w:pPr>
              <w:spacing w:line="276" w:lineRule="auto"/>
              <w:rPr>
                <w:rFonts w:ascii="Arial" w:hAnsi="Arial" w:cs="Arial"/>
                <w:color w:val="0070C0"/>
              </w:rPr>
            </w:pPr>
            <w:r w:rsidRPr="00186963">
              <w:rPr>
                <w:rFonts w:ascii="Arial" w:hAnsi="Arial" w:cs="Arial"/>
                <w:color w:val="0070C0"/>
              </w:rPr>
              <w:t>1.49</w:t>
            </w:r>
          </w:p>
        </w:tc>
        <w:tc>
          <w:tcPr>
            <w:tcW w:w="2253" w:type="dxa"/>
            <w:tcBorders>
              <w:top w:val="single" w:sz="4" w:space="0" w:color="auto"/>
            </w:tcBorders>
          </w:tcPr>
          <w:p w14:paraId="73679469" w14:textId="77777777" w:rsidR="00B57507" w:rsidRPr="00186963" w:rsidRDefault="00B57507" w:rsidP="00532B68">
            <w:pPr>
              <w:spacing w:line="276" w:lineRule="auto"/>
              <w:rPr>
                <w:rFonts w:ascii="Arial" w:hAnsi="Arial" w:cs="Arial"/>
                <w:color w:val="0070C0"/>
              </w:rPr>
            </w:pPr>
            <w:r w:rsidRPr="00186963">
              <w:rPr>
                <w:rFonts w:ascii="Arial" w:hAnsi="Arial" w:cs="Arial"/>
                <w:color w:val="0070C0"/>
              </w:rPr>
              <w:t>0.65 – 3.44</w:t>
            </w:r>
          </w:p>
        </w:tc>
        <w:tc>
          <w:tcPr>
            <w:tcW w:w="2253" w:type="dxa"/>
            <w:tcBorders>
              <w:top w:val="single" w:sz="4" w:space="0" w:color="auto"/>
            </w:tcBorders>
          </w:tcPr>
          <w:p w14:paraId="67B587C3" w14:textId="77777777" w:rsidR="00B57507" w:rsidRPr="00186963" w:rsidRDefault="00B57507" w:rsidP="00532B68">
            <w:pPr>
              <w:spacing w:line="276" w:lineRule="auto"/>
              <w:rPr>
                <w:rFonts w:ascii="Arial" w:hAnsi="Arial" w:cs="Arial"/>
                <w:color w:val="0070C0"/>
              </w:rPr>
            </w:pPr>
            <w:r w:rsidRPr="00186963">
              <w:rPr>
                <w:rFonts w:ascii="Arial" w:hAnsi="Arial" w:cs="Arial"/>
                <w:color w:val="0070C0"/>
              </w:rPr>
              <w:t>0.346</w:t>
            </w:r>
          </w:p>
        </w:tc>
      </w:tr>
      <w:tr w:rsidR="00186963" w:rsidRPr="00186963" w14:paraId="08E4B61F" w14:textId="77777777" w:rsidTr="00532B68">
        <w:tc>
          <w:tcPr>
            <w:tcW w:w="2252" w:type="dxa"/>
          </w:tcPr>
          <w:p w14:paraId="67BFBAAB" w14:textId="77777777" w:rsidR="00B57507" w:rsidRPr="00186963" w:rsidRDefault="00B57507" w:rsidP="00532B68">
            <w:pPr>
              <w:spacing w:line="276" w:lineRule="auto"/>
              <w:rPr>
                <w:rFonts w:ascii="Arial" w:hAnsi="Arial" w:cs="Arial"/>
                <w:b/>
                <w:bCs/>
                <w:color w:val="0070C0"/>
              </w:rPr>
            </w:pPr>
            <w:r w:rsidRPr="00186963">
              <w:rPr>
                <w:rFonts w:ascii="Arial" w:hAnsi="Arial" w:cs="Arial"/>
                <w:b/>
                <w:bCs/>
                <w:color w:val="0070C0"/>
              </w:rPr>
              <w:t>Transferrin</w:t>
            </w:r>
          </w:p>
        </w:tc>
        <w:tc>
          <w:tcPr>
            <w:tcW w:w="2252" w:type="dxa"/>
          </w:tcPr>
          <w:p w14:paraId="41691D32" w14:textId="77777777" w:rsidR="00B57507" w:rsidRPr="00186963" w:rsidRDefault="00B57507" w:rsidP="00532B68">
            <w:pPr>
              <w:spacing w:line="276" w:lineRule="auto"/>
              <w:rPr>
                <w:rFonts w:ascii="Arial" w:hAnsi="Arial" w:cs="Arial"/>
                <w:color w:val="0070C0"/>
              </w:rPr>
            </w:pPr>
            <w:r w:rsidRPr="00186963">
              <w:rPr>
                <w:rFonts w:ascii="Arial" w:hAnsi="Arial" w:cs="Arial"/>
                <w:color w:val="0070C0"/>
              </w:rPr>
              <w:t>1.00</w:t>
            </w:r>
          </w:p>
        </w:tc>
        <w:tc>
          <w:tcPr>
            <w:tcW w:w="2253" w:type="dxa"/>
          </w:tcPr>
          <w:p w14:paraId="7891D04A" w14:textId="77777777" w:rsidR="00B57507" w:rsidRPr="00186963" w:rsidRDefault="00B57507" w:rsidP="00532B68">
            <w:pPr>
              <w:spacing w:line="276" w:lineRule="auto"/>
              <w:rPr>
                <w:rFonts w:ascii="Arial" w:hAnsi="Arial" w:cs="Arial"/>
                <w:color w:val="0070C0"/>
              </w:rPr>
            </w:pPr>
            <w:r w:rsidRPr="00186963">
              <w:rPr>
                <w:rFonts w:ascii="Arial" w:hAnsi="Arial" w:cs="Arial"/>
                <w:color w:val="0070C0"/>
              </w:rPr>
              <w:t>0.996 – 1.004</w:t>
            </w:r>
          </w:p>
        </w:tc>
        <w:tc>
          <w:tcPr>
            <w:tcW w:w="2253" w:type="dxa"/>
          </w:tcPr>
          <w:p w14:paraId="0CF0B1E1" w14:textId="77777777" w:rsidR="00B57507" w:rsidRPr="00186963" w:rsidRDefault="00B57507" w:rsidP="00532B68">
            <w:pPr>
              <w:spacing w:line="276" w:lineRule="auto"/>
              <w:rPr>
                <w:rFonts w:ascii="Arial" w:hAnsi="Arial" w:cs="Arial"/>
                <w:color w:val="0070C0"/>
              </w:rPr>
            </w:pPr>
            <w:r w:rsidRPr="00186963">
              <w:rPr>
                <w:rFonts w:ascii="Arial" w:hAnsi="Arial" w:cs="Arial"/>
                <w:color w:val="0070C0"/>
              </w:rPr>
              <w:t>0.840</w:t>
            </w:r>
          </w:p>
        </w:tc>
      </w:tr>
      <w:tr w:rsidR="00186963" w:rsidRPr="00186963" w14:paraId="5195928B" w14:textId="77777777" w:rsidTr="00532B68">
        <w:tc>
          <w:tcPr>
            <w:tcW w:w="2252" w:type="dxa"/>
            <w:tcBorders>
              <w:bottom w:val="single" w:sz="4" w:space="0" w:color="auto"/>
            </w:tcBorders>
          </w:tcPr>
          <w:p w14:paraId="492B6B46" w14:textId="77777777" w:rsidR="00B57507" w:rsidRPr="00186963" w:rsidRDefault="00B57507" w:rsidP="00532B68">
            <w:pPr>
              <w:spacing w:line="276" w:lineRule="auto"/>
              <w:rPr>
                <w:rFonts w:ascii="Arial" w:hAnsi="Arial" w:cs="Arial"/>
                <w:b/>
                <w:bCs/>
                <w:color w:val="0070C0"/>
              </w:rPr>
            </w:pPr>
            <w:r w:rsidRPr="00186963">
              <w:rPr>
                <w:rFonts w:ascii="Arial" w:hAnsi="Arial" w:cs="Arial"/>
                <w:b/>
                <w:bCs/>
                <w:color w:val="0070C0"/>
              </w:rPr>
              <w:t>Prednisolone*Transferrin</w:t>
            </w:r>
          </w:p>
        </w:tc>
        <w:tc>
          <w:tcPr>
            <w:tcW w:w="2252" w:type="dxa"/>
            <w:tcBorders>
              <w:bottom w:val="single" w:sz="4" w:space="0" w:color="auto"/>
            </w:tcBorders>
          </w:tcPr>
          <w:p w14:paraId="21BF361F" w14:textId="77777777" w:rsidR="00B57507" w:rsidRPr="00186963" w:rsidRDefault="00B57507" w:rsidP="00532B68">
            <w:pPr>
              <w:spacing w:line="276" w:lineRule="auto"/>
              <w:rPr>
                <w:rFonts w:ascii="Arial" w:hAnsi="Arial" w:cs="Arial"/>
                <w:color w:val="0070C0"/>
              </w:rPr>
            </w:pPr>
            <w:r w:rsidRPr="00186963">
              <w:rPr>
                <w:rFonts w:ascii="Arial" w:hAnsi="Arial" w:cs="Arial"/>
                <w:color w:val="0070C0"/>
              </w:rPr>
              <w:t>1.002</w:t>
            </w:r>
          </w:p>
        </w:tc>
        <w:tc>
          <w:tcPr>
            <w:tcW w:w="2253" w:type="dxa"/>
            <w:tcBorders>
              <w:bottom w:val="single" w:sz="4" w:space="0" w:color="auto"/>
            </w:tcBorders>
          </w:tcPr>
          <w:p w14:paraId="3F8C06FF" w14:textId="77777777" w:rsidR="00B57507" w:rsidRPr="00186963" w:rsidRDefault="00B57507" w:rsidP="00532B68">
            <w:pPr>
              <w:spacing w:line="276" w:lineRule="auto"/>
              <w:rPr>
                <w:rFonts w:ascii="Arial" w:hAnsi="Arial" w:cs="Arial"/>
                <w:color w:val="0070C0"/>
              </w:rPr>
            </w:pPr>
            <w:r w:rsidRPr="00186963">
              <w:rPr>
                <w:rFonts w:ascii="Arial" w:hAnsi="Arial" w:cs="Arial"/>
                <w:color w:val="0070C0"/>
              </w:rPr>
              <w:t>0.996 – 1.008</w:t>
            </w:r>
          </w:p>
        </w:tc>
        <w:tc>
          <w:tcPr>
            <w:tcW w:w="2253" w:type="dxa"/>
            <w:tcBorders>
              <w:bottom w:val="single" w:sz="4" w:space="0" w:color="auto"/>
            </w:tcBorders>
          </w:tcPr>
          <w:p w14:paraId="79F54644" w14:textId="77777777" w:rsidR="00B57507" w:rsidRPr="00186963" w:rsidRDefault="00B57507" w:rsidP="00532B68">
            <w:pPr>
              <w:spacing w:line="276" w:lineRule="auto"/>
              <w:rPr>
                <w:rFonts w:ascii="Arial" w:hAnsi="Arial" w:cs="Arial"/>
                <w:color w:val="0070C0"/>
              </w:rPr>
            </w:pPr>
            <w:r w:rsidRPr="00186963">
              <w:rPr>
                <w:rFonts w:ascii="Arial" w:hAnsi="Arial" w:cs="Arial"/>
                <w:color w:val="0070C0"/>
              </w:rPr>
              <w:t>0.544</w:t>
            </w:r>
          </w:p>
        </w:tc>
      </w:tr>
    </w:tbl>
    <w:p w14:paraId="187C4B7F" w14:textId="77777777" w:rsidR="00B57507" w:rsidRPr="00C929B2" w:rsidRDefault="00B57507" w:rsidP="00D95A4A">
      <w:pPr>
        <w:spacing w:line="360" w:lineRule="auto"/>
        <w:rPr>
          <w:rFonts w:ascii="Arial" w:hAnsi="Arial" w:cs="Arial"/>
          <w:b/>
        </w:rPr>
      </w:pPr>
    </w:p>
    <w:p w14:paraId="11CCF1D5" w14:textId="4FCBAA02" w:rsidR="00D95A4A" w:rsidRPr="00C929B2" w:rsidRDefault="00D95A4A" w:rsidP="00D95A4A">
      <w:pPr>
        <w:spacing w:line="360" w:lineRule="auto"/>
        <w:rPr>
          <w:rFonts w:ascii="Arial" w:hAnsi="Arial" w:cs="Arial"/>
        </w:rPr>
      </w:pPr>
      <w:r w:rsidRPr="00C929B2">
        <w:rPr>
          <w:rFonts w:ascii="Arial" w:hAnsi="Arial" w:cs="Arial"/>
        </w:rPr>
        <w:br w:type="page"/>
      </w:r>
    </w:p>
    <w:p w14:paraId="7E6628B4" w14:textId="5F82E379" w:rsidR="00D95A4A" w:rsidRPr="00C929B2" w:rsidRDefault="00D95A4A" w:rsidP="00D95A4A">
      <w:pPr>
        <w:spacing w:line="360" w:lineRule="auto"/>
        <w:rPr>
          <w:rFonts w:ascii="Arial" w:hAnsi="Arial" w:cs="Arial"/>
          <w:b/>
        </w:rPr>
      </w:pPr>
      <w:r w:rsidRPr="00186963">
        <w:rPr>
          <w:rFonts w:ascii="Arial" w:hAnsi="Arial" w:cs="Arial"/>
          <w:b/>
          <w:color w:val="0070C0"/>
        </w:rPr>
        <w:lastRenderedPageBreak/>
        <w:t xml:space="preserve">Supplementary Table </w:t>
      </w:r>
      <w:r w:rsidR="00B57507" w:rsidRPr="00186963">
        <w:rPr>
          <w:rFonts w:ascii="Arial" w:hAnsi="Arial" w:cs="Arial"/>
          <w:b/>
          <w:color w:val="0070C0"/>
        </w:rPr>
        <w:t>3</w:t>
      </w:r>
      <w:r w:rsidRPr="00C929B2">
        <w:rPr>
          <w:rFonts w:ascii="Arial" w:hAnsi="Arial" w:cs="Arial"/>
          <w:b/>
        </w:rPr>
        <w:t>. Iron indices and their predictive power for 28-day mortality in subgroups with/without infection or gastrointestinal bleeding.</w:t>
      </w:r>
    </w:p>
    <w:tbl>
      <w:tblPr>
        <w:tblStyle w:val="GridTable4-Accent11"/>
        <w:tblW w:w="9715" w:type="dxa"/>
        <w:tblLook w:val="04A0" w:firstRow="1" w:lastRow="0" w:firstColumn="1" w:lastColumn="0" w:noHBand="0" w:noVBand="1"/>
      </w:tblPr>
      <w:tblGrid>
        <w:gridCol w:w="2245"/>
        <w:gridCol w:w="2490"/>
        <w:gridCol w:w="2490"/>
        <w:gridCol w:w="2490"/>
      </w:tblGrid>
      <w:tr w:rsidR="00D95A4A" w:rsidRPr="00C929B2" w14:paraId="733A68C1" w14:textId="77777777" w:rsidTr="00DD3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303487AA" w14:textId="77777777" w:rsidR="00D95A4A" w:rsidRPr="00C929B2" w:rsidRDefault="00D95A4A" w:rsidP="00DD337C">
            <w:pPr>
              <w:spacing w:before="60" w:after="60" w:line="276" w:lineRule="auto"/>
              <w:rPr>
                <w:rFonts w:ascii="Arial" w:hAnsi="Arial" w:cs="Arial"/>
              </w:rPr>
            </w:pPr>
            <w:r w:rsidRPr="00C929B2">
              <w:rPr>
                <w:rFonts w:ascii="Arial" w:hAnsi="Arial" w:cs="Arial"/>
              </w:rPr>
              <w:t>Characteristic</w:t>
            </w:r>
          </w:p>
        </w:tc>
        <w:tc>
          <w:tcPr>
            <w:tcW w:w="2490" w:type="dxa"/>
          </w:tcPr>
          <w:p w14:paraId="6A454B6A" w14:textId="77777777" w:rsidR="00D95A4A" w:rsidRPr="00C929B2" w:rsidRDefault="00D95A4A" w:rsidP="00DD337C">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No infection or GI bleeding (n=663)</w:t>
            </w:r>
          </w:p>
        </w:tc>
        <w:tc>
          <w:tcPr>
            <w:tcW w:w="2490" w:type="dxa"/>
          </w:tcPr>
          <w:p w14:paraId="7F6B065C" w14:textId="77777777" w:rsidR="00D95A4A" w:rsidRPr="00C929B2" w:rsidRDefault="00D95A4A" w:rsidP="00DD337C">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Infection</w:t>
            </w:r>
            <w:r w:rsidRPr="00C929B2">
              <w:rPr>
                <w:rFonts w:ascii="Arial" w:hAnsi="Arial" w:cs="Arial"/>
              </w:rPr>
              <w:br/>
              <w:t>(n=107)</w:t>
            </w:r>
          </w:p>
        </w:tc>
        <w:tc>
          <w:tcPr>
            <w:tcW w:w="2490" w:type="dxa"/>
          </w:tcPr>
          <w:p w14:paraId="47DFE3FE" w14:textId="77777777" w:rsidR="00D95A4A" w:rsidRPr="00C929B2" w:rsidRDefault="00D95A4A" w:rsidP="00DD337C">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GI bleeding</w:t>
            </w:r>
            <w:r w:rsidRPr="00C929B2">
              <w:rPr>
                <w:rFonts w:ascii="Arial" w:hAnsi="Arial" w:cs="Arial"/>
              </w:rPr>
              <w:br/>
              <w:t>(n=76)</w:t>
            </w:r>
          </w:p>
        </w:tc>
      </w:tr>
      <w:tr w:rsidR="00D95A4A" w:rsidRPr="00C929B2" w14:paraId="212DD150" w14:textId="77777777" w:rsidTr="00DD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Merge w:val="restart"/>
          </w:tcPr>
          <w:p w14:paraId="22D19A05" w14:textId="77777777" w:rsidR="00D95A4A" w:rsidRPr="00C929B2" w:rsidRDefault="00D95A4A" w:rsidP="00DD337C">
            <w:pPr>
              <w:spacing w:before="60" w:after="60" w:line="276" w:lineRule="auto"/>
              <w:rPr>
                <w:rFonts w:ascii="Arial" w:hAnsi="Arial" w:cs="Arial"/>
              </w:rPr>
            </w:pPr>
            <w:r w:rsidRPr="00C929B2">
              <w:rPr>
                <w:rFonts w:ascii="Arial" w:hAnsi="Arial" w:cs="Arial"/>
              </w:rPr>
              <w:t>Transferrin (mg/dL)</w:t>
            </w:r>
          </w:p>
        </w:tc>
        <w:tc>
          <w:tcPr>
            <w:tcW w:w="2490" w:type="dxa"/>
          </w:tcPr>
          <w:p w14:paraId="5E0E667D"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117 (84 – 156)</w:t>
            </w:r>
          </w:p>
        </w:tc>
        <w:tc>
          <w:tcPr>
            <w:tcW w:w="2490" w:type="dxa"/>
          </w:tcPr>
          <w:p w14:paraId="697EBDD9"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105 (78 – 149)*</w:t>
            </w:r>
          </w:p>
        </w:tc>
        <w:tc>
          <w:tcPr>
            <w:tcW w:w="2490" w:type="dxa"/>
          </w:tcPr>
          <w:p w14:paraId="3E461203"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138 (100 – 176)*</w:t>
            </w:r>
          </w:p>
        </w:tc>
      </w:tr>
      <w:tr w:rsidR="00D95A4A" w:rsidRPr="00C929B2" w14:paraId="6900D102" w14:textId="77777777" w:rsidTr="00DD337C">
        <w:tc>
          <w:tcPr>
            <w:cnfStyle w:val="001000000000" w:firstRow="0" w:lastRow="0" w:firstColumn="1" w:lastColumn="0" w:oddVBand="0" w:evenVBand="0" w:oddHBand="0" w:evenHBand="0" w:firstRowFirstColumn="0" w:firstRowLastColumn="0" w:lastRowFirstColumn="0" w:lastRowLastColumn="0"/>
            <w:tcW w:w="2245" w:type="dxa"/>
            <w:vMerge/>
          </w:tcPr>
          <w:p w14:paraId="75C3A3D4" w14:textId="77777777" w:rsidR="00D95A4A" w:rsidRPr="00C929B2" w:rsidRDefault="00D95A4A" w:rsidP="00DD337C">
            <w:pPr>
              <w:spacing w:before="60" w:after="60" w:line="276" w:lineRule="auto"/>
              <w:rPr>
                <w:rFonts w:ascii="Arial" w:hAnsi="Arial" w:cs="Arial"/>
              </w:rPr>
            </w:pPr>
          </w:p>
        </w:tc>
        <w:tc>
          <w:tcPr>
            <w:tcW w:w="2490" w:type="dxa"/>
          </w:tcPr>
          <w:p w14:paraId="6D70FDF0" w14:textId="77777777" w:rsidR="00D95A4A" w:rsidRPr="00C929B2" w:rsidRDefault="00D95A4A" w:rsidP="00DD337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OR 0.985 (95% CI 0.980 – 0.991), p&lt;0.01</w:t>
            </w:r>
          </w:p>
        </w:tc>
        <w:tc>
          <w:tcPr>
            <w:tcW w:w="2490" w:type="dxa"/>
          </w:tcPr>
          <w:p w14:paraId="22CADF31" w14:textId="77777777" w:rsidR="00D95A4A" w:rsidRPr="00C929B2" w:rsidRDefault="00D95A4A" w:rsidP="00DD337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OR 0.983 (95% CI 0.968 – 0.998), p=0.03</w:t>
            </w:r>
          </w:p>
        </w:tc>
        <w:tc>
          <w:tcPr>
            <w:tcW w:w="2490" w:type="dxa"/>
          </w:tcPr>
          <w:p w14:paraId="5BE13025" w14:textId="77777777" w:rsidR="00D95A4A" w:rsidRPr="00C929B2" w:rsidRDefault="00D95A4A" w:rsidP="00DD337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OR 0.982 (95% CI 0.967 – 0.997), p=0.02</w:t>
            </w:r>
          </w:p>
        </w:tc>
      </w:tr>
      <w:tr w:rsidR="00D95A4A" w:rsidRPr="00C929B2" w14:paraId="4FED6325" w14:textId="77777777" w:rsidTr="00DD337C">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2245" w:type="dxa"/>
            <w:vMerge w:val="restart"/>
          </w:tcPr>
          <w:p w14:paraId="5F5F2433" w14:textId="77777777" w:rsidR="00D95A4A" w:rsidRPr="00C929B2" w:rsidRDefault="00D95A4A" w:rsidP="00DD337C">
            <w:pPr>
              <w:spacing w:before="60" w:after="60" w:line="276" w:lineRule="auto"/>
              <w:rPr>
                <w:rFonts w:ascii="Arial" w:hAnsi="Arial" w:cs="Arial"/>
              </w:rPr>
            </w:pPr>
            <w:r w:rsidRPr="00C929B2">
              <w:rPr>
                <w:rFonts w:ascii="Arial" w:hAnsi="Arial" w:cs="Arial"/>
              </w:rPr>
              <w:t>TSAT (%)</w:t>
            </w:r>
          </w:p>
        </w:tc>
        <w:tc>
          <w:tcPr>
            <w:tcW w:w="2490" w:type="dxa"/>
          </w:tcPr>
          <w:p w14:paraId="5FFC96A3"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63 (39 – 84)</w:t>
            </w:r>
          </w:p>
        </w:tc>
        <w:tc>
          <w:tcPr>
            <w:tcW w:w="2490" w:type="dxa"/>
          </w:tcPr>
          <w:p w14:paraId="782BCA72"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56 (34 – 81)</w:t>
            </w:r>
          </w:p>
        </w:tc>
        <w:tc>
          <w:tcPr>
            <w:tcW w:w="2490" w:type="dxa"/>
          </w:tcPr>
          <w:p w14:paraId="43027272"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35 (20 – 65)***</w:t>
            </w:r>
          </w:p>
        </w:tc>
      </w:tr>
      <w:tr w:rsidR="00D95A4A" w:rsidRPr="00C929B2" w14:paraId="298BD1D5" w14:textId="77777777" w:rsidTr="00DD337C">
        <w:tc>
          <w:tcPr>
            <w:cnfStyle w:val="001000000000" w:firstRow="0" w:lastRow="0" w:firstColumn="1" w:lastColumn="0" w:oddVBand="0" w:evenVBand="0" w:oddHBand="0" w:evenHBand="0" w:firstRowFirstColumn="0" w:firstRowLastColumn="0" w:lastRowFirstColumn="0" w:lastRowLastColumn="0"/>
            <w:tcW w:w="2245" w:type="dxa"/>
            <w:vMerge/>
          </w:tcPr>
          <w:p w14:paraId="61015336" w14:textId="77777777" w:rsidR="00D95A4A" w:rsidRPr="00C929B2" w:rsidRDefault="00D95A4A" w:rsidP="00DD337C">
            <w:pPr>
              <w:spacing w:before="60" w:after="60" w:line="276" w:lineRule="auto"/>
              <w:rPr>
                <w:rFonts w:ascii="Arial" w:hAnsi="Arial" w:cs="Arial"/>
              </w:rPr>
            </w:pPr>
          </w:p>
        </w:tc>
        <w:tc>
          <w:tcPr>
            <w:tcW w:w="2490" w:type="dxa"/>
          </w:tcPr>
          <w:p w14:paraId="0AE2377B" w14:textId="77777777" w:rsidR="00D95A4A" w:rsidRPr="00C929B2" w:rsidRDefault="00D95A4A" w:rsidP="00DD337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OR 1.024 (95% CI 1.02 – 1.03), p&lt;0.001</w:t>
            </w:r>
          </w:p>
        </w:tc>
        <w:tc>
          <w:tcPr>
            <w:tcW w:w="2490" w:type="dxa"/>
          </w:tcPr>
          <w:p w14:paraId="23771CA3" w14:textId="77777777" w:rsidR="00D95A4A" w:rsidRPr="00C929B2" w:rsidRDefault="00D95A4A" w:rsidP="00DD337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OR 1.014 (95% CI 0.994 – 1.033), p=0.17</w:t>
            </w:r>
          </w:p>
        </w:tc>
        <w:tc>
          <w:tcPr>
            <w:tcW w:w="2490" w:type="dxa"/>
          </w:tcPr>
          <w:p w14:paraId="2B926079" w14:textId="77777777" w:rsidR="00D95A4A" w:rsidRPr="00C929B2" w:rsidRDefault="00D95A4A" w:rsidP="00DD337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OR 1.020 (95% CI 0.999 – 1.041), p=0.06</w:t>
            </w:r>
          </w:p>
        </w:tc>
      </w:tr>
      <w:tr w:rsidR="00D95A4A" w:rsidRPr="00C929B2" w14:paraId="1CC77E76" w14:textId="77777777" w:rsidTr="00DD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Merge w:val="restart"/>
          </w:tcPr>
          <w:p w14:paraId="73FDA3FB" w14:textId="77777777" w:rsidR="00D95A4A" w:rsidRPr="00C929B2" w:rsidRDefault="00D95A4A" w:rsidP="00DD337C">
            <w:pPr>
              <w:spacing w:before="60" w:after="60" w:line="276" w:lineRule="auto"/>
              <w:rPr>
                <w:rFonts w:ascii="Arial" w:hAnsi="Arial" w:cs="Arial"/>
              </w:rPr>
            </w:pPr>
            <w:r w:rsidRPr="00C929B2">
              <w:rPr>
                <w:rFonts w:ascii="Arial" w:hAnsi="Arial" w:cs="Arial"/>
              </w:rPr>
              <w:t>Ferritin (ng/ml)</w:t>
            </w:r>
          </w:p>
        </w:tc>
        <w:tc>
          <w:tcPr>
            <w:tcW w:w="2490" w:type="dxa"/>
          </w:tcPr>
          <w:p w14:paraId="6488B896"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792 (350 – 1535)</w:t>
            </w:r>
          </w:p>
        </w:tc>
        <w:tc>
          <w:tcPr>
            <w:tcW w:w="2490" w:type="dxa"/>
          </w:tcPr>
          <w:p w14:paraId="6C1E3B9D"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541 (204 – 1317)</w:t>
            </w:r>
          </w:p>
        </w:tc>
        <w:tc>
          <w:tcPr>
            <w:tcW w:w="2490" w:type="dxa"/>
          </w:tcPr>
          <w:p w14:paraId="5EE1F02B"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328 (169 – 960)***</w:t>
            </w:r>
          </w:p>
        </w:tc>
      </w:tr>
      <w:tr w:rsidR="00D95A4A" w:rsidRPr="00C929B2" w14:paraId="30E25D81" w14:textId="77777777" w:rsidTr="00DD337C">
        <w:tc>
          <w:tcPr>
            <w:cnfStyle w:val="001000000000" w:firstRow="0" w:lastRow="0" w:firstColumn="1" w:lastColumn="0" w:oddVBand="0" w:evenVBand="0" w:oddHBand="0" w:evenHBand="0" w:firstRowFirstColumn="0" w:firstRowLastColumn="0" w:lastRowFirstColumn="0" w:lastRowLastColumn="0"/>
            <w:tcW w:w="2245" w:type="dxa"/>
            <w:vMerge/>
          </w:tcPr>
          <w:p w14:paraId="2C4B2A5E" w14:textId="77777777" w:rsidR="00D95A4A" w:rsidRPr="00C929B2" w:rsidRDefault="00D95A4A" w:rsidP="00DD337C">
            <w:pPr>
              <w:spacing w:before="60" w:after="60" w:line="276" w:lineRule="auto"/>
              <w:rPr>
                <w:rFonts w:ascii="Arial" w:hAnsi="Arial" w:cs="Arial"/>
              </w:rPr>
            </w:pPr>
          </w:p>
        </w:tc>
        <w:tc>
          <w:tcPr>
            <w:tcW w:w="2490" w:type="dxa"/>
          </w:tcPr>
          <w:p w14:paraId="5AA52626" w14:textId="77777777" w:rsidR="00D95A4A" w:rsidRPr="00C929B2" w:rsidRDefault="00D95A4A" w:rsidP="00DD337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OR 1.000 (95% CI 1.000 – 1.000), p=0.05</w:t>
            </w:r>
          </w:p>
        </w:tc>
        <w:tc>
          <w:tcPr>
            <w:tcW w:w="2490" w:type="dxa"/>
          </w:tcPr>
          <w:p w14:paraId="0CB55D05" w14:textId="77777777" w:rsidR="00D95A4A" w:rsidRPr="00C929B2" w:rsidRDefault="00D95A4A" w:rsidP="00DD337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OR 1.001 (95% CI 1.000 – 1.001), p=0.02</w:t>
            </w:r>
          </w:p>
        </w:tc>
        <w:tc>
          <w:tcPr>
            <w:tcW w:w="2490" w:type="dxa"/>
          </w:tcPr>
          <w:p w14:paraId="24BE3ACC" w14:textId="77777777" w:rsidR="00D95A4A" w:rsidRPr="00C929B2" w:rsidRDefault="00D95A4A" w:rsidP="00DD337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OR 1.001 (95% CI 1.000 – 1.001), p=0.05</w:t>
            </w:r>
          </w:p>
        </w:tc>
      </w:tr>
      <w:tr w:rsidR="00D95A4A" w:rsidRPr="00C929B2" w14:paraId="4CBBD87B" w14:textId="77777777" w:rsidTr="00DD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Merge w:val="restart"/>
          </w:tcPr>
          <w:p w14:paraId="162E3FC4" w14:textId="77777777" w:rsidR="004565DE" w:rsidRDefault="00D95A4A" w:rsidP="00DD337C">
            <w:pPr>
              <w:spacing w:before="60" w:after="60" w:line="276" w:lineRule="auto"/>
              <w:rPr>
                <w:rFonts w:ascii="Arial" w:hAnsi="Arial" w:cs="Arial"/>
                <w:b w:val="0"/>
                <w:bCs w:val="0"/>
              </w:rPr>
            </w:pPr>
            <w:r w:rsidRPr="00C929B2">
              <w:rPr>
                <w:rFonts w:ascii="Arial" w:hAnsi="Arial" w:cs="Arial"/>
              </w:rPr>
              <w:t>Serum iron</w:t>
            </w:r>
          </w:p>
          <w:p w14:paraId="7729FCF2" w14:textId="66013866" w:rsidR="00D95A4A" w:rsidRPr="00C929B2" w:rsidRDefault="00D95A4A" w:rsidP="00DD337C">
            <w:pPr>
              <w:spacing w:before="60" w:after="60" w:line="276" w:lineRule="auto"/>
              <w:rPr>
                <w:rFonts w:ascii="Arial" w:hAnsi="Arial" w:cs="Arial"/>
              </w:rPr>
            </w:pPr>
            <w:r w:rsidRPr="00C929B2">
              <w:rPr>
                <w:rFonts w:ascii="Arial" w:hAnsi="Arial" w:cs="Arial"/>
              </w:rPr>
              <w:t>(µmol/L)</w:t>
            </w:r>
          </w:p>
        </w:tc>
        <w:tc>
          <w:tcPr>
            <w:tcW w:w="2490" w:type="dxa"/>
          </w:tcPr>
          <w:p w14:paraId="20D9BD03"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16.5 (11.6 – 22.5)</w:t>
            </w:r>
          </w:p>
        </w:tc>
        <w:tc>
          <w:tcPr>
            <w:tcW w:w="2490" w:type="dxa"/>
          </w:tcPr>
          <w:p w14:paraId="5C34E18C"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13.5 (9.9 – 18.6)**</w:t>
            </w:r>
          </w:p>
        </w:tc>
        <w:tc>
          <w:tcPr>
            <w:tcW w:w="2490" w:type="dxa"/>
          </w:tcPr>
          <w:p w14:paraId="73BDA04E"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11.7 (8.2 – 18.0)***</w:t>
            </w:r>
          </w:p>
        </w:tc>
      </w:tr>
      <w:tr w:rsidR="00D95A4A" w:rsidRPr="00C929B2" w14:paraId="1D25E837" w14:textId="77777777" w:rsidTr="00DD337C">
        <w:tc>
          <w:tcPr>
            <w:cnfStyle w:val="001000000000" w:firstRow="0" w:lastRow="0" w:firstColumn="1" w:lastColumn="0" w:oddVBand="0" w:evenVBand="0" w:oddHBand="0" w:evenHBand="0" w:firstRowFirstColumn="0" w:firstRowLastColumn="0" w:lastRowFirstColumn="0" w:lastRowLastColumn="0"/>
            <w:tcW w:w="2245" w:type="dxa"/>
            <w:vMerge/>
          </w:tcPr>
          <w:p w14:paraId="5D6CC22B" w14:textId="77777777" w:rsidR="00D95A4A" w:rsidRPr="00C929B2" w:rsidRDefault="00D95A4A" w:rsidP="00DD337C">
            <w:pPr>
              <w:spacing w:before="60" w:after="60" w:line="276" w:lineRule="auto"/>
              <w:rPr>
                <w:rFonts w:ascii="Arial" w:hAnsi="Arial" w:cs="Arial"/>
              </w:rPr>
            </w:pPr>
          </w:p>
        </w:tc>
        <w:tc>
          <w:tcPr>
            <w:tcW w:w="2490" w:type="dxa"/>
          </w:tcPr>
          <w:p w14:paraId="3061E382" w14:textId="77777777" w:rsidR="00D95A4A" w:rsidRPr="00C929B2" w:rsidRDefault="00D95A4A" w:rsidP="00DD337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0.98 (95% CI 0.95 – 1.01), p=0.13</w:t>
            </w:r>
          </w:p>
        </w:tc>
        <w:tc>
          <w:tcPr>
            <w:tcW w:w="2490" w:type="dxa"/>
          </w:tcPr>
          <w:p w14:paraId="3661BDAE" w14:textId="77777777" w:rsidR="00D95A4A" w:rsidRPr="00C929B2" w:rsidRDefault="00D95A4A" w:rsidP="00DD337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OR 0.96 (95% CI 0.88 – 1.04), p=0.28</w:t>
            </w:r>
          </w:p>
        </w:tc>
        <w:tc>
          <w:tcPr>
            <w:tcW w:w="2490" w:type="dxa"/>
          </w:tcPr>
          <w:p w14:paraId="5EB692AD" w14:textId="77777777" w:rsidR="00D95A4A" w:rsidRPr="00C929B2" w:rsidRDefault="00D95A4A" w:rsidP="00DD337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OR 1.008 (95% CI 0.93 – 1.09), p=0.85</w:t>
            </w:r>
          </w:p>
        </w:tc>
      </w:tr>
      <w:tr w:rsidR="00D95A4A" w:rsidRPr="00C929B2" w14:paraId="73AD7890" w14:textId="77777777" w:rsidTr="00DD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vMerge w:val="restart"/>
          </w:tcPr>
          <w:p w14:paraId="524A5900" w14:textId="77777777" w:rsidR="00D95A4A" w:rsidRPr="00C929B2" w:rsidRDefault="00D95A4A" w:rsidP="00DD337C">
            <w:pPr>
              <w:spacing w:before="60" w:after="60" w:line="276" w:lineRule="auto"/>
              <w:rPr>
                <w:rFonts w:ascii="Arial" w:hAnsi="Arial" w:cs="Arial"/>
              </w:rPr>
            </w:pPr>
            <w:r w:rsidRPr="00C929B2">
              <w:rPr>
                <w:rFonts w:ascii="Arial" w:hAnsi="Arial" w:cs="Arial"/>
              </w:rPr>
              <w:t>Hepcidin (ng/ml)</w:t>
            </w:r>
          </w:p>
        </w:tc>
        <w:tc>
          <w:tcPr>
            <w:tcW w:w="2490" w:type="dxa"/>
          </w:tcPr>
          <w:p w14:paraId="094538BC"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12.4 (4.6 – 25.6)</w:t>
            </w:r>
          </w:p>
        </w:tc>
        <w:tc>
          <w:tcPr>
            <w:tcW w:w="2490" w:type="dxa"/>
          </w:tcPr>
          <w:p w14:paraId="3F9E2EB5"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11.1 (4.7 – 28.4)</w:t>
            </w:r>
          </w:p>
        </w:tc>
        <w:tc>
          <w:tcPr>
            <w:tcW w:w="2490" w:type="dxa"/>
          </w:tcPr>
          <w:p w14:paraId="3272A840"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5.4 (2.4 – 14.6)***</w:t>
            </w:r>
          </w:p>
        </w:tc>
      </w:tr>
      <w:tr w:rsidR="00D95A4A" w:rsidRPr="00C929B2" w14:paraId="07048629" w14:textId="77777777" w:rsidTr="00DD337C">
        <w:tc>
          <w:tcPr>
            <w:cnfStyle w:val="001000000000" w:firstRow="0" w:lastRow="0" w:firstColumn="1" w:lastColumn="0" w:oddVBand="0" w:evenVBand="0" w:oddHBand="0" w:evenHBand="0" w:firstRowFirstColumn="0" w:firstRowLastColumn="0" w:lastRowFirstColumn="0" w:lastRowLastColumn="0"/>
            <w:tcW w:w="2245" w:type="dxa"/>
            <w:vMerge/>
          </w:tcPr>
          <w:p w14:paraId="60F719EE" w14:textId="77777777" w:rsidR="00D95A4A" w:rsidRPr="00C929B2" w:rsidRDefault="00D95A4A" w:rsidP="00DD337C">
            <w:pPr>
              <w:spacing w:before="60" w:after="60" w:line="276" w:lineRule="auto"/>
              <w:rPr>
                <w:rFonts w:ascii="Arial" w:hAnsi="Arial" w:cs="Arial"/>
              </w:rPr>
            </w:pPr>
          </w:p>
        </w:tc>
        <w:tc>
          <w:tcPr>
            <w:tcW w:w="2490" w:type="dxa"/>
          </w:tcPr>
          <w:p w14:paraId="02AAB5C7" w14:textId="77777777" w:rsidR="00D95A4A" w:rsidRPr="00C929B2" w:rsidRDefault="00D95A4A" w:rsidP="00DD337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OR 1.01 (95% CI 1.00 – 1.02), p=0.05</w:t>
            </w:r>
          </w:p>
        </w:tc>
        <w:tc>
          <w:tcPr>
            <w:tcW w:w="2490" w:type="dxa"/>
          </w:tcPr>
          <w:p w14:paraId="6A0C3F80" w14:textId="77777777" w:rsidR="00D95A4A" w:rsidRPr="00C929B2" w:rsidRDefault="00D95A4A" w:rsidP="00DD337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OR 1.01 (95% CI 0.98 – 1.04), p=0.56</w:t>
            </w:r>
          </w:p>
        </w:tc>
        <w:tc>
          <w:tcPr>
            <w:tcW w:w="2490" w:type="dxa"/>
          </w:tcPr>
          <w:p w14:paraId="72ECF1C8" w14:textId="77777777" w:rsidR="00D95A4A" w:rsidRPr="00C929B2" w:rsidRDefault="00D95A4A" w:rsidP="00DD337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OR 1.02 (95% CI 0.989 – 1.06), p=0.19</w:t>
            </w:r>
          </w:p>
        </w:tc>
      </w:tr>
    </w:tbl>
    <w:p w14:paraId="539B9A27" w14:textId="77777777" w:rsidR="00D95A4A" w:rsidRPr="0025257E" w:rsidRDefault="00D95A4A" w:rsidP="00D95A4A">
      <w:pPr>
        <w:spacing w:line="360" w:lineRule="auto"/>
        <w:rPr>
          <w:rFonts w:ascii="Arial" w:hAnsi="Arial" w:cs="Arial"/>
        </w:rPr>
      </w:pPr>
      <w:r w:rsidRPr="00C929B2">
        <w:rPr>
          <w:rFonts w:ascii="Arial" w:hAnsi="Arial" w:cs="Arial"/>
        </w:rPr>
        <w:t xml:space="preserve">Data are shown as medians and interquartile ranges. *p&lt;0.05, **p&lt;0.01, ***p&lt;0.001 for pairwise comparison between those presenting with infection or GI haemorrhage and those without. Odds ratios and 95% confidence intervals are referring to association with 28-day mortality. Abbreviations: CI: confidence interval; GI: </w:t>
      </w:r>
      <w:r w:rsidRPr="0025257E">
        <w:rPr>
          <w:rFonts w:ascii="Arial" w:hAnsi="Arial" w:cs="Arial"/>
        </w:rPr>
        <w:t>gastrointestinal; OR: odds ratio; TSAT: transferrin saturation</w:t>
      </w:r>
    </w:p>
    <w:p w14:paraId="2AD39599" w14:textId="62032839" w:rsidR="00D95A4A" w:rsidRPr="0025257E" w:rsidRDefault="00D95A4A" w:rsidP="00D95A4A">
      <w:pPr>
        <w:spacing w:line="360" w:lineRule="auto"/>
        <w:rPr>
          <w:rFonts w:ascii="Arial" w:hAnsi="Arial" w:cs="Arial"/>
        </w:rPr>
      </w:pPr>
    </w:p>
    <w:p w14:paraId="26B0C6EC" w14:textId="1D8DDE02" w:rsidR="00F45F63" w:rsidRPr="00186963" w:rsidRDefault="00F45F63" w:rsidP="00F45F63">
      <w:pPr>
        <w:spacing w:line="276" w:lineRule="auto"/>
        <w:rPr>
          <w:rFonts w:ascii="Arial" w:hAnsi="Arial" w:cs="Arial"/>
          <w:b/>
          <w:bCs/>
          <w:color w:val="0070C0"/>
          <w:lang w:val="en-US"/>
        </w:rPr>
      </w:pPr>
      <w:r w:rsidRPr="00186963">
        <w:rPr>
          <w:rFonts w:ascii="Arial" w:hAnsi="Arial" w:cs="Arial"/>
          <w:b/>
          <w:bCs/>
          <w:color w:val="0070C0"/>
          <w:lang w:val="en-US"/>
        </w:rPr>
        <w:t xml:space="preserve">Supplementary Table </w:t>
      </w:r>
      <w:r w:rsidR="00D250F2" w:rsidRPr="00186963">
        <w:rPr>
          <w:rFonts w:ascii="Arial" w:hAnsi="Arial" w:cs="Arial"/>
          <w:b/>
          <w:bCs/>
          <w:color w:val="0070C0"/>
          <w:lang w:val="en-US"/>
        </w:rPr>
        <w:t>4</w:t>
      </w:r>
      <w:r w:rsidRPr="00186963">
        <w:rPr>
          <w:rFonts w:ascii="Arial" w:hAnsi="Arial" w:cs="Arial"/>
          <w:b/>
          <w:bCs/>
          <w:color w:val="0070C0"/>
          <w:lang w:val="en-US"/>
        </w:rPr>
        <w:t>. Serum iron parameters in exploratory and validation cohorts, dichotomized by the diagnosis of gastrointestinal bleeding at presentation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1424"/>
        <w:gridCol w:w="1364"/>
        <w:gridCol w:w="817"/>
        <w:gridCol w:w="1418"/>
        <w:gridCol w:w="1422"/>
        <w:gridCol w:w="1091"/>
      </w:tblGrid>
      <w:tr w:rsidR="00186963" w:rsidRPr="00186963" w14:paraId="596CCA91" w14:textId="77777777" w:rsidTr="00B57507">
        <w:tc>
          <w:tcPr>
            <w:tcW w:w="1272" w:type="dxa"/>
            <w:tcBorders>
              <w:top w:val="single" w:sz="4" w:space="0" w:color="auto"/>
            </w:tcBorders>
          </w:tcPr>
          <w:p w14:paraId="66CC17EF" w14:textId="77777777" w:rsidR="00F45F63" w:rsidRPr="00186963" w:rsidRDefault="00F45F63" w:rsidP="00F45F63">
            <w:pPr>
              <w:spacing w:line="276" w:lineRule="auto"/>
              <w:rPr>
                <w:rFonts w:ascii="Arial" w:hAnsi="Arial" w:cs="Arial"/>
                <w:b/>
                <w:bCs/>
                <w:color w:val="0070C0"/>
                <w:lang w:val="en-US"/>
              </w:rPr>
            </w:pPr>
          </w:p>
        </w:tc>
        <w:tc>
          <w:tcPr>
            <w:tcW w:w="3721" w:type="dxa"/>
            <w:gridSpan w:val="3"/>
            <w:tcBorders>
              <w:top w:val="single" w:sz="4" w:space="0" w:color="auto"/>
            </w:tcBorders>
          </w:tcPr>
          <w:p w14:paraId="3EBF219D" w14:textId="77777777" w:rsidR="00F45F63" w:rsidRPr="00186963" w:rsidRDefault="00F45F63" w:rsidP="00F45F63">
            <w:pPr>
              <w:spacing w:line="276" w:lineRule="auto"/>
              <w:rPr>
                <w:rFonts w:ascii="Arial" w:hAnsi="Arial" w:cs="Arial"/>
                <w:b/>
                <w:bCs/>
                <w:color w:val="0070C0"/>
              </w:rPr>
            </w:pPr>
            <w:r w:rsidRPr="00186963">
              <w:rPr>
                <w:rFonts w:ascii="Arial" w:hAnsi="Arial" w:cs="Arial"/>
                <w:b/>
                <w:bCs/>
                <w:color w:val="0070C0"/>
              </w:rPr>
              <w:t>Exploratory</w:t>
            </w:r>
          </w:p>
        </w:tc>
        <w:tc>
          <w:tcPr>
            <w:tcW w:w="4027" w:type="dxa"/>
            <w:gridSpan w:val="3"/>
            <w:tcBorders>
              <w:top w:val="single" w:sz="4" w:space="0" w:color="auto"/>
            </w:tcBorders>
          </w:tcPr>
          <w:p w14:paraId="45794C31" w14:textId="77777777" w:rsidR="00F45F63" w:rsidRPr="00186963" w:rsidRDefault="00F45F63" w:rsidP="00F45F63">
            <w:pPr>
              <w:spacing w:line="276" w:lineRule="auto"/>
              <w:rPr>
                <w:rFonts w:ascii="Arial" w:hAnsi="Arial" w:cs="Arial"/>
                <w:b/>
                <w:bCs/>
                <w:color w:val="0070C0"/>
              </w:rPr>
            </w:pPr>
            <w:r w:rsidRPr="00186963">
              <w:rPr>
                <w:rFonts w:ascii="Arial" w:hAnsi="Arial" w:cs="Arial"/>
                <w:b/>
                <w:bCs/>
                <w:color w:val="0070C0"/>
              </w:rPr>
              <w:t>Validation</w:t>
            </w:r>
          </w:p>
        </w:tc>
      </w:tr>
      <w:tr w:rsidR="00186963" w:rsidRPr="00186963" w14:paraId="6C1DAADA" w14:textId="77777777" w:rsidTr="00B57507">
        <w:tc>
          <w:tcPr>
            <w:tcW w:w="1272" w:type="dxa"/>
            <w:tcBorders>
              <w:bottom w:val="single" w:sz="4" w:space="0" w:color="auto"/>
            </w:tcBorders>
          </w:tcPr>
          <w:p w14:paraId="3DA4038E" w14:textId="77777777" w:rsidR="00F45F63" w:rsidRPr="00186963" w:rsidRDefault="00F45F63" w:rsidP="00F45F63">
            <w:pPr>
              <w:spacing w:line="276" w:lineRule="auto"/>
              <w:rPr>
                <w:rFonts w:ascii="Arial" w:hAnsi="Arial" w:cs="Arial"/>
                <w:b/>
                <w:bCs/>
                <w:color w:val="0070C0"/>
              </w:rPr>
            </w:pPr>
          </w:p>
        </w:tc>
        <w:tc>
          <w:tcPr>
            <w:tcW w:w="1555" w:type="dxa"/>
            <w:tcBorders>
              <w:bottom w:val="single" w:sz="4" w:space="0" w:color="auto"/>
            </w:tcBorders>
          </w:tcPr>
          <w:p w14:paraId="5829211F" w14:textId="77777777" w:rsidR="00F45F63" w:rsidRPr="00186963" w:rsidRDefault="00F45F63" w:rsidP="00F45F63">
            <w:pPr>
              <w:spacing w:line="276" w:lineRule="auto"/>
              <w:rPr>
                <w:rFonts w:ascii="Arial" w:hAnsi="Arial" w:cs="Arial"/>
                <w:b/>
                <w:bCs/>
                <w:color w:val="0070C0"/>
                <w:lang w:val="en-US"/>
              </w:rPr>
            </w:pPr>
            <w:r w:rsidRPr="00186963">
              <w:rPr>
                <w:rFonts w:ascii="Arial" w:hAnsi="Arial" w:cs="Arial"/>
                <w:b/>
                <w:bCs/>
                <w:color w:val="0070C0"/>
                <w:lang w:val="en-US"/>
              </w:rPr>
              <w:t xml:space="preserve">No baseline </w:t>
            </w:r>
            <w:r w:rsidRPr="00186963">
              <w:rPr>
                <w:rFonts w:ascii="Arial" w:hAnsi="Arial" w:cs="Arial"/>
                <w:b/>
                <w:bCs/>
                <w:color w:val="0070C0"/>
                <w:lang w:val="en-US"/>
              </w:rPr>
              <w:lastRenderedPageBreak/>
              <w:t>GI bleed (n=187)</w:t>
            </w:r>
          </w:p>
        </w:tc>
        <w:tc>
          <w:tcPr>
            <w:tcW w:w="1449" w:type="dxa"/>
            <w:tcBorders>
              <w:bottom w:val="single" w:sz="4" w:space="0" w:color="auto"/>
            </w:tcBorders>
          </w:tcPr>
          <w:p w14:paraId="3CE8877E" w14:textId="77777777" w:rsidR="00F45F63" w:rsidRPr="00186963" w:rsidRDefault="00F45F63" w:rsidP="00F45F63">
            <w:pPr>
              <w:spacing w:line="276" w:lineRule="auto"/>
              <w:rPr>
                <w:rFonts w:ascii="Arial" w:hAnsi="Arial" w:cs="Arial"/>
                <w:b/>
                <w:bCs/>
                <w:color w:val="0070C0"/>
              </w:rPr>
            </w:pPr>
            <w:r w:rsidRPr="00186963">
              <w:rPr>
                <w:rFonts w:ascii="Arial" w:hAnsi="Arial" w:cs="Arial"/>
                <w:b/>
                <w:bCs/>
                <w:color w:val="0070C0"/>
              </w:rPr>
              <w:lastRenderedPageBreak/>
              <w:t>Baseline GI bleed (n=13)</w:t>
            </w:r>
          </w:p>
        </w:tc>
        <w:tc>
          <w:tcPr>
            <w:tcW w:w="717" w:type="dxa"/>
            <w:tcBorders>
              <w:bottom w:val="single" w:sz="4" w:space="0" w:color="auto"/>
            </w:tcBorders>
          </w:tcPr>
          <w:p w14:paraId="3FA2AF76" w14:textId="77777777" w:rsidR="00F45F63" w:rsidRPr="00186963" w:rsidRDefault="00F45F63" w:rsidP="00F45F63">
            <w:pPr>
              <w:spacing w:line="276" w:lineRule="auto"/>
              <w:rPr>
                <w:rFonts w:ascii="Arial" w:hAnsi="Arial" w:cs="Arial"/>
                <w:b/>
                <w:bCs/>
                <w:color w:val="0070C0"/>
              </w:rPr>
            </w:pPr>
            <w:r w:rsidRPr="00186963">
              <w:rPr>
                <w:rFonts w:ascii="Arial" w:hAnsi="Arial" w:cs="Arial"/>
                <w:b/>
                <w:bCs/>
                <w:color w:val="0070C0"/>
              </w:rPr>
              <w:t xml:space="preserve">p </w:t>
            </w:r>
          </w:p>
        </w:tc>
        <w:tc>
          <w:tcPr>
            <w:tcW w:w="1545" w:type="dxa"/>
            <w:tcBorders>
              <w:bottom w:val="single" w:sz="4" w:space="0" w:color="auto"/>
            </w:tcBorders>
          </w:tcPr>
          <w:p w14:paraId="5F320EAB" w14:textId="77777777" w:rsidR="00F45F63" w:rsidRPr="00186963" w:rsidRDefault="00F45F63" w:rsidP="00F45F63">
            <w:pPr>
              <w:spacing w:line="276" w:lineRule="auto"/>
              <w:rPr>
                <w:rFonts w:ascii="Arial" w:hAnsi="Arial" w:cs="Arial"/>
                <w:b/>
                <w:bCs/>
                <w:color w:val="0070C0"/>
                <w:lang w:val="en-US"/>
              </w:rPr>
            </w:pPr>
            <w:r w:rsidRPr="00186963">
              <w:rPr>
                <w:rFonts w:ascii="Arial" w:hAnsi="Arial" w:cs="Arial"/>
                <w:b/>
                <w:bCs/>
                <w:color w:val="0070C0"/>
                <w:lang w:val="en-US"/>
              </w:rPr>
              <w:t xml:space="preserve">No baseline </w:t>
            </w:r>
            <w:r w:rsidRPr="00186963">
              <w:rPr>
                <w:rFonts w:ascii="Arial" w:hAnsi="Arial" w:cs="Arial"/>
                <w:b/>
                <w:bCs/>
                <w:color w:val="0070C0"/>
                <w:lang w:val="en-US"/>
              </w:rPr>
              <w:lastRenderedPageBreak/>
              <w:t>GI bleed (n=565)</w:t>
            </w:r>
          </w:p>
        </w:tc>
        <w:tc>
          <w:tcPr>
            <w:tcW w:w="1537" w:type="dxa"/>
            <w:tcBorders>
              <w:bottom w:val="single" w:sz="4" w:space="0" w:color="auto"/>
            </w:tcBorders>
          </w:tcPr>
          <w:p w14:paraId="1E6996EE" w14:textId="77777777" w:rsidR="00F45F63" w:rsidRPr="00186963" w:rsidRDefault="00F45F63" w:rsidP="00F45F63">
            <w:pPr>
              <w:spacing w:line="276" w:lineRule="auto"/>
              <w:rPr>
                <w:rFonts w:ascii="Arial" w:hAnsi="Arial" w:cs="Arial"/>
                <w:b/>
                <w:bCs/>
                <w:color w:val="0070C0"/>
              </w:rPr>
            </w:pPr>
            <w:r w:rsidRPr="00186963">
              <w:rPr>
                <w:rFonts w:ascii="Arial" w:hAnsi="Arial" w:cs="Arial"/>
                <w:b/>
                <w:bCs/>
                <w:color w:val="0070C0"/>
              </w:rPr>
              <w:lastRenderedPageBreak/>
              <w:t>Baseline GI bleed (n=63)</w:t>
            </w:r>
          </w:p>
        </w:tc>
        <w:tc>
          <w:tcPr>
            <w:tcW w:w="945" w:type="dxa"/>
            <w:tcBorders>
              <w:bottom w:val="single" w:sz="4" w:space="0" w:color="auto"/>
            </w:tcBorders>
          </w:tcPr>
          <w:p w14:paraId="53CFF603" w14:textId="77777777" w:rsidR="00F45F63" w:rsidRPr="00186963" w:rsidRDefault="00F45F63" w:rsidP="00F45F63">
            <w:pPr>
              <w:spacing w:line="276" w:lineRule="auto"/>
              <w:rPr>
                <w:rFonts w:ascii="Arial" w:hAnsi="Arial" w:cs="Arial"/>
                <w:b/>
                <w:bCs/>
                <w:color w:val="0070C0"/>
              </w:rPr>
            </w:pPr>
            <w:r w:rsidRPr="00186963">
              <w:rPr>
                <w:rFonts w:ascii="Arial" w:hAnsi="Arial" w:cs="Arial"/>
                <w:b/>
                <w:bCs/>
                <w:color w:val="0070C0"/>
              </w:rPr>
              <w:t>p</w:t>
            </w:r>
          </w:p>
        </w:tc>
      </w:tr>
      <w:tr w:rsidR="00186963" w:rsidRPr="00186963" w14:paraId="1661EE77" w14:textId="77777777" w:rsidTr="00B57507">
        <w:tc>
          <w:tcPr>
            <w:tcW w:w="1272" w:type="dxa"/>
            <w:tcBorders>
              <w:top w:val="single" w:sz="4" w:space="0" w:color="auto"/>
            </w:tcBorders>
          </w:tcPr>
          <w:p w14:paraId="49305E43" w14:textId="77777777" w:rsidR="00F45F63" w:rsidRPr="00186963" w:rsidRDefault="00F45F63" w:rsidP="00F45F63">
            <w:pPr>
              <w:spacing w:line="276" w:lineRule="auto"/>
              <w:rPr>
                <w:rFonts w:ascii="Arial" w:hAnsi="Arial" w:cs="Arial"/>
                <w:b/>
                <w:bCs/>
                <w:color w:val="0070C0"/>
              </w:rPr>
            </w:pPr>
            <w:r w:rsidRPr="00186963">
              <w:rPr>
                <w:rFonts w:ascii="Arial" w:hAnsi="Arial" w:cs="Arial"/>
                <w:b/>
                <w:bCs/>
                <w:color w:val="0070C0"/>
              </w:rPr>
              <w:t>Hepcidin (ng/ml)</w:t>
            </w:r>
          </w:p>
        </w:tc>
        <w:tc>
          <w:tcPr>
            <w:tcW w:w="1555" w:type="dxa"/>
            <w:tcBorders>
              <w:top w:val="single" w:sz="4" w:space="0" w:color="auto"/>
            </w:tcBorders>
          </w:tcPr>
          <w:p w14:paraId="5F9D0DEC"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9.12 (3.15 – 22.7)</w:t>
            </w:r>
          </w:p>
        </w:tc>
        <w:tc>
          <w:tcPr>
            <w:tcW w:w="1449" w:type="dxa"/>
            <w:tcBorders>
              <w:top w:val="single" w:sz="4" w:space="0" w:color="auto"/>
            </w:tcBorders>
          </w:tcPr>
          <w:p w14:paraId="272C11EB"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5.64 (3.03 – 32.39)</w:t>
            </w:r>
          </w:p>
        </w:tc>
        <w:tc>
          <w:tcPr>
            <w:tcW w:w="717" w:type="dxa"/>
            <w:tcBorders>
              <w:top w:val="single" w:sz="4" w:space="0" w:color="auto"/>
            </w:tcBorders>
          </w:tcPr>
          <w:p w14:paraId="60B82F86"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0.799</w:t>
            </w:r>
          </w:p>
        </w:tc>
        <w:tc>
          <w:tcPr>
            <w:tcW w:w="1545" w:type="dxa"/>
            <w:tcBorders>
              <w:top w:val="single" w:sz="4" w:space="0" w:color="auto"/>
            </w:tcBorders>
          </w:tcPr>
          <w:p w14:paraId="150408A4"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13.45 (5.25 – 27.6)</w:t>
            </w:r>
          </w:p>
        </w:tc>
        <w:tc>
          <w:tcPr>
            <w:tcW w:w="1537" w:type="dxa"/>
            <w:tcBorders>
              <w:top w:val="single" w:sz="4" w:space="0" w:color="auto"/>
            </w:tcBorders>
          </w:tcPr>
          <w:p w14:paraId="56CC30B4"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5.23 (2.28 – 14.3)</w:t>
            </w:r>
          </w:p>
        </w:tc>
        <w:tc>
          <w:tcPr>
            <w:tcW w:w="945" w:type="dxa"/>
            <w:tcBorders>
              <w:top w:val="single" w:sz="4" w:space="0" w:color="auto"/>
            </w:tcBorders>
          </w:tcPr>
          <w:p w14:paraId="72753AE9"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&lt;0.0001</w:t>
            </w:r>
          </w:p>
        </w:tc>
      </w:tr>
      <w:tr w:rsidR="00186963" w:rsidRPr="00186963" w14:paraId="69770C01" w14:textId="77777777" w:rsidTr="00B57507">
        <w:tc>
          <w:tcPr>
            <w:tcW w:w="1272" w:type="dxa"/>
          </w:tcPr>
          <w:p w14:paraId="4605FB69" w14:textId="77777777" w:rsidR="00F45F63" w:rsidRPr="00186963" w:rsidRDefault="00F45F63" w:rsidP="00F45F63">
            <w:pPr>
              <w:spacing w:line="276" w:lineRule="auto"/>
              <w:rPr>
                <w:rFonts w:ascii="Arial" w:hAnsi="Arial" w:cs="Arial"/>
                <w:b/>
                <w:bCs/>
                <w:color w:val="0070C0"/>
              </w:rPr>
            </w:pPr>
            <w:r w:rsidRPr="00186963">
              <w:rPr>
                <w:rFonts w:ascii="Arial" w:hAnsi="Arial" w:cs="Arial"/>
                <w:b/>
                <w:bCs/>
                <w:color w:val="0070C0"/>
              </w:rPr>
              <w:t>Iron (µmol/l)</w:t>
            </w:r>
          </w:p>
        </w:tc>
        <w:tc>
          <w:tcPr>
            <w:tcW w:w="1555" w:type="dxa"/>
          </w:tcPr>
          <w:p w14:paraId="6E8ABD1D"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14.1 (9.75 – 18.3)</w:t>
            </w:r>
          </w:p>
        </w:tc>
        <w:tc>
          <w:tcPr>
            <w:tcW w:w="1449" w:type="dxa"/>
          </w:tcPr>
          <w:p w14:paraId="5B85F6CC"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11.1 (8.4 – 15.5)</w:t>
            </w:r>
          </w:p>
        </w:tc>
        <w:tc>
          <w:tcPr>
            <w:tcW w:w="717" w:type="dxa"/>
          </w:tcPr>
          <w:p w14:paraId="3D59D44A"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0.148</w:t>
            </w:r>
          </w:p>
        </w:tc>
        <w:tc>
          <w:tcPr>
            <w:tcW w:w="1545" w:type="dxa"/>
          </w:tcPr>
          <w:p w14:paraId="3A31EF1A"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16.8 (11.9 – 23.1)</w:t>
            </w:r>
          </w:p>
        </w:tc>
        <w:tc>
          <w:tcPr>
            <w:tcW w:w="1537" w:type="dxa"/>
          </w:tcPr>
          <w:p w14:paraId="28AE9894"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12.6 (7.5 – 18.0)</w:t>
            </w:r>
          </w:p>
        </w:tc>
        <w:tc>
          <w:tcPr>
            <w:tcW w:w="945" w:type="dxa"/>
          </w:tcPr>
          <w:p w14:paraId="4D204154"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&lt;0.0001</w:t>
            </w:r>
          </w:p>
        </w:tc>
      </w:tr>
      <w:tr w:rsidR="00186963" w:rsidRPr="00186963" w14:paraId="2B961A80" w14:textId="77777777" w:rsidTr="00B57507">
        <w:tc>
          <w:tcPr>
            <w:tcW w:w="1272" w:type="dxa"/>
          </w:tcPr>
          <w:p w14:paraId="17147010" w14:textId="77777777" w:rsidR="00F45F63" w:rsidRPr="00186963" w:rsidRDefault="00F45F63" w:rsidP="00F45F63">
            <w:pPr>
              <w:spacing w:line="276" w:lineRule="auto"/>
              <w:rPr>
                <w:rFonts w:ascii="Arial" w:hAnsi="Arial" w:cs="Arial"/>
                <w:b/>
                <w:bCs/>
                <w:color w:val="0070C0"/>
              </w:rPr>
            </w:pPr>
            <w:r w:rsidRPr="00186963">
              <w:rPr>
                <w:rFonts w:ascii="Arial" w:hAnsi="Arial" w:cs="Arial"/>
                <w:b/>
                <w:bCs/>
                <w:color w:val="0070C0"/>
              </w:rPr>
              <w:t>Transferrin (mg/dl)</w:t>
            </w:r>
          </w:p>
        </w:tc>
        <w:tc>
          <w:tcPr>
            <w:tcW w:w="1555" w:type="dxa"/>
          </w:tcPr>
          <w:p w14:paraId="061BC64C"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93 (70 – 125)</w:t>
            </w:r>
          </w:p>
        </w:tc>
        <w:tc>
          <w:tcPr>
            <w:tcW w:w="1449" w:type="dxa"/>
          </w:tcPr>
          <w:p w14:paraId="7292F2BA"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105 (72 – 153)</w:t>
            </w:r>
          </w:p>
        </w:tc>
        <w:tc>
          <w:tcPr>
            <w:tcW w:w="717" w:type="dxa"/>
          </w:tcPr>
          <w:p w14:paraId="0A76AE5A"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0.157</w:t>
            </w:r>
          </w:p>
        </w:tc>
        <w:tc>
          <w:tcPr>
            <w:tcW w:w="1545" w:type="dxa"/>
          </w:tcPr>
          <w:p w14:paraId="060B7203"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123 (90 – 167)</w:t>
            </w:r>
          </w:p>
        </w:tc>
        <w:tc>
          <w:tcPr>
            <w:tcW w:w="1537" w:type="dxa"/>
          </w:tcPr>
          <w:p w14:paraId="0021A33A"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138 (102 – 180)</w:t>
            </w:r>
          </w:p>
        </w:tc>
        <w:tc>
          <w:tcPr>
            <w:tcW w:w="945" w:type="dxa"/>
          </w:tcPr>
          <w:p w14:paraId="257F9C26"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0.138</w:t>
            </w:r>
          </w:p>
        </w:tc>
      </w:tr>
      <w:tr w:rsidR="00186963" w:rsidRPr="00186963" w14:paraId="306C7D13" w14:textId="77777777" w:rsidTr="00B57507">
        <w:tc>
          <w:tcPr>
            <w:tcW w:w="1272" w:type="dxa"/>
          </w:tcPr>
          <w:p w14:paraId="3883674F" w14:textId="5CF843FC" w:rsidR="00F45F63" w:rsidRPr="00186963" w:rsidRDefault="00F45F63" w:rsidP="00F45F63">
            <w:pPr>
              <w:spacing w:line="276" w:lineRule="auto"/>
              <w:rPr>
                <w:rFonts w:ascii="Arial" w:hAnsi="Arial" w:cs="Arial"/>
                <w:b/>
                <w:bCs/>
                <w:color w:val="0070C0"/>
              </w:rPr>
            </w:pPr>
            <w:r w:rsidRPr="00186963">
              <w:rPr>
                <w:rFonts w:ascii="Arial" w:hAnsi="Arial" w:cs="Arial"/>
                <w:b/>
                <w:bCs/>
                <w:color w:val="0070C0"/>
              </w:rPr>
              <w:t>TSAT</w:t>
            </w:r>
            <w:r w:rsidRPr="00186963">
              <w:rPr>
                <w:rFonts w:ascii="Arial" w:hAnsi="Arial" w:cs="Arial"/>
                <w:b/>
                <w:bCs/>
                <w:color w:val="0070C0"/>
              </w:rPr>
              <w:br/>
              <w:t>(%)</w:t>
            </w:r>
          </w:p>
        </w:tc>
        <w:tc>
          <w:tcPr>
            <w:tcW w:w="1555" w:type="dxa"/>
          </w:tcPr>
          <w:p w14:paraId="241F0E21"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70.7 (42.2 – 86.2)</w:t>
            </w:r>
          </w:p>
        </w:tc>
        <w:tc>
          <w:tcPr>
            <w:tcW w:w="1449" w:type="dxa"/>
          </w:tcPr>
          <w:p w14:paraId="566DC5F4"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35.5 (27.0 – 75.7)</w:t>
            </w:r>
          </w:p>
        </w:tc>
        <w:tc>
          <w:tcPr>
            <w:tcW w:w="717" w:type="dxa"/>
          </w:tcPr>
          <w:p w14:paraId="4C5003CC"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0.098</w:t>
            </w:r>
          </w:p>
        </w:tc>
        <w:tc>
          <w:tcPr>
            <w:tcW w:w="1545" w:type="dxa"/>
          </w:tcPr>
          <w:p w14:paraId="34AE8100"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59.5 (36.5 – 82.9)</w:t>
            </w:r>
          </w:p>
        </w:tc>
        <w:tc>
          <w:tcPr>
            <w:tcW w:w="1537" w:type="dxa"/>
          </w:tcPr>
          <w:p w14:paraId="2597B950"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35.2 (18.1 – 64.8)</w:t>
            </w:r>
          </w:p>
        </w:tc>
        <w:tc>
          <w:tcPr>
            <w:tcW w:w="945" w:type="dxa"/>
          </w:tcPr>
          <w:p w14:paraId="48AD0382"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&lt;0.0001</w:t>
            </w:r>
          </w:p>
        </w:tc>
      </w:tr>
      <w:tr w:rsidR="00186963" w:rsidRPr="00186963" w14:paraId="18B1D73A" w14:textId="77777777" w:rsidTr="00B57507">
        <w:tc>
          <w:tcPr>
            <w:tcW w:w="1272" w:type="dxa"/>
            <w:tcBorders>
              <w:bottom w:val="single" w:sz="4" w:space="0" w:color="auto"/>
            </w:tcBorders>
          </w:tcPr>
          <w:p w14:paraId="4D071C7D" w14:textId="77777777" w:rsidR="00F45F63" w:rsidRPr="00186963" w:rsidRDefault="00F45F63" w:rsidP="00F45F63">
            <w:pPr>
              <w:spacing w:line="276" w:lineRule="auto"/>
              <w:rPr>
                <w:rFonts w:ascii="Arial" w:hAnsi="Arial" w:cs="Arial"/>
                <w:b/>
                <w:bCs/>
                <w:color w:val="0070C0"/>
              </w:rPr>
            </w:pPr>
            <w:r w:rsidRPr="00186963">
              <w:rPr>
                <w:rFonts w:ascii="Arial" w:hAnsi="Arial" w:cs="Arial"/>
                <w:b/>
                <w:bCs/>
                <w:color w:val="0070C0"/>
              </w:rPr>
              <w:t>Ferritin (ng/ml)</w:t>
            </w:r>
          </w:p>
        </w:tc>
        <w:tc>
          <w:tcPr>
            <w:tcW w:w="1555" w:type="dxa"/>
            <w:tcBorders>
              <w:bottom w:val="single" w:sz="4" w:space="0" w:color="auto"/>
            </w:tcBorders>
          </w:tcPr>
          <w:p w14:paraId="24DCD867"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643 (298 – 1414)</w:t>
            </w:r>
          </w:p>
        </w:tc>
        <w:tc>
          <w:tcPr>
            <w:tcW w:w="1449" w:type="dxa"/>
            <w:tcBorders>
              <w:bottom w:val="single" w:sz="4" w:space="0" w:color="auto"/>
            </w:tcBorders>
          </w:tcPr>
          <w:p w14:paraId="4766BDF6"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611 (187 – 1500)</w:t>
            </w:r>
          </w:p>
        </w:tc>
        <w:tc>
          <w:tcPr>
            <w:tcW w:w="717" w:type="dxa"/>
            <w:tcBorders>
              <w:bottom w:val="single" w:sz="4" w:space="0" w:color="auto"/>
            </w:tcBorders>
          </w:tcPr>
          <w:p w14:paraId="4B925857"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0.754</w:t>
            </w:r>
          </w:p>
        </w:tc>
        <w:tc>
          <w:tcPr>
            <w:tcW w:w="1545" w:type="dxa"/>
            <w:tcBorders>
              <w:bottom w:val="single" w:sz="4" w:space="0" w:color="auto"/>
            </w:tcBorders>
          </w:tcPr>
          <w:p w14:paraId="4853D081"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815 (357 – 1521)</w:t>
            </w:r>
          </w:p>
        </w:tc>
        <w:tc>
          <w:tcPr>
            <w:tcW w:w="1537" w:type="dxa"/>
            <w:tcBorders>
              <w:bottom w:val="single" w:sz="4" w:space="0" w:color="auto"/>
            </w:tcBorders>
          </w:tcPr>
          <w:p w14:paraId="5272C8F7"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313 (130 – 929)</w:t>
            </w:r>
          </w:p>
        </w:tc>
        <w:tc>
          <w:tcPr>
            <w:tcW w:w="945" w:type="dxa"/>
            <w:tcBorders>
              <w:bottom w:val="single" w:sz="4" w:space="0" w:color="auto"/>
            </w:tcBorders>
          </w:tcPr>
          <w:p w14:paraId="18949F59"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&lt;0.0001</w:t>
            </w:r>
          </w:p>
        </w:tc>
      </w:tr>
    </w:tbl>
    <w:p w14:paraId="460743D5" w14:textId="646A0795" w:rsidR="00F45F63" w:rsidRPr="00186963" w:rsidRDefault="00F45F63" w:rsidP="00F45F63">
      <w:pPr>
        <w:spacing w:line="360" w:lineRule="auto"/>
        <w:rPr>
          <w:rFonts w:ascii="Arial" w:hAnsi="Arial" w:cs="Arial"/>
          <w:color w:val="0070C0"/>
        </w:rPr>
        <w:sectPr w:rsidR="00F45F63" w:rsidRPr="00186963" w:rsidSect="00D95A4A">
          <w:footerReference w:type="default" r:id="rId9"/>
          <w:pgSz w:w="11900" w:h="16840"/>
          <w:pgMar w:top="1440" w:right="1440" w:bottom="1440" w:left="1440" w:header="720" w:footer="720" w:gutter="0"/>
          <w:lnNumType w:countBy="1"/>
          <w:cols w:space="720"/>
          <w:docGrid w:linePitch="360"/>
        </w:sectPr>
      </w:pPr>
      <w:r w:rsidRPr="00186963">
        <w:rPr>
          <w:rFonts w:ascii="Arial" w:hAnsi="Arial" w:cs="Arial"/>
          <w:color w:val="0070C0"/>
        </w:rPr>
        <w:t>Data are shown as medians and interquartile ranges</w:t>
      </w:r>
      <w:r w:rsidR="0025257E" w:rsidRPr="00186963">
        <w:rPr>
          <w:rFonts w:ascii="Arial" w:hAnsi="Arial" w:cs="Arial"/>
          <w:color w:val="0070C0"/>
        </w:rPr>
        <w:t>.</w:t>
      </w:r>
    </w:p>
    <w:p w14:paraId="49EB2467" w14:textId="0BB64606" w:rsidR="00F45F63" w:rsidRPr="00186963" w:rsidRDefault="00F45F63" w:rsidP="00F45F63">
      <w:pPr>
        <w:spacing w:line="276" w:lineRule="auto"/>
        <w:rPr>
          <w:rFonts w:ascii="Arial" w:hAnsi="Arial" w:cs="Arial"/>
          <w:b/>
          <w:bCs/>
          <w:color w:val="0070C0"/>
          <w:lang w:val="en-US"/>
        </w:rPr>
      </w:pPr>
      <w:r w:rsidRPr="00186963">
        <w:rPr>
          <w:rFonts w:ascii="Arial" w:hAnsi="Arial" w:cs="Arial"/>
          <w:b/>
          <w:bCs/>
          <w:color w:val="0070C0"/>
          <w:lang w:val="en-US"/>
        </w:rPr>
        <w:lastRenderedPageBreak/>
        <w:t xml:space="preserve">Supplementary Table </w:t>
      </w:r>
      <w:r w:rsidR="001F54B7" w:rsidRPr="00186963">
        <w:rPr>
          <w:rFonts w:ascii="Arial" w:hAnsi="Arial" w:cs="Arial"/>
          <w:b/>
          <w:bCs/>
          <w:color w:val="0070C0"/>
          <w:lang w:val="en-US"/>
        </w:rPr>
        <w:t>5</w:t>
      </w:r>
      <w:r w:rsidRPr="00186963">
        <w:rPr>
          <w:rFonts w:ascii="Arial" w:hAnsi="Arial" w:cs="Arial"/>
          <w:b/>
          <w:bCs/>
          <w:color w:val="0070C0"/>
          <w:lang w:val="en-US"/>
        </w:rPr>
        <w:t>. Serum iron parameters in exploratory and validation cohorts, dichotomized by the diagnosis of infection at presentation.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1502"/>
        <w:gridCol w:w="1417"/>
        <w:gridCol w:w="817"/>
        <w:gridCol w:w="1495"/>
        <w:gridCol w:w="1488"/>
        <w:gridCol w:w="817"/>
      </w:tblGrid>
      <w:tr w:rsidR="00186963" w:rsidRPr="00186963" w14:paraId="280751C3" w14:textId="77777777" w:rsidTr="00B57507">
        <w:tc>
          <w:tcPr>
            <w:tcW w:w="1272" w:type="dxa"/>
            <w:tcBorders>
              <w:top w:val="single" w:sz="4" w:space="0" w:color="auto"/>
            </w:tcBorders>
          </w:tcPr>
          <w:p w14:paraId="5CE06499" w14:textId="77777777" w:rsidR="00F45F63" w:rsidRPr="00186963" w:rsidRDefault="00F45F63" w:rsidP="00F45F63">
            <w:pPr>
              <w:spacing w:line="276" w:lineRule="auto"/>
              <w:rPr>
                <w:rFonts w:ascii="Arial" w:hAnsi="Arial" w:cs="Arial"/>
                <w:b/>
                <w:bCs/>
                <w:color w:val="0070C0"/>
                <w:lang w:val="en-US"/>
              </w:rPr>
            </w:pPr>
          </w:p>
        </w:tc>
        <w:tc>
          <w:tcPr>
            <w:tcW w:w="3825" w:type="dxa"/>
            <w:gridSpan w:val="3"/>
            <w:tcBorders>
              <w:top w:val="single" w:sz="4" w:space="0" w:color="auto"/>
            </w:tcBorders>
          </w:tcPr>
          <w:p w14:paraId="278031FA" w14:textId="77777777" w:rsidR="00F45F63" w:rsidRPr="00186963" w:rsidRDefault="00F45F63" w:rsidP="00F45F63">
            <w:pPr>
              <w:spacing w:line="276" w:lineRule="auto"/>
              <w:rPr>
                <w:rFonts w:ascii="Arial" w:hAnsi="Arial" w:cs="Arial"/>
                <w:b/>
                <w:bCs/>
                <w:color w:val="0070C0"/>
              </w:rPr>
            </w:pPr>
            <w:r w:rsidRPr="00186963">
              <w:rPr>
                <w:rFonts w:ascii="Arial" w:hAnsi="Arial" w:cs="Arial"/>
                <w:b/>
                <w:bCs/>
                <w:color w:val="0070C0"/>
              </w:rPr>
              <w:t>Exploratory</w:t>
            </w:r>
          </w:p>
        </w:tc>
        <w:tc>
          <w:tcPr>
            <w:tcW w:w="3913" w:type="dxa"/>
            <w:gridSpan w:val="3"/>
            <w:tcBorders>
              <w:top w:val="single" w:sz="4" w:space="0" w:color="auto"/>
            </w:tcBorders>
          </w:tcPr>
          <w:p w14:paraId="7C0A08FA" w14:textId="77777777" w:rsidR="00F45F63" w:rsidRPr="00186963" w:rsidRDefault="00F45F63" w:rsidP="00F45F63">
            <w:pPr>
              <w:spacing w:line="276" w:lineRule="auto"/>
              <w:rPr>
                <w:rFonts w:ascii="Arial" w:hAnsi="Arial" w:cs="Arial"/>
                <w:b/>
                <w:bCs/>
                <w:color w:val="0070C0"/>
              </w:rPr>
            </w:pPr>
            <w:r w:rsidRPr="00186963">
              <w:rPr>
                <w:rFonts w:ascii="Arial" w:hAnsi="Arial" w:cs="Arial"/>
                <w:b/>
                <w:bCs/>
                <w:color w:val="0070C0"/>
              </w:rPr>
              <w:t>Validation</w:t>
            </w:r>
          </w:p>
        </w:tc>
      </w:tr>
      <w:tr w:rsidR="00186963" w:rsidRPr="00186963" w14:paraId="5A78C611" w14:textId="77777777" w:rsidTr="00B57507">
        <w:tc>
          <w:tcPr>
            <w:tcW w:w="1272" w:type="dxa"/>
            <w:tcBorders>
              <w:bottom w:val="single" w:sz="4" w:space="0" w:color="auto"/>
            </w:tcBorders>
          </w:tcPr>
          <w:p w14:paraId="3BD871E5" w14:textId="77777777" w:rsidR="00F45F63" w:rsidRPr="00186963" w:rsidRDefault="00F45F63" w:rsidP="00F45F63">
            <w:pPr>
              <w:spacing w:line="276" w:lineRule="auto"/>
              <w:rPr>
                <w:rFonts w:ascii="Arial" w:hAnsi="Arial" w:cs="Arial"/>
                <w:b/>
                <w:bCs/>
                <w:color w:val="0070C0"/>
              </w:rPr>
            </w:pPr>
          </w:p>
        </w:tc>
        <w:tc>
          <w:tcPr>
            <w:tcW w:w="1613" w:type="dxa"/>
            <w:tcBorders>
              <w:bottom w:val="single" w:sz="4" w:space="0" w:color="auto"/>
            </w:tcBorders>
          </w:tcPr>
          <w:p w14:paraId="79961FAD" w14:textId="77777777" w:rsidR="00F45F63" w:rsidRPr="00186963" w:rsidRDefault="00F45F63" w:rsidP="00F45F63">
            <w:pPr>
              <w:spacing w:line="276" w:lineRule="auto"/>
              <w:rPr>
                <w:rFonts w:ascii="Arial" w:hAnsi="Arial" w:cs="Arial"/>
                <w:b/>
                <w:bCs/>
                <w:color w:val="0070C0"/>
              </w:rPr>
            </w:pPr>
            <w:r w:rsidRPr="00186963">
              <w:rPr>
                <w:rFonts w:ascii="Arial" w:hAnsi="Arial" w:cs="Arial"/>
                <w:b/>
                <w:bCs/>
                <w:color w:val="0070C0"/>
              </w:rPr>
              <w:t>No baseline infection (n=179)</w:t>
            </w:r>
          </w:p>
        </w:tc>
        <w:tc>
          <w:tcPr>
            <w:tcW w:w="1495" w:type="dxa"/>
            <w:tcBorders>
              <w:bottom w:val="single" w:sz="4" w:space="0" w:color="auto"/>
            </w:tcBorders>
          </w:tcPr>
          <w:p w14:paraId="0F4A269D" w14:textId="77777777" w:rsidR="00F45F63" w:rsidRPr="00186963" w:rsidRDefault="00F45F63" w:rsidP="00F45F63">
            <w:pPr>
              <w:spacing w:line="276" w:lineRule="auto"/>
              <w:rPr>
                <w:rFonts w:ascii="Arial" w:hAnsi="Arial" w:cs="Arial"/>
                <w:b/>
                <w:bCs/>
                <w:color w:val="0070C0"/>
              </w:rPr>
            </w:pPr>
            <w:r w:rsidRPr="00186963">
              <w:rPr>
                <w:rFonts w:ascii="Arial" w:hAnsi="Arial" w:cs="Arial"/>
                <w:b/>
                <w:bCs/>
                <w:color w:val="0070C0"/>
              </w:rPr>
              <w:t>Baseline infection (n=21)</w:t>
            </w:r>
          </w:p>
        </w:tc>
        <w:tc>
          <w:tcPr>
            <w:tcW w:w="717" w:type="dxa"/>
            <w:tcBorders>
              <w:bottom w:val="single" w:sz="4" w:space="0" w:color="auto"/>
            </w:tcBorders>
          </w:tcPr>
          <w:p w14:paraId="2AB804C4" w14:textId="77777777" w:rsidR="00F45F63" w:rsidRPr="00186963" w:rsidRDefault="00F45F63" w:rsidP="00F45F63">
            <w:pPr>
              <w:spacing w:line="276" w:lineRule="auto"/>
              <w:rPr>
                <w:rFonts w:ascii="Arial" w:hAnsi="Arial" w:cs="Arial"/>
                <w:b/>
                <w:bCs/>
                <w:color w:val="0070C0"/>
              </w:rPr>
            </w:pPr>
            <w:r w:rsidRPr="00186963">
              <w:rPr>
                <w:rFonts w:ascii="Arial" w:hAnsi="Arial" w:cs="Arial"/>
                <w:b/>
                <w:bCs/>
                <w:color w:val="0070C0"/>
              </w:rPr>
              <w:t xml:space="preserve">p </w:t>
            </w:r>
          </w:p>
        </w:tc>
        <w:tc>
          <w:tcPr>
            <w:tcW w:w="1603" w:type="dxa"/>
            <w:tcBorders>
              <w:bottom w:val="single" w:sz="4" w:space="0" w:color="auto"/>
            </w:tcBorders>
          </w:tcPr>
          <w:p w14:paraId="709BA1BA" w14:textId="77777777" w:rsidR="00F45F63" w:rsidRPr="00186963" w:rsidRDefault="00F45F63" w:rsidP="00F45F63">
            <w:pPr>
              <w:spacing w:line="276" w:lineRule="auto"/>
              <w:rPr>
                <w:rFonts w:ascii="Arial" w:hAnsi="Arial" w:cs="Arial"/>
                <w:b/>
                <w:bCs/>
                <w:color w:val="0070C0"/>
              </w:rPr>
            </w:pPr>
            <w:r w:rsidRPr="00186963">
              <w:rPr>
                <w:rFonts w:ascii="Arial" w:hAnsi="Arial" w:cs="Arial"/>
                <w:b/>
                <w:bCs/>
                <w:color w:val="0070C0"/>
              </w:rPr>
              <w:t>No baseline infection (n=542)</w:t>
            </w:r>
          </w:p>
        </w:tc>
        <w:tc>
          <w:tcPr>
            <w:tcW w:w="1593" w:type="dxa"/>
            <w:tcBorders>
              <w:bottom w:val="single" w:sz="4" w:space="0" w:color="auto"/>
            </w:tcBorders>
          </w:tcPr>
          <w:p w14:paraId="1D984433" w14:textId="77777777" w:rsidR="00F45F63" w:rsidRPr="00186963" w:rsidRDefault="00F45F63" w:rsidP="00F45F63">
            <w:pPr>
              <w:spacing w:line="276" w:lineRule="auto"/>
              <w:rPr>
                <w:rFonts w:ascii="Arial" w:hAnsi="Arial" w:cs="Arial"/>
                <w:b/>
                <w:bCs/>
                <w:color w:val="0070C0"/>
              </w:rPr>
            </w:pPr>
            <w:r w:rsidRPr="00186963">
              <w:rPr>
                <w:rFonts w:ascii="Arial" w:hAnsi="Arial" w:cs="Arial"/>
                <w:b/>
                <w:bCs/>
                <w:color w:val="0070C0"/>
              </w:rPr>
              <w:t>Baseline infection (n=86)</w:t>
            </w:r>
          </w:p>
        </w:tc>
        <w:tc>
          <w:tcPr>
            <w:tcW w:w="717" w:type="dxa"/>
            <w:tcBorders>
              <w:bottom w:val="single" w:sz="4" w:space="0" w:color="auto"/>
            </w:tcBorders>
          </w:tcPr>
          <w:p w14:paraId="757D1418" w14:textId="77777777" w:rsidR="00F45F63" w:rsidRPr="00186963" w:rsidRDefault="00F45F63" w:rsidP="00F45F63">
            <w:pPr>
              <w:spacing w:line="276" w:lineRule="auto"/>
              <w:rPr>
                <w:rFonts w:ascii="Arial" w:hAnsi="Arial" w:cs="Arial"/>
                <w:b/>
                <w:bCs/>
                <w:color w:val="0070C0"/>
              </w:rPr>
            </w:pPr>
            <w:r w:rsidRPr="00186963">
              <w:rPr>
                <w:rFonts w:ascii="Arial" w:hAnsi="Arial" w:cs="Arial"/>
                <w:b/>
                <w:bCs/>
                <w:color w:val="0070C0"/>
              </w:rPr>
              <w:t>p</w:t>
            </w:r>
          </w:p>
        </w:tc>
      </w:tr>
      <w:tr w:rsidR="00186963" w:rsidRPr="00186963" w14:paraId="2E38D066" w14:textId="77777777" w:rsidTr="00B57507">
        <w:tc>
          <w:tcPr>
            <w:tcW w:w="1272" w:type="dxa"/>
            <w:tcBorders>
              <w:top w:val="single" w:sz="4" w:space="0" w:color="auto"/>
            </w:tcBorders>
          </w:tcPr>
          <w:p w14:paraId="66536300" w14:textId="77777777" w:rsidR="00F45F63" w:rsidRPr="00186963" w:rsidRDefault="00F45F63" w:rsidP="00F45F63">
            <w:pPr>
              <w:spacing w:line="276" w:lineRule="auto"/>
              <w:rPr>
                <w:rFonts w:ascii="Arial" w:hAnsi="Arial" w:cs="Arial"/>
                <w:b/>
                <w:bCs/>
                <w:color w:val="0070C0"/>
              </w:rPr>
            </w:pPr>
            <w:r w:rsidRPr="00186963">
              <w:rPr>
                <w:rFonts w:ascii="Arial" w:hAnsi="Arial" w:cs="Arial"/>
                <w:b/>
                <w:bCs/>
                <w:color w:val="0070C0"/>
              </w:rPr>
              <w:t>Hepcidin (ng/ml)</w:t>
            </w:r>
          </w:p>
        </w:tc>
        <w:tc>
          <w:tcPr>
            <w:tcW w:w="1613" w:type="dxa"/>
            <w:tcBorders>
              <w:top w:val="single" w:sz="4" w:space="0" w:color="auto"/>
            </w:tcBorders>
          </w:tcPr>
          <w:p w14:paraId="2809D543"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8.62 (2.94 – 22.46)</w:t>
            </w:r>
          </w:p>
        </w:tc>
        <w:tc>
          <w:tcPr>
            <w:tcW w:w="1495" w:type="dxa"/>
            <w:tcBorders>
              <w:top w:val="single" w:sz="4" w:space="0" w:color="auto"/>
            </w:tcBorders>
          </w:tcPr>
          <w:p w14:paraId="1C473226"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9.76 (6.21 – 32.8)</w:t>
            </w:r>
          </w:p>
        </w:tc>
        <w:tc>
          <w:tcPr>
            <w:tcW w:w="717" w:type="dxa"/>
            <w:tcBorders>
              <w:top w:val="single" w:sz="4" w:space="0" w:color="auto"/>
            </w:tcBorders>
          </w:tcPr>
          <w:p w14:paraId="725BA83B"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0.334</w:t>
            </w:r>
          </w:p>
        </w:tc>
        <w:tc>
          <w:tcPr>
            <w:tcW w:w="1603" w:type="dxa"/>
            <w:tcBorders>
              <w:top w:val="single" w:sz="4" w:space="0" w:color="auto"/>
            </w:tcBorders>
          </w:tcPr>
          <w:p w14:paraId="4151C3C3"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12.43 (4.78 – 25.92)</w:t>
            </w:r>
          </w:p>
        </w:tc>
        <w:tc>
          <w:tcPr>
            <w:tcW w:w="1593" w:type="dxa"/>
            <w:tcBorders>
              <w:top w:val="single" w:sz="4" w:space="0" w:color="auto"/>
            </w:tcBorders>
          </w:tcPr>
          <w:p w14:paraId="78CFF211"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14.24 (4.18 – 26.05)</w:t>
            </w:r>
          </w:p>
        </w:tc>
        <w:tc>
          <w:tcPr>
            <w:tcW w:w="717" w:type="dxa"/>
            <w:tcBorders>
              <w:top w:val="single" w:sz="4" w:space="0" w:color="auto"/>
            </w:tcBorders>
          </w:tcPr>
          <w:p w14:paraId="5C867B66"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0.998</w:t>
            </w:r>
          </w:p>
        </w:tc>
      </w:tr>
      <w:tr w:rsidR="00186963" w:rsidRPr="00186963" w14:paraId="3D3B097D" w14:textId="77777777" w:rsidTr="00B57507">
        <w:tc>
          <w:tcPr>
            <w:tcW w:w="1272" w:type="dxa"/>
          </w:tcPr>
          <w:p w14:paraId="549F9273" w14:textId="77777777" w:rsidR="00F45F63" w:rsidRPr="00186963" w:rsidRDefault="00F45F63" w:rsidP="00F45F63">
            <w:pPr>
              <w:spacing w:line="276" w:lineRule="auto"/>
              <w:rPr>
                <w:rFonts w:ascii="Arial" w:hAnsi="Arial" w:cs="Arial"/>
                <w:b/>
                <w:bCs/>
                <w:color w:val="0070C0"/>
              </w:rPr>
            </w:pPr>
            <w:r w:rsidRPr="00186963">
              <w:rPr>
                <w:rFonts w:ascii="Arial" w:hAnsi="Arial" w:cs="Arial"/>
                <w:b/>
                <w:bCs/>
                <w:color w:val="0070C0"/>
              </w:rPr>
              <w:t>Iron (µmol/l)</w:t>
            </w:r>
          </w:p>
        </w:tc>
        <w:tc>
          <w:tcPr>
            <w:tcW w:w="1613" w:type="dxa"/>
          </w:tcPr>
          <w:p w14:paraId="08C224DD"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14.4 (9.3 – 18.45)</w:t>
            </w:r>
          </w:p>
        </w:tc>
        <w:tc>
          <w:tcPr>
            <w:tcW w:w="1495" w:type="dxa"/>
          </w:tcPr>
          <w:p w14:paraId="1B0CF905"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12.0 (9.75 – 14.1)</w:t>
            </w:r>
          </w:p>
        </w:tc>
        <w:tc>
          <w:tcPr>
            <w:tcW w:w="717" w:type="dxa"/>
          </w:tcPr>
          <w:p w14:paraId="5BB9FA46"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0.173</w:t>
            </w:r>
          </w:p>
        </w:tc>
        <w:tc>
          <w:tcPr>
            <w:tcW w:w="1603" w:type="dxa"/>
          </w:tcPr>
          <w:p w14:paraId="08C337E2"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16.8 (11.7 – 23.1)</w:t>
            </w:r>
          </w:p>
        </w:tc>
        <w:tc>
          <w:tcPr>
            <w:tcW w:w="1593" w:type="dxa"/>
          </w:tcPr>
          <w:p w14:paraId="44439485"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14.6 (9.83 – 19.7)</w:t>
            </w:r>
          </w:p>
        </w:tc>
        <w:tc>
          <w:tcPr>
            <w:tcW w:w="717" w:type="dxa"/>
          </w:tcPr>
          <w:p w14:paraId="6FA58DBA"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0.14</w:t>
            </w:r>
          </w:p>
        </w:tc>
      </w:tr>
      <w:tr w:rsidR="00186963" w:rsidRPr="00186963" w14:paraId="44FAF71D" w14:textId="77777777" w:rsidTr="00B57507">
        <w:tc>
          <w:tcPr>
            <w:tcW w:w="1272" w:type="dxa"/>
          </w:tcPr>
          <w:p w14:paraId="1CE7D010" w14:textId="77777777" w:rsidR="00F45F63" w:rsidRPr="00186963" w:rsidRDefault="00F45F63" w:rsidP="00F45F63">
            <w:pPr>
              <w:spacing w:line="276" w:lineRule="auto"/>
              <w:rPr>
                <w:rFonts w:ascii="Arial" w:hAnsi="Arial" w:cs="Arial"/>
                <w:b/>
                <w:bCs/>
                <w:color w:val="0070C0"/>
              </w:rPr>
            </w:pPr>
            <w:r w:rsidRPr="00186963">
              <w:rPr>
                <w:rFonts w:ascii="Arial" w:hAnsi="Arial" w:cs="Arial"/>
                <w:b/>
                <w:bCs/>
                <w:color w:val="0070C0"/>
              </w:rPr>
              <w:t>Transferrin (mg/dl)</w:t>
            </w:r>
          </w:p>
        </w:tc>
        <w:tc>
          <w:tcPr>
            <w:tcW w:w="1613" w:type="dxa"/>
          </w:tcPr>
          <w:p w14:paraId="0425AC84"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96 (72 – 131)</w:t>
            </w:r>
          </w:p>
        </w:tc>
        <w:tc>
          <w:tcPr>
            <w:tcW w:w="1495" w:type="dxa"/>
          </w:tcPr>
          <w:p w14:paraId="3457E7FF"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78 (61 – 99)</w:t>
            </w:r>
          </w:p>
        </w:tc>
        <w:tc>
          <w:tcPr>
            <w:tcW w:w="717" w:type="dxa"/>
          </w:tcPr>
          <w:p w14:paraId="2B6BE347"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0.016</w:t>
            </w:r>
          </w:p>
        </w:tc>
        <w:tc>
          <w:tcPr>
            <w:tcW w:w="1603" w:type="dxa"/>
          </w:tcPr>
          <w:p w14:paraId="64FAD2C3"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123 (93 – 169)</w:t>
            </w:r>
          </w:p>
        </w:tc>
        <w:tc>
          <w:tcPr>
            <w:tcW w:w="1593" w:type="dxa"/>
          </w:tcPr>
          <w:p w14:paraId="057476FC"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114 (84 – 168)</w:t>
            </w:r>
          </w:p>
        </w:tc>
        <w:tc>
          <w:tcPr>
            <w:tcW w:w="717" w:type="dxa"/>
          </w:tcPr>
          <w:p w14:paraId="6005437D"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0.165</w:t>
            </w:r>
          </w:p>
        </w:tc>
      </w:tr>
      <w:tr w:rsidR="00186963" w:rsidRPr="00186963" w14:paraId="46DA072C" w14:textId="77777777" w:rsidTr="00B57507">
        <w:tc>
          <w:tcPr>
            <w:tcW w:w="1272" w:type="dxa"/>
          </w:tcPr>
          <w:p w14:paraId="6AE6F22B" w14:textId="5A7634B2" w:rsidR="00F45F63" w:rsidRPr="00186963" w:rsidRDefault="00F45F63" w:rsidP="00F45F63">
            <w:pPr>
              <w:spacing w:line="276" w:lineRule="auto"/>
              <w:rPr>
                <w:rFonts w:ascii="Arial" w:hAnsi="Arial" w:cs="Arial"/>
                <w:b/>
                <w:bCs/>
                <w:color w:val="0070C0"/>
              </w:rPr>
            </w:pPr>
            <w:r w:rsidRPr="00186963">
              <w:rPr>
                <w:rFonts w:ascii="Arial" w:hAnsi="Arial" w:cs="Arial"/>
                <w:b/>
                <w:bCs/>
                <w:color w:val="0070C0"/>
              </w:rPr>
              <w:t>TSAT</w:t>
            </w:r>
            <w:r w:rsidRPr="00186963">
              <w:rPr>
                <w:rFonts w:ascii="Arial" w:hAnsi="Arial" w:cs="Arial"/>
                <w:b/>
                <w:bCs/>
                <w:color w:val="0070C0"/>
              </w:rPr>
              <w:br/>
              <w:t>(%)</w:t>
            </w:r>
          </w:p>
        </w:tc>
        <w:tc>
          <w:tcPr>
            <w:tcW w:w="1613" w:type="dxa"/>
          </w:tcPr>
          <w:p w14:paraId="38E54545"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69.8 (38.7 – 85.6)</w:t>
            </w:r>
          </w:p>
        </w:tc>
        <w:tc>
          <w:tcPr>
            <w:tcW w:w="1495" w:type="dxa"/>
          </w:tcPr>
          <w:p w14:paraId="4E9F4667"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64.6 (47.6 – 87.5)</w:t>
            </w:r>
          </w:p>
        </w:tc>
        <w:tc>
          <w:tcPr>
            <w:tcW w:w="717" w:type="dxa"/>
          </w:tcPr>
          <w:p w14:paraId="4F5CAB31"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0.667</w:t>
            </w:r>
          </w:p>
        </w:tc>
        <w:tc>
          <w:tcPr>
            <w:tcW w:w="1603" w:type="dxa"/>
          </w:tcPr>
          <w:p w14:paraId="31206579"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59.1 (34.9 – 82.7)</w:t>
            </w:r>
          </w:p>
        </w:tc>
        <w:tc>
          <w:tcPr>
            <w:tcW w:w="1593" w:type="dxa"/>
          </w:tcPr>
          <w:p w14:paraId="42E1914C"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50.9 (31.1 – 79.3)</w:t>
            </w:r>
          </w:p>
        </w:tc>
        <w:tc>
          <w:tcPr>
            <w:tcW w:w="717" w:type="dxa"/>
          </w:tcPr>
          <w:p w14:paraId="628FEF3E"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0.200</w:t>
            </w:r>
          </w:p>
        </w:tc>
      </w:tr>
      <w:tr w:rsidR="00186963" w:rsidRPr="00186963" w14:paraId="319E1F6C" w14:textId="77777777" w:rsidTr="00B57507">
        <w:tc>
          <w:tcPr>
            <w:tcW w:w="1272" w:type="dxa"/>
            <w:tcBorders>
              <w:bottom w:val="single" w:sz="4" w:space="0" w:color="auto"/>
            </w:tcBorders>
          </w:tcPr>
          <w:p w14:paraId="3552012C" w14:textId="77777777" w:rsidR="00F45F63" w:rsidRPr="00186963" w:rsidRDefault="00F45F63" w:rsidP="00F45F63">
            <w:pPr>
              <w:spacing w:line="276" w:lineRule="auto"/>
              <w:rPr>
                <w:rFonts w:ascii="Arial" w:hAnsi="Arial" w:cs="Arial"/>
                <w:b/>
                <w:bCs/>
                <w:color w:val="0070C0"/>
              </w:rPr>
            </w:pPr>
            <w:r w:rsidRPr="00186963">
              <w:rPr>
                <w:rFonts w:ascii="Arial" w:hAnsi="Arial" w:cs="Arial"/>
                <w:b/>
                <w:bCs/>
                <w:color w:val="0070C0"/>
              </w:rPr>
              <w:t>Ferritin (ng/ml)</w:t>
            </w:r>
          </w:p>
        </w:tc>
        <w:tc>
          <w:tcPr>
            <w:tcW w:w="1613" w:type="dxa"/>
            <w:tcBorders>
              <w:bottom w:val="single" w:sz="4" w:space="0" w:color="auto"/>
            </w:tcBorders>
          </w:tcPr>
          <w:p w14:paraId="2603B4D3"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647 (294 – 1391)</w:t>
            </w:r>
          </w:p>
        </w:tc>
        <w:tc>
          <w:tcPr>
            <w:tcW w:w="1495" w:type="dxa"/>
            <w:tcBorders>
              <w:bottom w:val="single" w:sz="4" w:space="0" w:color="auto"/>
            </w:tcBorders>
          </w:tcPr>
          <w:p w14:paraId="773CD332"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526 (233 – 1448)</w:t>
            </w:r>
          </w:p>
        </w:tc>
        <w:tc>
          <w:tcPr>
            <w:tcW w:w="717" w:type="dxa"/>
            <w:tcBorders>
              <w:bottom w:val="single" w:sz="4" w:space="0" w:color="auto"/>
            </w:tcBorders>
          </w:tcPr>
          <w:p w14:paraId="737F2F7B"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0.973</w:t>
            </w:r>
          </w:p>
        </w:tc>
        <w:tc>
          <w:tcPr>
            <w:tcW w:w="1603" w:type="dxa"/>
            <w:tcBorders>
              <w:bottom w:val="single" w:sz="4" w:space="0" w:color="auto"/>
            </w:tcBorders>
          </w:tcPr>
          <w:p w14:paraId="714D6782"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793 (342 – 1529)</w:t>
            </w:r>
          </w:p>
        </w:tc>
        <w:tc>
          <w:tcPr>
            <w:tcW w:w="1593" w:type="dxa"/>
            <w:tcBorders>
              <w:bottom w:val="single" w:sz="4" w:space="0" w:color="auto"/>
            </w:tcBorders>
          </w:tcPr>
          <w:p w14:paraId="4188E0BC"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556 (199 – 1278)</w:t>
            </w:r>
          </w:p>
        </w:tc>
        <w:tc>
          <w:tcPr>
            <w:tcW w:w="717" w:type="dxa"/>
            <w:tcBorders>
              <w:bottom w:val="single" w:sz="4" w:space="0" w:color="auto"/>
            </w:tcBorders>
          </w:tcPr>
          <w:p w14:paraId="3B226589" w14:textId="77777777" w:rsidR="00F45F63" w:rsidRPr="00186963" w:rsidRDefault="00F45F63" w:rsidP="00F45F63">
            <w:pPr>
              <w:spacing w:line="276" w:lineRule="auto"/>
              <w:rPr>
                <w:rFonts w:ascii="Arial" w:hAnsi="Arial" w:cs="Arial"/>
                <w:color w:val="0070C0"/>
              </w:rPr>
            </w:pPr>
            <w:r w:rsidRPr="00186963">
              <w:rPr>
                <w:rFonts w:ascii="Arial" w:hAnsi="Arial" w:cs="Arial"/>
                <w:color w:val="0070C0"/>
              </w:rPr>
              <w:t>0.036</w:t>
            </w:r>
          </w:p>
        </w:tc>
      </w:tr>
    </w:tbl>
    <w:p w14:paraId="39E52C7F" w14:textId="2FA7D046" w:rsidR="00F45F63" w:rsidRPr="00186963" w:rsidRDefault="00F45F63" w:rsidP="00F45F63">
      <w:pPr>
        <w:spacing w:line="276" w:lineRule="auto"/>
        <w:rPr>
          <w:rFonts w:ascii="Arial" w:hAnsi="Arial" w:cs="Arial"/>
          <w:color w:val="0070C0"/>
        </w:rPr>
      </w:pPr>
      <w:r w:rsidRPr="00186963">
        <w:rPr>
          <w:rFonts w:ascii="Arial" w:hAnsi="Arial" w:cs="Arial"/>
          <w:color w:val="0070C0"/>
        </w:rPr>
        <w:t>Data are shown as medians and interquartile ranges.</w:t>
      </w:r>
    </w:p>
    <w:p w14:paraId="53EDE9D1" w14:textId="77777777" w:rsidR="00F45F63" w:rsidRPr="00EA0A28" w:rsidRDefault="00F45F63" w:rsidP="00F45F63">
      <w:pPr>
        <w:spacing w:line="276" w:lineRule="auto"/>
        <w:rPr>
          <w:rFonts w:ascii="Arial" w:hAnsi="Arial" w:cs="Arial"/>
          <w:color w:val="0070C0"/>
        </w:rPr>
      </w:pPr>
    </w:p>
    <w:p w14:paraId="3BCF1D42" w14:textId="196B8D82" w:rsidR="00582F4B" w:rsidRDefault="00582F4B" w:rsidP="00D95A4A">
      <w:pPr>
        <w:spacing w:line="360" w:lineRule="auto"/>
        <w:jc w:val="left"/>
        <w:rPr>
          <w:rFonts w:ascii="Arial" w:hAnsi="Arial" w:cs="Arial"/>
          <w:b/>
        </w:rPr>
      </w:pPr>
    </w:p>
    <w:p w14:paraId="21A3639A" w14:textId="0E1C0DAD" w:rsidR="00D95A4A" w:rsidRPr="00C929B2" w:rsidRDefault="00D95A4A" w:rsidP="00D95A4A">
      <w:pPr>
        <w:spacing w:line="360" w:lineRule="auto"/>
        <w:jc w:val="left"/>
        <w:rPr>
          <w:rFonts w:ascii="Arial" w:hAnsi="Arial" w:cs="Arial"/>
          <w:b/>
        </w:rPr>
      </w:pPr>
      <w:r w:rsidRPr="00186963">
        <w:rPr>
          <w:rFonts w:ascii="Arial" w:hAnsi="Arial" w:cs="Arial"/>
          <w:b/>
          <w:color w:val="0070C0"/>
        </w:rPr>
        <w:t xml:space="preserve">Supplementary Table </w:t>
      </w:r>
      <w:r w:rsidR="00582F4B" w:rsidRPr="00186963">
        <w:rPr>
          <w:rFonts w:ascii="Arial" w:hAnsi="Arial" w:cs="Arial"/>
          <w:b/>
          <w:color w:val="0070C0"/>
        </w:rPr>
        <w:t>6</w:t>
      </w:r>
      <w:r w:rsidRPr="00C929B2">
        <w:rPr>
          <w:rFonts w:ascii="Arial" w:hAnsi="Arial" w:cs="Arial"/>
          <w:b/>
        </w:rPr>
        <w:t>. Multivariable logistic regression analysis for 28- and 90-day mortality considering transferrin and prognostic scoring systems.</w:t>
      </w:r>
    </w:p>
    <w:tbl>
      <w:tblPr>
        <w:tblStyle w:val="GridTable4-Accent11"/>
        <w:tblW w:w="0" w:type="auto"/>
        <w:tblLook w:val="04A0" w:firstRow="1" w:lastRow="0" w:firstColumn="1" w:lastColumn="0" w:noHBand="0" w:noVBand="1"/>
      </w:tblPr>
      <w:tblGrid>
        <w:gridCol w:w="1975"/>
        <w:gridCol w:w="2308"/>
        <w:gridCol w:w="1005"/>
        <w:gridCol w:w="2601"/>
        <w:gridCol w:w="957"/>
      </w:tblGrid>
      <w:tr w:rsidR="00D95A4A" w:rsidRPr="00C929B2" w14:paraId="23F1804D" w14:textId="77777777" w:rsidTr="00DD337C">
        <w:trPr>
          <w:cnfStyle w:val="100000000000" w:firstRow="1" w:lastRow="0" w:firstColumn="0" w:lastColumn="0" w:oddVBand="0" w:evenVBand="0" w:oddHBand="0"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975" w:type="dxa"/>
          </w:tcPr>
          <w:p w14:paraId="1430C8FD" w14:textId="77777777" w:rsidR="00D95A4A" w:rsidRPr="00C929B2" w:rsidRDefault="00D95A4A" w:rsidP="00DD337C">
            <w:pPr>
              <w:spacing w:before="60" w:after="60" w:line="276" w:lineRule="auto"/>
              <w:jc w:val="left"/>
              <w:rPr>
                <w:rFonts w:ascii="Arial" w:hAnsi="Arial" w:cs="Arial"/>
              </w:rPr>
            </w:pPr>
            <w:r w:rsidRPr="00C929B2">
              <w:rPr>
                <w:rFonts w:ascii="Arial" w:hAnsi="Arial" w:cs="Arial"/>
              </w:rPr>
              <w:t>Characteristic</w:t>
            </w:r>
          </w:p>
        </w:tc>
        <w:tc>
          <w:tcPr>
            <w:tcW w:w="3313" w:type="dxa"/>
            <w:gridSpan w:val="2"/>
          </w:tcPr>
          <w:p w14:paraId="2E9B54AC" w14:textId="77777777" w:rsidR="00D95A4A" w:rsidRPr="00C929B2" w:rsidRDefault="00D95A4A" w:rsidP="00DD337C">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28-day mortality</w:t>
            </w:r>
          </w:p>
        </w:tc>
        <w:tc>
          <w:tcPr>
            <w:tcW w:w="3484" w:type="dxa"/>
            <w:gridSpan w:val="2"/>
          </w:tcPr>
          <w:p w14:paraId="180C1E42" w14:textId="77777777" w:rsidR="00D95A4A" w:rsidRPr="00C929B2" w:rsidRDefault="00D95A4A" w:rsidP="00DD337C">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90-day mortality</w:t>
            </w:r>
          </w:p>
        </w:tc>
      </w:tr>
      <w:tr w:rsidR="00D95A4A" w:rsidRPr="00C929B2" w14:paraId="05200AE1" w14:textId="77777777" w:rsidTr="00DD337C">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975" w:type="dxa"/>
          </w:tcPr>
          <w:p w14:paraId="02D3D7E7" w14:textId="77777777" w:rsidR="00D95A4A" w:rsidRPr="00C929B2" w:rsidRDefault="00D95A4A" w:rsidP="00DD337C">
            <w:pPr>
              <w:spacing w:before="60" w:after="60" w:line="276" w:lineRule="auto"/>
              <w:jc w:val="left"/>
              <w:rPr>
                <w:rFonts w:ascii="Arial" w:hAnsi="Arial" w:cs="Arial"/>
              </w:rPr>
            </w:pPr>
          </w:p>
        </w:tc>
        <w:tc>
          <w:tcPr>
            <w:tcW w:w="2308" w:type="dxa"/>
          </w:tcPr>
          <w:p w14:paraId="140E68CD"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OR (95% CI)</w:t>
            </w:r>
          </w:p>
        </w:tc>
        <w:tc>
          <w:tcPr>
            <w:tcW w:w="1005" w:type="dxa"/>
          </w:tcPr>
          <w:p w14:paraId="07D73694"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P</w:t>
            </w:r>
          </w:p>
        </w:tc>
        <w:tc>
          <w:tcPr>
            <w:tcW w:w="2601" w:type="dxa"/>
          </w:tcPr>
          <w:p w14:paraId="6655756C"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OR (95% CI)</w:t>
            </w:r>
          </w:p>
        </w:tc>
        <w:tc>
          <w:tcPr>
            <w:tcW w:w="883" w:type="dxa"/>
          </w:tcPr>
          <w:p w14:paraId="7786B022"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P</w:t>
            </w:r>
          </w:p>
        </w:tc>
      </w:tr>
      <w:tr w:rsidR="00D95A4A" w:rsidRPr="00C929B2" w14:paraId="04CAACB9" w14:textId="77777777" w:rsidTr="00DD337C">
        <w:tc>
          <w:tcPr>
            <w:cnfStyle w:val="001000000000" w:firstRow="0" w:lastRow="0" w:firstColumn="1" w:lastColumn="0" w:oddVBand="0" w:evenVBand="0" w:oddHBand="0" w:evenHBand="0" w:firstRowFirstColumn="0" w:firstRowLastColumn="0" w:lastRowFirstColumn="0" w:lastRowLastColumn="0"/>
            <w:tcW w:w="8772" w:type="dxa"/>
            <w:gridSpan w:val="5"/>
          </w:tcPr>
          <w:p w14:paraId="394E1D66" w14:textId="77777777" w:rsidR="00D95A4A" w:rsidRPr="00C929B2" w:rsidRDefault="00D95A4A" w:rsidP="00DD337C">
            <w:pPr>
              <w:spacing w:before="60" w:after="60" w:line="276" w:lineRule="auto"/>
              <w:jc w:val="center"/>
              <w:rPr>
                <w:rFonts w:ascii="Arial" w:hAnsi="Arial" w:cs="Arial"/>
              </w:rPr>
            </w:pPr>
            <w:r w:rsidRPr="00C929B2">
              <w:rPr>
                <w:rFonts w:ascii="Arial" w:hAnsi="Arial" w:cs="Arial"/>
              </w:rPr>
              <w:t>DF</w:t>
            </w:r>
          </w:p>
        </w:tc>
      </w:tr>
      <w:tr w:rsidR="00D95A4A" w:rsidRPr="00C929B2" w14:paraId="6325234E" w14:textId="77777777" w:rsidTr="00DD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6E50E070" w14:textId="77777777" w:rsidR="00D95A4A" w:rsidRPr="00C929B2" w:rsidRDefault="00D95A4A" w:rsidP="00DD337C">
            <w:pPr>
              <w:spacing w:before="60" w:after="60" w:line="276" w:lineRule="auto"/>
              <w:jc w:val="left"/>
              <w:rPr>
                <w:rFonts w:ascii="Arial" w:hAnsi="Arial" w:cs="Arial"/>
              </w:rPr>
            </w:pPr>
            <w:r w:rsidRPr="00C929B2">
              <w:rPr>
                <w:rFonts w:ascii="Arial" w:hAnsi="Arial" w:cs="Arial"/>
              </w:rPr>
              <w:t>DF</w:t>
            </w:r>
          </w:p>
        </w:tc>
        <w:tc>
          <w:tcPr>
            <w:tcW w:w="2308" w:type="dxa"/>
          </w:tcPr>
          <w:p w14:paraId="2FBF2179"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1.02 (1.01 – 1.02)</w:t>
            </w:r>
          </w:p>
        </w:tc>
        <w:tc>
          <w:tcPr>
            <w:tcW w:w="1005" w:type="dxa"/>
          </w:tcPr>
          <w:p w14:paraId="5273F14D"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&lt;0.001</w:t>
            </w:r>
          </w:p>
        </w:tc>
        <w:tc>
          <w:tcPr>
            <w:tcW w:w="2601" w:type="dxa"/>
          </w:tcPr>
          <w:p w14:paraId="44FD08B7"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1.02 (1.01 – 1.02)</w:t>
            </w:r>
          </w:p>
        </w:tc>
        <w:tc>
          <w:tcPr>
            <w:tcW w:w="883" w:type="dxa"/>
          </w:tcPr>
          <w:p w14:paraId="3A4423FB"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&lt;0.001</w:t>
            </w:r>
          </w:p>
        </w:tc>
      </w:tr>
      <w:tr w:rsidR="00D95A4A" w:rsidRPr="00C929B2" w14:paraId="6EA67AA2" w14:textId="77777777" w:rsidTr="00DD337C">
        <w:tc>
          <w:tcPr>
            <w:cnfStyle w:val="001000000000" w:firstRow="0" w:lastRow="0" w:firstColumn="1" w:lastColumn="0" w:oddVBand="0" w:evenVBand="0" w:oddHBand="0" w:evenHBand="0" w:firstRowFirstColumn="0" w:firstRowLastColumn="0" w:lastRowFirstColumn="0" w:lastRowLastColumn="0"/>
            <w:tcW w:w="1975" w:type="dxa"/>
          </w:tcPr>
          <w:p w14:paraId="22C86059" w14:textId="77777777" w:rsidR="00D95A4A" w:rsidRPr="00C929B2" w:rsidRDefault="00D95A4A" w:rsidP="00DD337C">
            <w:pPr>
              <w:spacing w:before="60" w:after="60" w:line="276" w:lineRule="auto"/>
              <w:jc w:val="left"/>
              <w:rPr>
                <w:rFonts w:ascii="Arial" w:hAnsi="Arial" w:cs="Arial"/>
              </w:rPr>
            </w:pPr>
            <w:r w:rsidRPr="00C929B2">
              <w:rPr>
                <w:rFonts w:ascii="Arial" w:hAnsi="Arial" w:cs="Arial"/>
              </w:rPr>
              <w:t>Transferrin (mg/dL)</w:t>
            </w:r>
          </w:p>
        </w:tc>
        <w:tc>
          <w:tcPr>
            <w:tcW w:w="2308" w:type="dxa"/>
          </w:tcPr>
          <w:p w14:paraId="7C24F737" w14:textId="77777777" w:rsidR="00D95A4A" w:rsidRPr="00C929B2" w:rsidRDefault="00D95A4A" w:rsidP="00DD337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0.987 (0.982 – 0.992)</w:t>
            </w:r>
          </w:p>
        </w:tc>
        <w:tc>
          <w:tcPr>
            <w:tcW w:w="1005" w:type="dxa"/>
          </w:tcPr>
          <w:p w14:paraId="312D04B9" w14:textId="77777777" w:rsidR="00D95A4A" w:rsidRPr="00C929B2" w:rsidRDefault="00D95A4A" w:rsidP="00DD337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&lt;0.001</w:t>
            </w:r>
          </w:p>
        </w:tc>
        <w:tc>
          <w:tcPr>
            <w:tcW w:w="2601" w:type="dxa"/>
          </w:tcPr>
          <w:p w14:paraId="271AFDE8" w14:textId="77777777" w:rsidR="00D95A4A" w:rsidRPr="00C929B2" w:rsidRDefault="00D95A4A" w:rsidP="00DD337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0.993 (0.989 – 0.996)</w:t>
            </w:r>
          </w:p>
        </w:tc>
        <w:tc>
          <w:tcPr>
            <w:tcW w:w="883" w:type="dxa"/>
          </w:tcPr>
          <w:p w14:paraId="518B78CF" w14:textId="77777777" w:rsidR="00D95A4A" w:rsidRPr="00C929B2" w:rsidRDefault="00D95A4A" w:rsidP="00DD337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&lt;0.001</w:t>
            </w:r>
          </w:p>
        </w:tc>
      </w:tr>
      <w:tr w:rsidR="00D95A4A" w:rsidRPr="00C929B2" w14:paraId="4C1440A0" w14:textId="77777777" w:rsidTr="00DD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2" w:type="dxa"/>
            <w:gridSpan w:val="5"/>
          </w:tcPr>
          <w:p w14:paraId="03BB861A" w14:textId="77777777" w:rsidR="00D95A4A" w:rsidRPr="00C929B2" w:rsidRDefault="00D95A4A" w:rsidP="00DD337C">
            <w:pPr>
              <w:spacing w:before="60" w:after="60" w:line="276" w:lineRule="auto"/>
              <w:jc w:val="center"/>
              <w:rPr>
                <w:rFonts w:ascii="Arial" w:hAnsi="Arial" w:cs="Arial"/>
              </w:rPr>
            </w:pPr>
            <w:r w:rsidRPr="00C929B2">
              <w:rPr>
                <w:rFonts w:ascii="Arial" w:hAnsi="Arial" w:cs="Arial"/>
              </w:rPr>
              <w:t>MELD</w:t>
            </w:r>
          </w:p>
        </w:tc>
      </w:tr>
      <w:tr w:rsidR="00D95A4A" w:rsidRPr="00C929B2" w14:paraId="193AA852" w14:textId="77777777" w:rsidTr="00DD337C">
        <w:tc>
          <w:tcPr>
            <w:cnfStyle w:val="001000000000" w:firstRow="0" w:lastRow="0" w:firstColumn="1" w:lastColumn="0" w:oddVBand="0" w:evenVBand="0" w:oddHBand="0" w:evenHBand="0" w:firstRowFirstColumn="0" w:firstRowLastColumn="0" w:lastRowFirstColumn="0" w:lastRowLastColumn="0"/>
            <w:tcW w:w="1975" w:type="dxa"/>
          </w:tcPr>
          <w:p w14:paraId="40002845" w14:textId="77777777" w:rsidR="00D95A4A" w:rsidRPr="00C929B2" w:rsidRDefault="00D95A4A" w:rsidP="00DD337C">
            <w:pPr>
              <w:spacing w:before="60" w:after="60" w:line="276" w:lineRule="auto"/>
              <w:jc w:val="left"/>
              <w:rPr>
                <w:rFonts w:ascii="Arial" w:hAnsi="Arial" w:cs="Arial"/>
              </w:rPr>
            </w:pPr>
            <w:r w:rsidRPr="00C929B2">
              <w:rPr>
                <w:rFonts w:ascii="Arial" w:hAnsi="Arial" w:cs="Arial"/>
              </w:rPr>
              <w:t>MELD</w:t>
            </w:r>
          </w:p>
        </w:tc>
        <w:tc>
          <w:tcPr>
            <w:tcW w:w="2308" w:type="dxa"/>
          </w:tcPr>
          <w:p w14:paraId="6115B95A" w14:textId="77777777" w:rsidR="00D95A4A" w:rsidRPr="00C929B2" w:rsidRDefault="00D95A4A" w:rsidP="00DD337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1.16 (1.11 – 1.21)</w:t>
            </w:r>
          </w:p>
        </w:tc>
        <w:tc>
          <w:tcPr>
            <w:tcW w:w="1005" w:type="dxa"/>
          </w:tcPr>
          <w:p w14:paraId="1974AD2E" w14:textId="77777777" w:rsidR="00D95A4A" w:rsidRPr="00C929B2" w:rsidRDefault="00D95A4A" w:rsidP="00DD337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&lt;0.001</w:t>
            </w:r>
          </w:p>
        </w:tc>
        <w:tc>
          <w:tcPr>
            <w:tcW w:w="2601" w:type="dxa"/>
          </w:tcPr>
          <w:p w14:paraId="2C247E60" w14:textId="77777777" w:rsidR="00D95A4A" w:rsidRPr="00C929B2" w:rsidRDefault="00D95A4A" w:rsidP="00DD337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1.15 (1.10 – 1.20)</w:t>
            </w:r>
          </w:p>
        </w:tc>
        <w:tc>
          <w:tcPr>
            <w:tcW w:w="883" w:type="dxa"/>
          </w:tcPr>
          <w:p w14:paraId="0F10F95A" w14:textId="77777777" w:rsidR="00D95A4A" w:rsidRPr="00C929B2" w:rsidRDefault="00D95A4A" w:rsidP="00DD337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&lt;0.001</w:t>
            </w:r>
          </w:p>
        </w:tc>
      </w:tr>
      <w:tr w:rsidR="00D95A4A" w:rsidRPr="00C929B2" w14:paraId="5D50C03B" w14:textId="77777777" w:rsidTr="00DD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A581539" w14:textId="77777777" w:rsidR="00D95A4A" w:rsidRPr="00C929B2" w:rsidRDefault="00D95A4A" w:rsidP="00DD337C">
            <w:pPr>
              <w:spacing w:before="60" w:after="60" w:line="276" w:lineRule="auto"/>
              <w:jc w:val="left"/>
              <w:rPr>
                <w:rFonts w:ascii="Arial" w:hAnsi="Arial" w:cs="Arial"/>
              </w:rPr>
            </w:pPr>
            <w:r w:rsidRPr="00C929B2">
              <w:rPr>
                <w:rFonts w:ascii="Arial" w:hAnsi="Arial" w:cs="Arial"/>
              </w:rPr>
              <w:t>Transferrin (mg/dL)</w:t>
            </w:r>
          </w:p>
        </w:tc>
        <w:tc>
          <w:tcPr>
            <w:tcW w:w="2308" w:type="dxa"/>
          </w:tcPr>
          <w:p w14:paraId="203317D5"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0.990 (0.984 – 0.995)</w:t>
            </w:r>
          </w:p>
        </w:tc>
        <w:tc>
          <w:tcPr>
            <w:tcW w:w="1005" w:type="dxa"/>
          </w:tcPr>
          <w:p w14:paraId="6325FE0C"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&lt;0.001</w:t>
            </w:r>
          </w:p>
        </w:tc>
        <w:tc>
          <w:tcPr>
            <w:tcW w:w="2601" w:type="dxa"/>
          </w:tcPr>
          <w:p w14:paraId="439010FD"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0.995 (0.991 – 0.998)</w:t>
            </w:r>
          </w:p>
        </w:tc>
        <w:tc>
          <w:tcPr>
            <w:tcW w:w="883" w:type="dxa"/>
          </w:tcPr>
          <w:p w14:paraId="08E892B4"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0.005</w:t>
            </w:r>
          </w:p>
        </w:tc>
      </w:tr>
      <w:tr w:rsidR="00D95A4A" w:rsidRPr="00C929B2" w14:paraId="4F39BB83" w14:textId="77777777" w:rsidTr="00DD337C">
        <w:tc>
          <w:tcPr>
            <w:cnfStyle w:val="001000000000" w:firstRow="0" w:lastRow="0" w:firstColumn="1" w:lastColumn="0" w:oddVBand="0" w:evenVBand="0" w:oddHBand="0" w:evenHBand="0" w:firstRowFirstColumn="0" w:firstRowLastColumn="0" w:lastRowFirstColumn="0" w:lastRowLastColumn="0"/>
            <w:tcW w:w="8772" w:type="dxa"/>
            <w:gridSpan w:val="5"/>
          </w:tcPr>
          <w:p w14:paraId="7DEB8427" w14:textId="77777777" w:rsidR="00D95A4A" w:rsidRPr="00C929B2" w:rsidRDefault="00D95A4A" w:rsidP="00DD337C">
            <w:pPr>
              <w:spacing w:before="60" w:after="60" w:line="276" w:lineRule="auto"/>
              <w:jc w:val="center"/>
              <w:rPr>
                <w:rFonts w:ascii="Arial" w:hAnsi="Arial" w:cs="Arial"/>
              </w:rPr>
            </w:pPr>
            <w:r w:rsidRPr="00C929B2">
              <w:rPr>
                <w:rFonts w:ascii="Arial" w:hAnsi="Arial" w:cs="Arial"/>
              </w:rPr>
              <w:t>GAHS</w:t>
            </w:r>
          </w:p>
        </w:tc>
      </w:tr>
      <w:tr w:rsidR="00D95A4A" w:rsidRPr="00C929B2" w14:paraId="2A0870FD" w14:textId="77777777" w:rsidTr="00DD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4DB676E" w14:textId="77777777" w:rsidR="00D95A4A" w:rsidRPr="00C929B2" w:rsidRDefault="00D95A4A" w:rsidP="00DD337C">
            <w:pPr>
              <w:spacing w:before="60" w:after="60" w:line="276" w:lineRule="auto"/>
              <w:jc w:val="left"/>
              <w:rPr>
                <w:rFonts w:ascii="Arial" w:hAnsi="Arial" w:cs="Arial"/>
              </w:rPr>
            </w:pPr>
            <w:r w:rsidRPr="00C929B2">
              <w:rPr>
                <w:rFonts w:ascii="Arial" w:hAnsi="Arial" w:cs="Arial"/>
              </w:rPr>
              <w:t>GAHS</w:t>
            </w:r>
          </w:p>
        </w:tc>
        <w:tc>
          <w:tcPr>
            <w:tcW w:w="2308" w:type="dxa"/>
          </w:tcPr>
          <w:p w14:paraId="201BD4CF"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1.94 (1.61 – 2.33)</w:t>
            </w:r>
          </w:p>
        </w:tc>
        <w:tc>
          <w:tcPr>
            <w:tcW w:w="1005" w:type="dxa"/>
          </w:tcPr>
          <w:p w14:paraId="66BFC7C3"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&lt;0.01</w:t>
            </w:r>
          </w:p>
        </w:tc>
        <w:tc>
          <w:tcPr>
            <w:tcW w:w="2601" w:type="dxa"/>
          </w:tcPr>
          <w:p w14:paraId="665F7761"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1.80 (1.55 – 2.08)</w:t>
            </w:r>
          </w:p>
        </w:tc>
        <w:tc>
          <w:tcPr>
            <w:tcW w:w="883" w:type="dxa"/>
          </w:tcPr>
          <w:p w14:paraId="7773A185" w14:textId="77777777" w:rsidR="00D95A4A" w:rsidRPr="00C929B2" w:rsidRDefault="00D95A4A" w:rsidP="00DD337C">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&lt;0.001</w:t>
            </w:r>
          </w:p>
        </w:tc>
      </w:tr>
      <w:tr w:rsidR="00D95A4A" w:rsidRPr="00C929B2" w14:paraId="0F056383" w14:textId="77777777" w:rsidTr="00DD337C">
        <w:trPr>
          <w:trHeight w:val="423"/>
        </w:trPr>
        <w:tc>
          <w:tcPr>
            <w:cnfStyle w:val="001000000000" w:firstRow="0" w:lastRow="0" w:firstColumn="1" w:lastColumn="0" w:oddVBand="0" w:evenVBand="0" w:oddHBand="0" w:evenHBand="0" w:firstRowFirstColumn="0" w:firstRowLastColumn="0" w:lastRowFirstColumn="0" w:lastRowLastColumn="0"/>
            <w:tcW w:w="1975" w:type="dxa"/>
          </w:tcPr>
          <w:p w14:paraId="20E3758D" w14:textId="77777777" w:rsidR="00D95A4A" w:rsidRPr="00C929B2" w:rsidRDefault="00D95A4A" w:rsidP="00DD337C">
            <w:pPr>
              <w:spacing w:before="60" w:after="60" w:line="276" w:lineRule="auto"/>
              <w:jc w:val="left"/>
              <w:rPr>
                <w:rFonts w:ascii="Arial" w:hAnsi="Arial" w:cs="Arial"/>
              </w:rPr>
            </w:pPr>
            <w:r w:rsidRPr="00C929B2">
              <w:rPr>
                <w:rFonts w:ascii="Arial" w:hAnsi="Arial" w:cs="Arial"/>
              </w:rPr>
              <w:t>Transferrin (mg/dL)</w:t>
            </w:r>
          </w:p>
        </w:tc>
        <w:tc>
          <w:tcPr>
            <w:tcW w:w="2308" w:type="dxa"/>
          </w:tcPr>
          <w:p w14:paraId="51215B51" w14:textId="77777777" w:rsidR="00D95A4A" w:rsidRPr="00C929B2" w:rsidRDefault="00D95A4A" w:rsidP="00DD337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0.989 (0.984 – 0.994)</w:t>
            </w:r>
          </w:p>
        </w:tc>
        <w:tc>
          <w:tcPr>
            <w:tcW w:w="1005" w:type="dxa"/>
          </w:tcPr>
          <w:p w14:paraId="07B91C01" w14:textId="77777777" w:rsidR="00D95A4A" w:rsidRPr="00C929B2" w:rsidRDefault="00D95A4A" w:rsidP="00DD337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&lt;0.001</w:t>
            </w:r>
          </w:p>
        </w:tc>
        <w:tc>
          <w:tcPr>
            <w:tcW w:w="2601" w:type="dxa"/>
          </w:tcPr>
          <w:p w14:paraId="63740337" w14:textId="77777777" w:rsidR="00D95A4A" w:rsidRPr="00C929B2" w:rsidRDefault="00D95A4A" w:rsidP="00DD337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0.994 (0.991 – 0.998)</w:t>
            </w:r>
          </w:p>
        </w:tc>
        <w:tc>
          <w:tcPr>
            <w:tcW w:w="883" w:type="dxa"/>
          </w:tcPr>
          <w:p w14:paraId="74AC3F4D" w14:textId="77777777" w:rsidR="00D95A4A" w:rsidRPr="00C929B2" w:rsidRDefault="00D95A4A" w:rsidP="00DD337C">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0.002</w:t>
            </w:r>
          </w:p>
        </w:tc>
      </w:tr>
    </w:tbl>
    <w:p w14:paraId="5CC759DA" w14:textId="77777777" w:rsidR="00D95A4A" w:rsidRPr="00C929B2" w:rsidRDefault="00D95A4A" w:rsidP="00D95A4A">
      <w:pPr>
        <w:spacing w:line="360" w:lineRule="auto"/>
        <w:rPr>
          <w:rFonts w:ascii="Arial" w:hAnsi="Arial" w:cs="Arial"/>
        </w:rPr>
      </w:pPr>
      <w:r w:rsidRPr="00C929B2">
        <w:rPr>
          <w:rFonts w:ascii="Arial" w:hAnsi="Arial" w:cs="Arial"/>
        </w:rPr>
        <w:t>Abbreviations: CI: confidence interval; DF: Discriminant function; GAHS: Glasgow alcoholic hepatitis score; MELD: model for end-stage liver disease; OR: odds ratio</w:t>
      </w:r>
    </w:p>
    <w:p w14:paraId="29C2EF1B" w14:textId="414C76BF" w:rsidR="00D95A4A" w:rsidRDefault="00D95A4A" w:rsidP="00D95A4A">
      <w:pPr>
        <w:spacing w:line="360" w:lineRule="auto"/>
        <w:rPr>
          <w:rFonts w:ascii="Arial" w:hAnsi="Arial" w:cs="Arial"/>
        </w:rPr>
      </w:pPr>
      <w:r w:rsidRPr="00C929B2">
        <w:rPr>
          <w:rFonts w:ascii="Arial" w:hAnsi="Arial" w:cs="Arial"/>
        </w:rPr>
        <w:lastRenderedPageBreak/>
        <w:t xml:space="preserve">Parameters of scores: DF = prothrombin time, bilirubin; GAHS = age, white blood cell count, blood urea nitrogen, bilirubin, prothrombin time;  MELD = creatinine, bilirubin, INR, presence of dialysis. </w:t>
      </w:r>
    </w:p>
    <w:p w14:paraId="2D7464A4" w14:textId="4A1F5DB3" w:rsidR="00186963" w:rsidRDefault="00186963" w:rsidP="00D95A4A">
      <w:pPr>
        <w:spacing w:line="360" w:lineRule="auto"/>
        <w:rPr>
          <w:rFonts w:ascii="Arial" w:hAnsi="Arial" w:cs="Arial"/>
        </w:rPr>
      </w:pPr>
    </w:p>
    <w:p w14:paraId="305A8946" w14:textId="33E53E7F" w:rsidR="00186963" w:rsidRDefault="00186963" w:rsidP="00D95A4A">
      <w:pPr>
        <w:spacing w:line="360" w:lineRule="auto"/>
        <w:rPr>
          <w:rFonts w:ascii="Arial" w:hAnsi="Arial" w:cs="Arial"/>
        </w:rPr>
      </w:pPr>
    </w:p>
    <w:p w14:paraId="7C9B589D" w14:textId="77777777" w:rsidR="00186963" w:rsidRPr="00C929B2" w:rsidRDefault="00186963" w:rsidP="00D95A4A">
      <w:pPr>
        <w:spacing w:line="360" w:lineRule="auto"/>
        <w:rPr>
          <w:rFonts w:ascii="Arial" w:hAnsi="Arial" w:cs="Arial"/>
        </w:rPr>
      </w:pPr>
    </w:p>
    <w:p w14:paraId="365BA53E" w14:textId="6545695B" w:rsidR="00D95A4A" w:rsidRPr="00C929B2" w:rsidRDefault="00D95A4A" w:rsidP="00D95A4A">
      <w:pPr>
        <w:spacing w:line="240" w:lineRule="auto"/>
        <w:jc w:val="left"/>
        <w:rPr>
          <w:rFonts w:ascii="Arial" w:hAnsi="Arial" w:cs="Arial"/>
          <w:b/>
        </w:rPr>
      </w:pPr>
      <w:r w:rsidRPr="00186963">
        <w:rPr>
          <w:rFonts w:ascii="Arial" w:hAnsi="Arial" w:cs="Arial"/>
          <w:b/>
          <w:color w:val="0070C0"/>
        </w:rPr>
        <w:t xml:space="preserve">Supplementary Table </w:t>
      </w:r>
      <w:r w:rsidR="0025257E" w:rsidRPr="00186963">
        <w:rPr>
          <w:rFonts w:ascii="Arial" w:hAnsi="Arial" w:cs="Arial"/>
          <w:b/>
          <w:color w:val="0070C0"/>
        </w:rPr>
        <w:t>7</w:t>
      </w:r>
      <w:r w:rsidRPr="00C929B2">
        <w:rPr>
          <w:rFonts w:ascii="Arial" w:hAnsi="Arial" w:cs="Arial"/>
          <w:b/>
        </w:rPr>
        <w:t>. Serum soluble transferrin receptor (sTfR) levels, by 28- and 90-day mortality status.</w:t>
      </w:r>
    </w:p>
    <w:p w14:paraId="74DF0B78" w14:textId="77777777" w:rsidR="00D95A4A" w:rsidRPr="00C929B2" w:rsidRDefault="00D95A4A" w:rsidP="00D95A4A">
      <w:pPr>
        <w:spacing w:line="240" w:lineRule="auto"/>
        <w:jc w:val="left"/>
        <w:rPr>
          <w:rFonts w:ascii="Arial" w:hAnsi="Arial" w:cs="Arial"/>
        </w:rPr>
      </w:pPr>
    </w:p>
    <w:tbl>
      <w:tblPr>
        <w:tblStyle w:val="Gitternetztabelle4Akzent11"/>
        <w:tblW w:w="0" w:type="auto"/>
        <w:tblLook w:val="04A0" w:firstRow="1" w:lastRow="0" w:firstColumn="1" w:lastColumn="0" w:noHBand="0" w:noVBand="1"/>
      </w:tblPr>
      <w:tblGrid>
        <w:gridCol w:w="1413"/>
        <w:gridCol w:w="1899"/>
        <w:gridCol w:w="1899"/>
        <w:gridCol w:w="1899"/>
        <w:gridCol w:w="1900"/>
      </w:tblGrid>
      <w:tr w:rsidR="00D95A4A" w:rsidRPr="00C929B2" w14:paraId="4FCAF1B2" w14:textId="77777777" w:rsidTr="00DD3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BC7F388" w14:textId="77777777" w:rsidR="00D95A4A" w:rsidRPr="00C929B2" w:rsidRDefault="00D95A4A" w:rsidP="00DD337C">
            <w:pPr>
              <w:spacing w:before="60" w:after="60" w:line="240" w:lineRule="auto"/>
              <w:jc w:val="center"/>
              <w:rPr>
                <w:rFonts w:ascii="Arial" w:hAnsi="Arial" w:cs="Arial"/>
              </w:rPr>
            </w:pPr>
          </w:p>
        </w:tc>
        <w:tc>
          <w:tcPr>
            <w:tcW w:w="3798" w:type="dxa"/>
            <w:gridSpan w:val="2"/>
          </w:tcPr>
          <w:p w14:paraId="30D6627A" w14:textId="77777777" w:rsidR="00D95A4A" w:rsidRPr="00C929B2" w:rsidRDefault="00D95A4A" w:rsidP="00DD337C">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 xml:space="preserve">28-day mortality </w:t>
            </w:r>
          </w:p>
        </w:tc>
        <w:tc>
          <w:tcPr>
            <w:tcW w:w="3799" w:type="dxa"/>
            <w:gridSpan w:val="2"/>
          </w:tcPr>
          <w:p w14:paraId="2B8CB365" w14:textId="77777777" w:rsidR="00D95A4A" w:rsidRPr="00C929B2" w:rsidRDefault="00D95A4A" w:rsidP="00DD337C">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 xml:space="preserve">90-day mortality </w:t>
            </w:r>
          </w:p>
        </w:tc>
      </w:tr>
      <w:tr w:rsidR="00D95A4A" w:rsidRPr="00C929B2" w14:paraId="31E23BC4" w14:textId="77777777" w:rsidTr="00DD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4472C4" w:themeColor="accent1"/>
              <w:right w:val="nil"/>
            </w:tcBorders>
            <w:shd w:val="clear" w:color="auto" w:fill="4372C4"/>
          </w:tcPr>
          <w:p w14:paraId="37A728DC" w14:textId="77777777" w:rsidR="00D95A4A" w:rsidRPr="00C929B2" w:rsidRDefault="00D95A4A" w:rsidP="00DD337C">
            <w:pPr>
              <w:spacing w:before="60" w:after="60" w:line="240" w:lineRule="auto"/>
              <w:jc w:val="left"/>
              <w:rPr>
                <w:rFonts w:ascii="Arial" w:hAnsi="Arial" w:cs="Arial"/>
                <w:color w:val="FFFFFF" w:themeColor="background1"/>
              </w:rPr>
            </w:pPr>
          </w:p>
        </w:tc>
        <w:tc>
          <w:tcPr>
            <w:tcW w:w="1899" w:type="dxa"/>
            <w:tcBorders>
              <w:top w:val="single" w:sz="4" w:space="0" w:color="4472C4" w:themeColor="accent1"/>
              <w:left w:val="nil"/>
              <w:right w:val="nil"/>
            </w:tcBorders>
            <w:shd w:val="clear" w:color="auto" w:fill="4372C4"/>
          </w:tcPr>
          <w:p w14:paraId="22D748AE" w14:textId="77777777" w:rsidR="00D95A4A" w:rsidRPr="00C929B2" w:rsidRDefault="00D95A4A" w:rsidP="00DD337C">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sidRPr="00C929B2">
              <w:rPr>
                <w:rFonts w:ascii="Arial" w:hAnsi="Arial" w:cs="Arial"/>
                <w:color w:val="FFFFFF" w:themeColor="background1"/>
              </w:rPr>
              <w:t>Alive (n=530)</w:t>
            </w:r>
          </w:p>
        </w:tc>
        <w:tc>
          <w:tcPr>
            <w:tcW w:w="1899" w:type="dxa"/>
            <w:tcBorders>
              <w:top w:val="single" w:sz="4" w:space="0" w:color="4472C4" w:themeColor="accent1"/>
              <w:left w:val="nil"/>
              <w:right w:val="nil"/>
            </w:tcBorders>
            <w:shd w:val="clear" w:color="auto" w:fill="4372C4"/>
          </w:tcPr>
          <w:p w14:paraId="380BFD00" w14:textId="77777777" w:rsidR="00D95A4A" w:rsidRPr="00C929B2" w:rsidRDefault="00D95A4A" w:rsidP="00DD337C">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sidRPr="00C929B2">
              <w:rPr>
                <w:rFonts w:ascii="Arial" w:hAnsi="Arial" w:cs="Arial"/>
                <w:color w:val="FFFFFF" w:themeColor="background1"/>
              </w:rPr>
              <w:t>Died (n=62)</w:t>
            </w:r>
          </w:p>
        </w:tc>
        <w:tc>
          <w:tcPr>
            <w:tcW w:w="1899" w:type="dxa"/>
            <w:tcBorders>
              <w:top w:val="single" w:sz="4" w:space="0" w:color="4472C4" w:themeColor="accent1"/>
              <w:left w:val="nil"/>
              <w:right w:val="nil"/>
            </w:tcBorders>
            <w:shd w:val="clear" w:color="auto" w:fill="4372C4"/>
          </w:tcPr>
          <w:p w14:paraId="3EF5AEE9" w14:textId="77777777" w:rsidR="00D95A4A" w:rsidRPr="00C929B2" w:rsidRDefault="00D95A4A" w:rsidP="00DD337C">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sidRPr="00C929B2">
              <w:rPr>
                <w:rFonts w:ascii="Arial" w:hAnsi="Arial" w:cs="Arial"/>
                <w:color w:val="FFFFFF" w:themeColor="background1"/>
              </w:rPr>
              <w:t>Alive (n=473)</w:t>
            </w:r>
          </w:p>
        </w:tc>
        <w:tc>
          <w:tcPr>
            <w:tcW w:w="1900" w:type="dxa"/>
            <w:tcBorders>
              <w:top w:val="single" w:sz="4" w:space="0" w:color="4472C4" w:themeColor="accent1"/>
              <w:left w:val="nil"/>
            </w:tcBorders>
            <w:shd w:val="clear" w:color="auto" w:fill="4372C4"/>
          </w:tcPr>
          <w:p w14:paraId="7243E62D" w14:textId="77777777" w:rsidR="00D95A4A" w:rsidRPr="00C929B2" w:rsidRDefault="00D95A4A" w:rsidP="00DD337C">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rPr>
            </w:pPr>
            <w:r w:rsidRPr="00C929B2">
              <w:rPr>
                <w:rFonts w:ascii="Arial" w:hAnsi="Arial" w:cs="Arial"/>
                <w:color w:val="FFFFFF" w:themeColor="background1"/>
              </w:rPr>
              <w:t>Died (n=119)</w:t>
            </w:r>
          </w:p>
        </w:tc>
      </w:tr>
      <w:tr w:rsidR="00D95A4A" w:rsidRPr="00C929B2" w14:paraId="0EE49C38" w14:textId="77777777" w:rsidTr="00DD337C">
        <w:tc>
          <w:tcPr>
            <w:cnfStyle w:val="001000000000" w:firstRow="0" w:lastRow="0" w:firstColumn="1" w:lastColumn="0" w:oddVBand="0" w:evenVBand="0" w:oddHBand="0" w:evenHBand="0" w:firstRowFirstColumn="0" w:firstRowLastColumn="0" w:lastRowFirstColumn="0" w:lastRowLastColumn="0"/>
            <w:tcW w:w="1413" w:type="dxa"/>
          </w:tcPr>
          <w:p w14:paraId="4F1BABF0" w14:textId="77777777" w:rsidR="00D95A4A" w:rsidRPr="00C929B2" w:rsidRDefault="00D95A4A" w:rsidP="00DD337C">
            <w:pPr>
              <w:spacing w:before="60" w:after="60" w:line="240" w:lineRule="auto"/>
              <w:jc w:val="left"/>
              <w:rPr>
                <w:rFonts w:ascii="Arial" w:hAnsi="Arial" w:cs="Arial"/>
              </w:rPr>
            </w:pPr>
            <w:r w:rsidRPr="00C929B2">
              <w:rPr>
                <w:rFonts w:ascii="Arial" w:hAnsi="Arial" w:cs="Arial"/>
              </w:rPr>
              <w:t>sTfR (mg/L)</w:t>
            </w:r>
          </w:p>
        </w:tc>
        <w:tc>
          <w:tcPr>
            <w:tcW w:w="1899" w:type="dxa"/>
          </w:tcPr>
          <w:p w14:paraId="739FF8F1" w14:textId="77777777" w:rsidR="00D95A4A" w:rsidRPr="00C929B2" w:rsidRDefault="00D95A4A" w:rsidP="00DD337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4.79 (3.12 – 7.60)</w:t>
            </w:r>
          </w:p>
        </w:tc>
        <w:tc>
          <w:tcPr>
            <w:tcW w:w="1899" w:type="dxa"/>
          </w:tcPr>
          <w:p w14:paraId="5B1E1ED3" w14:textId="77777777" w:rsidR="00D95A4A" w:rsidRPr="00C929B2" w:rsidRDefault="00D95A4A" w:rsidP="00DD337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3.99 (2.65 – 7.53)</w:t>
            </w:r>
          </w:p>
        </w:tc>
        <w:tc>
          <w:tcPr>
            <w:tcW w:w="1899" w:type="dxa"/>
          </w:tcPr>
          <w:p w14:paraId="2D91666F" w14:textId="77777777" w:rsidR="00D95A4A" w:rsidRPr="00C929B2" w:rsidRDefault="00D95A4A" w:rsidP="00DD337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4.71 (3.08 – 7.34)</w:t>
            </w:r>
          </w:p>
        </w:tc>
        <w:tc>
          <w:tcPr>
            <w:tcW w:w="1900" w:type="dxa"/>
          </w:tcPr>
          <w:p w14:paraId="3E138BBD" w14:textId="77777777" w:rsidR="00D95A4A" w:rsidRPr="00C929B2" w:rsidRDefault="00D95A4A" w:rsidP="00DD337C">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4.56 (3.03 – 8.61)</w:t>
            </w:r>
          </w:p>
        </w:tc>
      </w:tr>
      <w:tr w:rsidR="00D95A4A" w:rsidRPr="00C929B2" w14:paraId="31DC12DF" w14:textId="77777777" w:rsidTr="00DD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349B98D" w14:textId="77777777" w:rsidR="00D95A4A" w:rsidRPr="00C929B2" w:rsidRDefault="00D95A4A" w:rsidP="00DD337C">
            <w:pPr>
              <w:spacing w:before="60" w:after="60" w:line="240" w:lineRule="auto"/>
              <w:jc w:val="left"/>
              <w:rPr>
                <w:rFonts w:ascii="Arial" w:hAnsi="Arial" w:cs="Arial"/>
              </w:rPr>
            </w:pPr>
          </w:p>
        </w:tc>
        <w:tc>
          <w:tcPr>
            <w:tcW w:w="3798" w:type="dxa"/>
            <w:gridSpan w:val="2"/>
          </w:tcPr>
          <w:p w14:paraId="6E6052AD" w14:textId="77777777" w:rsidR="00D95A4A" w:rsidRPr="00C929B2" w:rsidRDefault="00D95A4A" w:rsidP="00DD337C">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OR 1.02 (95% CI, 0.996 – 1.042), p=0.10</w:t>
            </w:r>
          </w:p>
        </w:tc>
        <w:tc>
          <w:tcPr>
            <w:tcW w:w="3799" w:type="dxa"/>
            <w:gridSpan w:val="2"/>
          </w:tcPr>
          <w:p w14:paraId="0050ABD1" w14:textId="77777777" w:rsidR="00D95A4A" w:rsidRPr="00C929B2" w:rsidRDefault="00D95A4A" w:rsidP="00DD337C">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OR 1.02 (95% CI 0.999 – 1.04), p=0.07</w:t>
            </w:r>
          </w:p>
        </w:tc>
      </w:tr>
    </w:tbl>
    <w:p w14:paraId="62CCB35A" w14:textId="77777777" w:rsidR="00D95A4A" w:rsidRPr="00C929B2" w:rsidRDefault="00D95A4A" w:rsidP="00D95A4A">
      <w:pPr>
        <w:spacing w:line="240" w:lineRule="auto"/>
        <w:jc w:val="left"/>
        <w:rPr>
          <w:rFonts w:ascii="Arial" w:hAnsi="Arial" w:cs="Arial"/>
        </w:rPr>
      </w:pPr>
      <w:r w:rsidRPr="00C929B2">
        <w:rPr>
          <w:rFonts w:ascii="Arial" w:hAnsi="Arial" w:cs="Arial"/>
        </w:rPr>
        <w:t>Data presented as median (interquartile range)</w:t>
      </w:r>
    </w:p>
    <w:p w14:paraId="620970B7" w14:textId="77777777" w:rsidR="00D95A4A" w:rsidRPr="00C929B2" w:rsidRDefault="00D95A4A" w:rsidP="00D95A4A">
      <w:pPr>
        <w:spacing w:line="240" w:lineRule="auto"/>
        <w:jc w:val="left"/>
        <w:rPr>
          <w:rFonts w:ascii="Arial" w:hAnsi="Arial" w:cs="Arial"/>
        </w:rPr>
      </w:pPr>
      <w:r w:rsidRPr="00C929B2">
        <w:rPr>
          <w:rFonts w:ascii="Arial" w:hAnsi="Arial" w:cs="Arial"/>
        </w:rPr>
        <w:t>Abbreviations: CI: Confidence interval; OR: Odds ratio; sTfR: soluble transferrin receptor</w:t>
      </w:r>
    </w:p>
    <w:p w14:paraId="1F360156" w14:textId="4D826F16" w:rsidR="00D95A4A" w:rsidRPr="00C929B2" w:rsidRDefault="00D95A4A" w:rsidP="00D95A4A">
      <w:pPr>
        <w:spacing w:line="240" w:lineRule="auto"/>
        <w:jc w:val="left"/>
        <w:rPr>
          <w:rFonts w:ascii="Arial" w:hAnsi="Arial" w:cs="Arial"/>
        </w:rPr>
      </w:pPr>
    </w:p>
    <w:p w14:paraId="1FEC7A8F" w14:textId="72DFBC30" w:rsidR="00D95A4A" w:rsidRDefault="00D95A4A" w:rsidP="00D95A4A">
      <w:pPr>
        <w:spacing w:line="240" w:lineRule="auto"/>
        <w:jc w:val="left"/>
        <w:rPr>
          <w:rFonts w:ascii="Arial" w:hAnsi="Arial" w:cs="Arial"/>
        </w:rPr>
      </w:pPr>
    </w:p>
    <w:p w14:paraId="0C43739A" w14:textId="77777777" w:rsidR="00186963" w:rsidRPr="00C929B2" w:rsidRDefault="00186963" w:rsidP="00D95A4A">
      <w:pPr>
        <w:spacing w:line="240" w:lineRule="auto"/>
        <w:jc w:val="left"/>
        <w:rPr>
          <w:rFonts w:ascii="Arial" w:hAnsi="Arial" w:cs="Arial"/>
        </w:rPr>
      </w:pPr>
    </w:p>
    <w:p w14:paraId="75DE0672" w14:textId="32E7BB26" w:rsidR="00D95A4A" w:rsidRPr="00C929B2" w:rsidRDefault="00D95A4A" w:rsidP="00D95A4A">
      <w:pPr>
        <w:spacing w:line="240" w:lineRule="auto"/>
        <w:jc w:val="left"/>
        <w:rPr>
          <w:rFonts w:ascii="Arial" w:hAnsi="Arial" w:cs="Arial"/>
          <w:b/>
        </w:rPr>
      </w:pPr>
      <w:r w:rsidRPr="00186963">
        <w:rPr>
          <w:rFonts w:ascii="Arial" w:hAnsi="Arial" w:cs="Arial"/>
          <w:b/>
          <w:color w:val="0070C0"/>
        </w:rPr>
        <w:t xml:space="preserve">Supplementary Table </w:t>
      </w:r>
      <w:r w:rsidR="0025257E" w:rsidRPr="00186963">
        <w:rPr>
          <w:rFonts w:ascii="Arial" w:hAnsi="Arial" w:cs="Arial"/>
          <w:b/>
          <w:color w:val="0070C0"/>
        </w:rPr>
        <w:t>8</w:t>
      </w:r>
      <w:r w:rsidRPr="00C929B2">
        <w:rPr>
          <w:rFonts w:ascii="Arial" w:hAnsi="Arial" w:cs="Arial"/>
          <w:b/>
        </w:rPr>
        <w:t xml:space="preserve">. Correlation of non-transferrin bound iron (NTBI) with selected laboratory parameters and prognostic scoring systems. </w:t>
      </w:r>
    </w:p>
    <w:tbl>
      <w:tblPr>
        <w:tblStyle w:val="Gitternetztabelle4Akzent11"/>
        <w:tblW w:w="9187" w:type="dxa"/>
        <w:tblLook w:val="04A0" w:firstRow="1" w:lastRow="0" w:firstColumn="1" w:lastColumn="0" w:noHBand="0" w:noVBand="1"/>
      </w:tblPr>
      <w:tblGrid>
        <w:gridCol w:w="1004"/>
        <w:gridCol w:w="957"/>
        <w:gridCol w:w="817"/>
        <w:gridCol w:w="1043"/>
        <w:gridCol w:w="957"/>
        <w:gridCol w:w="1230"/>
        <w:gridCol w:w="750"/>
        <w:gridCol w:w="696"/>
        <w:gridCol w:w="896"/>
        <w:gridCol w:w="910"/>
        <w:gridCol w:w="684"/>
      </w:tblGrid>
      <w:tr w:rsidR="00D95A4A" w:rsidRPr="00C929B2" w14:paraId="446976F8" w14:textId="77777777" w:rsidTr="00DD3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dxa"/>
          </w:tcPr>
          <w:p w14:paraId="61AA4B2F" w14:textId="77777777" w:rsidR="00D95A4A" w:rsidRPr="00C929B2" w:rsidRDefault="00D95A4A" w:rsidP="00DD337C">
            <w:pPr>
              <w:rPr>
                <w:rFonts w:ascii="Arial" w:hAnsi="Arial" w:cs="Arial"/>
              </w:rPr>
            </w:pPr>
            <w:r w:rsidRPr="00C929B2">
              <w:rPr>
                <w:rFonts w:ascii="Arial" w:hAnsi="Arial" w:cs="Arial"/>
              </w:rPr>
              <w:t>Marker</w:t>
            </w:r>
          </w:p>
        </w:tc>
        <w:tc>
          <w:tcPr>
            <w:tcW w:w="831" w:type="dxa"/>
          </w:tcPr>
          <w:p w14:paraId="5D132902" w14:textId="77777777" w:rsidR="00D95A4A" w:rsidRPr="00C929B2" w:rsidRDefault="00D95A4A" w:rsidP="00DD337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Iron</w:t>
            </w:r>
          </w:p>
        </w:tc>
        <w:tc>
          <w:tcPr>
            <w:tcW w:w="1209" w:type="dxa"/>
          </w:tcPr>
          <w:p w14:paraId="431910E3" w14:textId="4B944C21" w:rsidR="00D95A4A" w:rsidRPr="00C929B2" w:rsidRDefault="004565DE" w:rsidP="00DD337C">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TF</w:t>
            </w:r>
          </w:p>
        </w:tc>
        <w:tc>
          <w:tcPr>
            <w:tcW w:w="874" w:type="dxa"/>
          </w:tcPr>
          <w:p w14:paraId="33A9A22B" w14:textId="77777777" w:rsidR="00D95A4A" w:rsidRPr="00C929B2" w:rsidRDefault="00D95A4A" w:rsidP="00DD337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Ferritin</w:t>
            </w:r>
          </w:p>
        </w:tc>
        <w:tc>
          <w:tcPr>
            <w:tcW w:w="831" w:type="dxa"/>
          </w:tcPr>
          <w:p w14:paraId="0DBF0CF6" w14:textId="77777777" w:rsidR="00D95A4A" w:rsidRPr="00C929B2" w:rsidRDefault="00D95A4A" w:rsidP="00DD337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TSAT</w:t>
            </w:r>
          </w:p>
        </w:tc>
        <w:tc>
          <w:tcPr>
            <w:tcW w:w="1008" w:type="dxa"/>
          </w:tcPr>
          <w:p w14:paraId="7560FBD3" w14:textId="77777777" w:rsidR="00D95A4A" w:rsidRPr="00C929B2" w:rsidRDefault="00D95A4A" w:rsidP="00DD337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Hepcidin</w:t>
            </w:r>
          </w:p>
        </w:tc>
        <w:tc>
          <w:tcPr>
            <w:tcW w:w="609" w:type="dxa"/>
          </w:tcPr>
          <w:p w14:paraId="24A9D247" w14:textId="77777777" w:rsidR="00D95A4A" w:rsidRPr="00C929B2" w:rsidRDefault="00D95A4A" w:rsidP="00DD337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sTfR</w:t>
            </w:r>
          </w:p>
        </w:tc>
        <w:tc>
          <w:tcPr>
            <w:tcW w:w="695" w:type="dxa"/>
          </w:tcPr>
          <w:p w14:paraId="21F4B4C1" w14:textId="40F58E1F" w:rsidR="00D95A4A" w:rsidRPr="00C929B2" w:rsidRDefault="00D95A4A" w:rsidP="00DD337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PCT</w:t>
            </w:r>
          </w:p>
        </w:tc>
        <w:tc>
          <w:tcPr>
            <w:tcW w:w="743" w:type="dxa"/>
          </w:tcPr>
          <w:p w14:paraId="43C7041D" w14:textId="77777777" w:rsidR="00D95A4A" w:rsidRPr="00C929B2" w:rsidRDefault="00D95A4A" w:rsidP="00DD337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MELD</w:t>
            </w:r>
          </w:p>
        </w:tc>
        <w:tc>
          <w:tcPr>
            <w:tcW w:w="724" w:type="dxa"/>
          </w:tcPr>
          <w:p w14:paraId="44F5A89F" w14:textId="77777777" w:rsidR="00D95A4A" w:rsidRPr="00C929B2" w:rsidRDefault="00D95A4A" w:rsidP="00DD337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GAHS</w:t>
            </w:r>
          </w:p>
        </w:tc>
        <w:tc>
          <w:tcPr>
            <w:tcW w:w="609" w:type="dxa"/>
          </w:tcPr>
          <w:p w14:paraId="1F52BEAB" w14:textId="77777777" w:rsidR="00D95A4A" w:rsidRPr="00C929B2" w:rsidRDefault="00D95A4A" w:rsidP="00DD337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DF</w:t>
            </w:r>
          </w:p>
        </w:tc>
      </w:tr>
      <w:tr w:rsidR="00D95A4A" w:rsidRPr="00C929B2" w14:paraId="44D4714F" w14:textId="77777777" w:rsidTr="00DD3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dxa"/>
          </w:tcPr>
          <w:p w14:paraId="1D05E190" w14:textId="77777777" w:rsidR="00D95A4A" w:rsidRPr="00C929B2" w:rsidRDefault="00D95A4A" w:rsidP="00DD337C">
            <w:pPr>
              <w:rPr>
                <w:rFonts w:ascii="Arial" w:hAnsi="Arial" w:cs="Arial"/>
              </w:rPr>
            </w:pPr>
            <w:r w:rsidRPr="00C929B2">
              <w:rPr>
                <w:rFonts w:ascii="Arial" w:hAnsi="Arial" w:cs="Arial"/>
              </w:rPr>
              <w:t>Rho</w:t>
            </w:r>
          </w:p>
        </w:tc>
        <w:tc>
          <w:tcPr>
            <w:tcW w:w="831" w:type="dxa"/>
          </w:tcPr>
          <w:p w14:paraId="05AB0026" w14:textId="77777777" w:rsidR="00D95A4A" w:rsidRPr="00C929B2" w:rsidRDefault="00D95A4A" w:rsidP="00DD337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-0.45</w:t>
            </w:r>
          </w:p>
        </w:tc>
        <w:tc>
          <w:tcPr>
            <w:tcW w:w="1209" w:type="dxa"/>
          </w:tcPr>
          <w:p w14:paraId="0C315314" w14:textId="77777777" w:rsidR="00D95A4A" w:rsidRPr="00C929B2" w:rsidRDefault="00D95A4A" w:rsidP="00DD337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-0.23</w:t>
            </w:r>
          </w:p>
        </w:tc>
        <w:tc>
          <w:tcPr>
            <w:tcW w:w="874" w:type="dxa"/>
          </w:tcPr>
          <w:p w14:paraId="5B4CCC41" w14:textId="77777777" w:rsidR="00D95A4A" w:rsidRPr="00C929B2" w:rsidRDefault="00D95A4A" w:rsidP="00DD337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0.34</w:t>
            </w:r>
          </w:p>
        </w:tc>
        <w:tc>
          <w:tcPr>
            <w:tcW w:w="831" w:type="dxa"/>
          </w:tcPr>
          <w:p w14:paraId="2C44B6FA" w14:textId="77777777" w:rsidR="00D95A4A" w:rsidRPr="00C929B2" w:rsidRDefault="00D95A4A" w:rsidP="00DD337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0.61</w:t>
            </w:r>
          </w:p>
        </w:tc>
        <w:tc>
          <w:tcPr>
            <w:tcW w:w="1008" w:type="dxa"/>
          </w:tcPr>
          <w:p w14:paraId="632C54BB" w14:textId="77777777" w:rsidR="00D95A4A" w:rsidRPr="00C929B2" w:rsidRDefault="00D95A4A" w:rsidP="00DD337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0.07</w:t>
            </w:r>
          </w:p>
        </w:tc>
        <w:tc>
          <w:tcPr>
            <w:tcW w:w="609" w:type="dxa"/>
          </w:tcPr>
          <w:p w14:paraId="36BB87D0" w14:textId="77777777" w:rsidR="00D95A4A" w:rsidRPr="00C929B2" w:rsidRDefault="00D95A4A" w:rsidP="00DD337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0.05</w:t>
            </w:r>
          </w:p>
        </w:tc>
        <w:tc>
          <w:tcPr>
            <w:tcW w:w="695" w:type="dxa"/>
          </w:tcPr>
          <w:p w14:paraId="53561665" w14:textId="77777777" w:rsidR="00D95A4A" w:rsidRPr="00C929B2" w:rsidRDefault="00D95A4A" w:rsidP="00DD337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0.06</w:t>
            </w:r>
          </w:p>
        </w:tc>
        <w:tc>
          <w:tcPr>
            <w:tcW w:w="743" w:type="dxa"/>
          </w:tcPr>
          <w:p w14:paraId="28A606BF" w14:textId="77777777" w:rsidR="00D95A4A" w:rsidRPr="00C929B2" w:rsidRDefault="00D95A4A" w:rsidP="00DD337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0.08</w:t>
            </w:r>
          </w:p>
        </w:tc>
        <w:tc>
          <w:tcPr>
            <w:tcW w:w="724" w:type="dxa"/>
          </w:tcPr>
          <w:p w14:paraId="045D9000" w14:textId="77777777" w:rsidR="00D95A4A" w:rsidRPr="00C929B2" w:rsidRDefault="00D95A4A" w:rsidP="00DD337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0.05</w:t>
            </w:r>
          </w:p>
        </w:tc>
        <w:tc>
          <w:tcPr>
            <w:tcW w:w="609" w:type="dxa"/>
          </w:tcPr>
          <w:p w14:paraId="146A15D6" w14:textId="77777777" w:rsidR="00D95A4A" w:rsidRPr="00C929B2" w:rsidRDefault="00D95A4A" w:rsidP="00DD337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9B2">
              <w:rPr>
                <w:rFonts w:ascii="Arial" w:hAnsi="Arial" w:cs="Arial"/>
              </w:rPr>
              <w:t>0.17</w:t>
            </w:r>
          </w:p>
        </w:tc>
      </w:tr>
      <w:tr w:rsidR="00D95A4A" w:rsidRPr="00C929B2" w14:paraId="7514E7AD" w14:textId="77777777" w:rsidTr="00DD337C">
        <w:tc>
          <w:tcPr>
            <w:cnfStyle w:val="001000000000" w:firstRow="0" w:lastRow="0" w:firstColumn="1" w:lastColumn="0" w:oddVBand="0" w:evenVBand="0" w:oddHBand="0" w:evenHBand="0" w:firstRowFirstColumn="0" w:firstRowLastColumn="0" w:lastRowFirstColumn="0" w:lastRowLastColumn="0"/>
            <w:tcW w:w="1054" w:type="dxa"/>
          </w:tcPr>
          <w:p w14:paraId="250BB0E1" w14:textId="77777777" w:rsidR="00D95A4A" w:rsidRPr="00C929B2" w:rsidRDefault="00D95A4A" w:rsidP="00DD337C">
            <w:pPr>
              <w:rPr>
                <w:rFonts w:ascii="Arial" w:hAnsi="Arial" w:cs="Arial"/>
              </w:rPr>
            </w:pPr>
            <w:r w:rsidRPr="00C929B2">
              <w:rPr>
                <w:rFonts w:ascii="Arial" w:hAnsi="Arial" w:cs="Arial"/>
              </w:rPr>
              <w:t>P</w:t>
            </w:r>
          </w:p>
        </w:tc>
        <w:tc>
          <w:tcPr>
            <w:tcW w:w="831" w:type="dxa"/>
          </w:tcPr>
          <w:p w14:paraId="4C8D5EA9" w14:textId="77777777" w:rsidR="00D95A4A" w:rsidRPr="00C929B2" w:rsidRDefault="00D95A4A" w:rsidP="00DD337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&lt;0.001</w:t>
            </w:r>
          </w:p>
        </w:tc>
        <w:tc>
          <w:tcPr>
            <w:tcW w:w="1209" w:type="dxa"/>
          </w:tcPr>
          <w:p w14:paraId="667558B4" w14:textId="77777777" w:rsidR="00D95A4A" w:rsidRPr="00C929B2" w:rsidRDefault="00D95A4A" w:rsidP="00DD337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0.001</w:t>
            </w:r>
          </w:p>
        </w:tc>
        <w:tc>
          <w:tcPr>
            <w:tcW w:w="874" w:type="dxa"/>
          </w:tcPr>
          <w:p w14:paraId="3ED8CD07" w14:textId="77777777" w:rsidR="00D95A4A" w:rsidRPr="00C929B2" w:rsidRDefault="00D95A4A" w:rsidP="00DD337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&lt;0.001</w:t>
            </w:r>
          </w:p>
        </w:tc>
        <w:tc>
          <w:tcPr>
            <w:tcW w:w="831" w:type="dxa"/>
          </w:tcPr>
          <w:p w14:paraId="1E3E6501" w14:textId="77777777" w:rsidR="00D95A4A" w:rsidRPr="00C929B2" w:rsidRDefault="00D95A4A" w:rsidP="00DD337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&lt;0.001</w:t>
            </w:r>
          </w:p>
        </w:tc>
        <w:tc>
          <w:tcPr>
            <w:tcW w:w="1008" w:type="dxa"/>
          </w:tcPr>
          <w:p w14:paraId="5AB59A93" w14:textId="77777777" w:rsidR="00D95A4A" w:rsidRPr="00C929B2" w:rsidRDefault="00D95A4A" w:rsidP="00DD337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0.31</w:t>
            </w:r>
          </w:p>
        </w:tc>
        <w:tc>
          <w:tcPr>
            <w:tcW w:w="609" w:type="dxa"/>
          </w:tcPr>
          <w:p w14:paraId="03F7D09F" w14:textId="77777777" w:rsidR="00D95A4A" w:rsidRPr="00C929B2" w:rsidRDefault="00D95A4A" w:rsidP="00DD337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0.94</w:t>
            </w:r>
          </w:p>
        </w:tc>
        <w:tc>
          <w:tcPr>
            <w:tcW w:w="695" w:type="dxa"/>
          </w:tcPr>
          <w:p w14:paraId="550B27B9" w14:textId="77777777" w:rsidR="00D95A4A" w:rsidRPr="00C929B2" w:rsidRDefault="00D95A4A" w:rsidP="00DD337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0.41</w:t>
            </w:r>
          </w:p>
        </w:tc>
        <w:tc>
          <w:tcPr>
            <w:tcW w:w="743" w:type="dxa"/>
          </w:tcPr>
          <w:p w14:paraId="27FFB462" w14:textId="77777777" w:rsidR="00D95A4A" w:rsidRPr="00C929B2" w:rsidRDefault="00D95A4A" w:rsidP="00DD337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0.26</w:t>
            </w:r>
          </w:p>
        </w:tc>
        <w:tc>
          <w:tcPr>
            <w:tcW w:w="724" w:type="dxa"/>
          </w:tcPr>
          <w:p w14:paraId="17B7D4B8" w14:textId="77777777" w:rsidR="00D95A4A" w:rsidRPr="00C929B2" w:rsidRDefault="00D95A4A" w:rsidP="00DD337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0.49</w:t>
            </w:r>
          </w:p>
        </w:tc>
        <w:tc>
          <w:tcPr>
            <w:tcW w:w="609" w:type="dxa"/>
          </w:tcPr>
          <w:p w14:paraId="02684467" w14:textId="77777777" w:rsidR="00D95A4A" w:rsidRPr="00C929B2" w:rsidRDefault="00D95A4A" w:rsidP="00DD337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929B2">
              <w:rPr>
                <w:rFonts w:ascii="Arial" w:hAnsi="Arial" w:cs="Arial"/>
              </w:rPr>
              <w:t>0.01</w:t>
            </w:r>
          </w:p>
        </w:tc>
      </w:tr>
    </w:tbl>
    <w:p w14:paraId="3E08C3E6" w14:textId="77777777" w:rsidR="00D95A4A" w:rsidRPr="00C929B2" w:rsidRDefault="00D95A4A" w:rsidP="00D95A4A">
      <w:pPr>
        <w:spacing w:line="240" w:lineRule="auto"/>
        <w:jc w:val="left"/>
        <w:rPr>
          <w:rFonts w:ascii="Arial" w:hAnsi="Arial" w:cs="Arial"/>
        </w:rPr>
      </w:pPr>
    </w:p>
    <w:p w14:paraId="02D4A36D" w14:textId="564BB71F" w:rsidR="002B4A86" w:rsidRPr="00C929B2" w:rsidRDefault="00D95A4A" w:rsidP="00D95A4A">
      <w:pPr>
        <w:spacing w:line="360" w:lineRule="auto"/>
        <w:rPr>
          <w:rFonts w:ascii="Arial" w:hAnsi="Arial" w:cs="Arial"/>
        </w:rPr>
      </w:pPr>
      <w:r w:rsidRPr="00C929B2">
        <w:rPr>
          <w:rFonts w:ascii="Arial" w:hAnsi="Arial" w:cs="Arial"/>
        </w:rPr>
        <w:t xml:space="preserve">The values are based on Spearman’s rank correlation test. Abbreviations: </w:t>
      </w:r>
      <w:r w:rsidR="004565DE">
        <w:rPr>
          <w:rFonts w:ascii="Arial" w:hAnsi="Arial" w:cs="Arial"/>
        </w:rPr>
        <w:t xml:space="preserve">TF, transferrin; </w:t>
      </w:r>
      <w:r w:rsidRPr="00C929B2">
        <w:rPr>
          <w:rFonts w:ascii="Arial" w:hAnsi="Arial" w:cs="Arial"/>
        </w:rPr>
        <w:t>TSAT</w:t>
      </w:r>
      <w:r w:rsidR="004565DE">
        <w:rPr>
          <w:rFonts w:ascii="Arial" w:hAnsi="Arial" w:cs="Arial"/>
        </w:rPr>
        <w:t>,</w:t>
      </w:r>
      <w:r w:rsidRPr="00C929B2">
        <w:rPr>
          <w:rFonts w:ascii="Arial" w:hAnsi="Arial" w:cs="Arial"/>
        </w:rPr>
        <w:t xml:space="preserve"> transferrin saturation; sTfR</w:t>
      </w:r>
      <w:r w:rsidR="004565DE">
        <w:rPr>
          <w:rFonts w:ascii="Arial" w:hAnsi="Arial" w:cs="Arial"/>
        </w:rPr>
        <w:t>,</w:t>
      </w:r>
      <w:r w:rsidRPr="00C929B2">
        <w:rPr>
          <w:rFonts w:ascii="Arial" w:hAnsi="Arial" w:cs="Arial"/>
        </w:rPr>
        <w:t xml:space="preserve"> soluble transferrin receptor; </w:t>
      </w:r>
      <w:r w:rsidR="004565DE">
        <w:rPr>
          <w:rFonts w:ascii="Arial" w:hAnsi="Arial" w:cs="Arial"/>
        </w:rPr>
        <w:t xml:space="preserve">PCT, procalcitonine; </w:t>
      </w:r>
      <w:r w:rsidRPr="00C929B2">
        <w:rPr>
          <w:rFonts w:ascii="Arial" w:hAnsi="Arial" w:cs="Arial"/>
        </w:rPr>
        <w:t>MELD</w:t>
      </w:r>
      <w:r w:rsidR="004565DE">
        <w:rPr>
          <w:rFonts w:ascii="Arial" w:hAnsi="Arial" w:cs="Arial"/>
        </w:rPr>
        <w:t>,</w:t>
      </w:r>
      <w:r w:rsidRPr="00C929B2">
        <w:rPr>
          <w:rFonts w:ascii="Arial" w:hAnsi="Arial" w:cs="Arial"/>
        </w:rPr>
        <w:t xml:space="preserve"> model for end-stage liver disease; GAHS</w:t>
      </w:r>
      <w:r w:rsidR="004565DE">
        <w:rPr>
          <w:rFonts w:ascii="Arial" w:hAnsi="Arial" w:cs="Arial"/>
        </w:rPr>
        <w:t>,</w:t>
      </w:r>
      <w:r w:rsidRPr="00C929B2">
        <w:rPr>
          <w:rFonts w:ascii="Arial" w:hAnsi="Arial" w:cs="Arial"/>
        </w:rPr>
        <w:t xml:space="preserve"> Glasgow alcoholic hepatitis score; DF</w:t>
      </w:r>
      <w:r w:rsidR="004565DE">
        <w:rPr>
          <w:rFonts w:ascii="Arial" w:hAnsi="Arial" w:cs="Arial"/>
        </w:rPr>
        <w:t>,</w:t>
      </w:r>
      <w:r w:rsidRPr="00C929B2">
        <w:rPr>
          <w:rFonts w:ascii="Arial" w:hAnsi="Arial" w:cs="Arial"/>
        </w:rPr>
        <w:t xml:space="preserve"> Discriminant function. </w:t>
      </w:r>
    </w:p>
    <w:sectPr w:rsidR="002B4A86" w:rsidRPr="00C929B2" w:rsidSect="00D95A4A">
      <w:footerReference w:type="default" r:id="rId10"/>
      <w:pgSz w:w="11900" w:h="16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97F16" w14:textId="77777777" w:rsidR="009222FA" w:rsidRDefault="009222FA" w:rsidP="00A33264">
      <w:pPr>
        <w:spacing w:line="240" w:lineRule="auto"/>
      </w:pPr>
      <w:r>
        <w:separator/>
      </w:r>
    </w:p>
  </w:endnote>
  <w:endnote w:type="continuationSeparator" w:id="0">
    <w:p w14:paraId="7C9CB44F" w14:textId="77777777" w:rsidR="009222FA" w:rsidRDefault="009222FA" w:rsidP="00A332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609636"/>
      <w:docPartObj>
        <w:docPartGallery w:val="Page Numbers (Bottom of Page)"/>
        <w:docPartUnique/>
      </w:docPartObj>
    </w:sdtPr>
    <w:sdtEndPr/>
    <w:sdtContent>
      <w:p w14:paraId="4F808830" w14:textId="0FEB1A36" w:rsidR="001F54B7" w:rsidRDefault="001F54B7">
        <w:pPr>
          <w:pStyle w:val="Fuzeile"/>
          <w:jc w:val="center"/>
        </w:pPr>
        <w:r>
          <w:fldChar w:fldCharType="begin"/>
        </w:r>
        <w:r>
          <w:instrText>PAGE   \* MERGEFORMAT</w:instrText>
        </w:r>
        <w:r>
          <w:fldChar w:fldCharType="separate"/>
        </w:r>
        <w:r w:rsidR="00C76352" w:rsidRPr="00C76352">
          <w:rPr>
            <w:noProof/>
            <w:lang w:val="de-DE"/>
          </w:rPr>
          <w:t>17</w:t>
        </w:r>
        <w:r>
          <w:fldChar w:fldCharType="end"/>
        </w:r>
      </w:p>
    </w:sdtContent>
  </w:sdt>
  <w:p w14:paraId="10F569FD" w14:textId="77777777" w:rsidR="001F54B7" w:rsidRDefault="001F54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130117"/>
      <w:docPartObj>
        <w:docPartGallery w:val="Page Numbers (Bottom of Page)"/>
        <w:docPartUnique/>
      </w:docPartObj>
    </w:sdtPr>
    <w:sdtEndPr/>
    <w:sdtContent>
      <w:p w14:paraId="5345420A" w14:textId="71DE5BFC" w:rsidR="001F54B7" w:rsidRDefault="001F54B7">
        <w:pPr>
          <w:pStyle w:val="Fuzeile"/>
          <w:jc w:val="center"/>
        </w:pPr>
        <w:r>
          <w:fldChar w:fldCharType="begin"/>
        </w:r>
        <w:r>
          <w:instrText>PAGE   \* MERGEFORMAT</w:instrText>
        </w:r>
        <w:r>
          <w:fldChar w:fldCharType="separate"/>
        </w:r>
        <w:r w:rsidR="00C76352" w:rsidRPr="00C76352">
          <w:rPr>
            <w:noProof/>
            <w:lang w:val="de-DE"/>
          </w:rPr>
          <w:t>20</w:t>
        </w:r>
        <w:r>
          <w:fldChar w:fldCharType="end"/>
        </w:r>
      </w:p>
    </w:sdtContent>
  </w:sdt>
  <w:p w14:paraId="53110829" w14:textId="77777777" w:rsidR="001F54B7" w:rsidRDefault="001F54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56BF3" w14:textId="77777777" w:rsidR="009222FA" w:rsidRDefault="009222FA" w:rsidP="00A33264">
      <w:pPr>
        <w:spacing w:line="240" w:lineRule="auto"/>
      </w:pPr>
      <w:r>
        <w:separator/>
      </w:r>
    </w:p>
  </w:footnote>
  <w:footnote w:type="continuationSeparator" w:id="0">
    <w:p w14:paraId="625FB59C" w14:textId="77777777" w:rsidR="009222FA" w:rsidRDefault="009222FA" w:rsidP="00A3326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5x2t5f6x9aaue2fa8p229aepzrzxwvpa9z&quot;&gt;EndNoteLibrary_Research-Saved&lt;record-ids&gt;&lt;item&gt;426&lt;/item&gt;&lt;item&gt;15856&lt;/item&gt;&lt;item&gt;15981&lt;/item&gt;&lt;/record-ids&gt;&lt;/item&gt;&lt;/Libraries&gt;"/>
  </w:docVars>
  <w:rsids>
    <w:rsidRoot w:val="008D1664"/>
    <w:rsid w:val="000673F0"/>
    <w:rsid w:val="000B0FCB"/>
    <w:rsid w:val="000B3DE8"/>
    <w:rsid w:val="000C1245"/>
    <w:rsid w:val="000D614E"/>
    <w:rsid w:val="00140686"/>
    <w:rsid w:val="00157F3F"/>
    <w:rsid w:val="00186963"/>
    <w:rsid w:val="001F1F01"/>
    <w:rsid w:val="001F3B98"/>
    <w:rsid w:val="001F54B7"/>
    <w:rsid w:val="0025257E"/>
    <w:rsid w:val="00253211"/>
    <w:rsid w:val="00257A0D"/>
    <w:rsid w:val="002717E0"/>
    <w:rsid w:val="0029580C"/>
    <w:rsid w:val="002B4A86"/>
    <w:rsid w:val="002C02DF"/>
    <w:rsid w:val="002D6232"/>
    <w:rsid w:val="002F115B"/>
    <w:rsid w:val="00300527"/>
    <w:rsid w:val="00305BFE"/>
    <w:rsid w:val="0038120F"/>
    <w:rsid w:val="003922E1"/>
    <w:rsid w:val="003A5273"/>
    <w:rsid w:val="003B33AC"/>
    <w:rsid w:val="003E1556"/>
    <w:rsid w:val="004565DE"/>
    <w:rsid w:val="0048608E"/>
    <w:rsid w:val="00496C70"/>
    <w:rsid w:val="00496CBC"/>
    <w:rsid w:val="004D3692"/>
    <w:rsid w:val="004E0737"/>
    <w:rsid w:val="0050622E"/>
    <w:rsid w:val="00527C43"/>
    <w:rsid w:val="0055113B"/>
    <w:rsid w:val="00571657"/>
    <w:rsid w:val="00582F4B"/>
    <w:rsid w:val="00641625"/>
    <w:rsid w:val="006D6DF6"/>
    <w:rsid w:val="006D7557"/>
    <w:rsid w:val="0076636C"/>
    <w:rsid w:val="0078152D"/>
    <w:rsid w:val="007E0072"/>
    <w:rsid w:val="00821626"/>
    <w:rsid w:val="0082345F"/>
    <w:rsid w:val="0086087D"/>
    <w:rsid w:val="00895572"/>
    <w:rsid w:val="008A2366"/>
    <w:rsid w:val="008A3ED2"/>
    <w:rsid w:val="008D1664"/>
    <w:rsid w:val="008E3304"/>
    <w:rsid w:val="00912867"/>
    <w:rsid w:val="009222FA"/>
    <w:rsid w:val="00924D57"/>
    <w:rsid w:val="00927CC7"/>
    <w:rsid w:val="009A43D8"/>
    <w:rsid w:val="009B5CFA"/>
    <w:rsid w:val="00A33264"/>
    <w:rsid w:val="00A36B2F"/>
    <w:rsid w:val="00A54DAF"/>
    <w:rsid w:val="00A6238E"/>
    <w:rsid w:val="00A63A3E"/>
    <w:rsid w:val="00AD7F39"/>
    <w:rsid w:val="00B103E6"/>
    <w:rsid w:val="00B3225D"/>
    <w:rsid w:val="00B51B39"/>
    <w:rsid w:val="00B57507"/>
    <w:rsid w:val="00B810AA"/>
    <w:rsid w:val="00BB4193"/>
    <w:rsid w:val="00BD4C03"/>
    <w:rsid w:val="00C749EB"/>
    <w:rsid w:val="00C76352"/>
    <w:rsid w:val="00C929B2"/>
    <w:rsid w:val="00C975EF"/>
    <w:rsid w:val="00CD0B88"/>
    <w:rsid w:val="00CD40DA"/>
    <w:rsid w:val="00CD51EB"/>
    <w:rsid w:val="00D1156E"/>
    <w:rsid w:val="00D250F2"/>
    <w:rsid w:val="00D31F54"/>
    <w:rsid w:val="00D6240B"/>
    <w:rsid w:val="00D95A4A"/>
    <w:rsid w:val="00DA4E3F"/>
    <w:rsid w:val="00DD337C"/>
    <w:rsid w:val="00DE5EBE"/>
    <w:rsid w:val="00E2038B"/>
    <w:rsid w:val="00E26066"/>
    <w:rsid w:val="00E30C4E"/>
    <w:rsid w:val="00E405EC"/>
    <w:rsid w:val="00E516C9"/>
    <w:rsid w:val="00EA09B6"/>
    <w:rsid w:val="00EA19AF"/>
    <w:rsid w:val="00EA1A35"/>
    <w:rsid w:val="00EB3621"/>
    <w:rsid w:val="00F138E1"/>
    <w:rsid w:val="00F45F63"/>
    <w:rsid w:val="00F575D6"/>
    <w:rsid w:val="00F60D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A5DF"/>
  <w15:docId w15:val="{AED8330A-C41F-4C9F-8E2E-FF6B4C70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5A4A"/>
    <w:pPr>
      <w:spacing w:after="0" w:line="480" w:lineRule="auto"/>
      <w:jc w:val="both"/>
    </w:pPr>
    <w:rPr>
      <w:sz w:val="24"/>
      <w:szCs w:val="24"/>
      <w:lang w:val="en-GB"/>
    </w:rPr>
  </w:style>
  <w:style w:type="paragraph" w:styleId="berschrift1">
    <w:name w:val="heading 1"/>
    <w:basedOn w:val="Standard"/>
    <w:next w:val="Standard"/>
    <w:link w:val="berschrift1Zchn"/>
    <w:uiPriority w:val="9"/>
    <w:qFormat/>
    <w:rsid w:val="00D95A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unhideWhenUsed/>
    <w:qFormat/>
    <w:rsid w:val="003A5273"/>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95A4A"/>
    <w:rPr>
      <w:rFonts w:asciiTheme="majorHAnsi" w:eastAsiaTheme="majorEastAsia" w:hAnsiTheme="majorHAnsi" w:cstheme="majorBidi"/>
      <w:color w:val="2F5496" w:themeColor="accent1" w:themeShade="BF"/>
      <w:sz w:val="32"/>
      <w:szCs w:val="32"/>
      <w:lang w:val="en-GB"/>
    </w:rPr>
  </w:style>
  <w:style w:type="table" w:customStyle="1" w:styleId="GridTable4-Accent11">
    <w:name w:val="Grid Table 4 - Accent 11"/>
    <w:basedOn w:val="NormaleTabelle"/>
    <w:uiPriority w:val="49"/>
    <w:rsid w:val="00D95A4A"/>
    <w:pPr>
      <w:spacing w:after="0" w:line="240" w:lineRule="auto"/>
    </w:pPr>
    <w:rPr>
      <w:sz w:val="24"/>
      <w:szCs w:val="24"/>
      <w:lang w:val="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Kommentarzeichen">
    <w:name w:val="annotation reference"/>
    <w:basedOn w:val="Absatz-Standardschriftart"/>
    <w:uiPriority w:val="99"/>
    <w:unhideWhenUsed/>
    <w:rsid w:val="00D95A4A"/>
    <w:rPr>
      <w:sz w:val="16"/>
      <w:szCs w:val="16"/>
    </w:rPr>
  </w:style>
  <w:style w:type="paragraph" w:styleId="Kommentartext">
    <w:name w:val="annotation text"/>
    <w:basedOn w:val="Standard"/>
    <w:link w:val="KommentartextZchn"/>
    <w:uiPriority w:val="99"/>
    <w:unhideWhenUsed/>
    <w:rsid w:val="00D95A4A"/>
    <w:pPr>
      <w:spacing w:line="240" w:lineRule="auto"/>
    </w:pPr>
    <w:rPr>
      <w:sz w:val="20"/>
      <w:szCs w:val="20"/>
    </w:rPr>
  </w:style>
  <w:style w:type="character" w:customStyle="1" w:styleId="KommentartextZchn">
    <w:name w:val="Kommentartext Zchn"/>
    <w:basedOn w:val="Absatz-Standardschriftart"/>
    <w:link w:val="Kommentartext"/>
    <w:uiPriority w:val="99"/>
    <w:rsid w:val="00D95A4A"/>
    <w:rPr>
      <w:sz w:val="20"/>
      <w:szCs w:val="20"/>
      <w:lang w:val="en-GB"/>
    </w:rPr>
  </w:style>
  <w:style w:type="table" w:customStyle="1" w:styleId="Gitternetztabelle4Akzent11">
    <w:name w:val="Gitternetztabelle 4 – Akzent 11"/>
    <w:basedOn w:val="NormaleTabelle"/>
    <w:uiPriority w:val="49"/>
    <w:rsid w:val="00D95A4A"/>
    <w:pPr>
      <w:spacing w:after="0" w:line="240" w:lineRule="auto"/>
    </w:pPr>
    <w:rPr>
      <w:sz w:val="24"/>
      <w:szCs w:val="24"/>
      <w:lang w:val="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ervorhebung">
    <w:name w:val="Emphasis"/>
    <w:qFormat/>
    <w:rsid w:val="00D95A4A"/>
    <w:rPr>
      <w:i/>
      <w:iCs/>
    </w:rPr>
  </w:style>
  <w:style w:type="character" w:customStyle="1" w:styleId="searchresultsdatabodygc">
    <w:name w:val="search_results_data_body_gc"/>
    <w:basedOn w:val="Absatz-Standardschriftart"/>
    <w:rsid w:val="00D95A4A"/>
  </w:style>
  <w:style w:type="paragraph" w:styleId="Sprechblasentext">
    <w:name w:val="Balloon Text"/>
    <w:basedOn w:val="Standard"/>
    <w:link w:val="SprechblasentextZchn"/>
    <w:uiPriority w:val="99"/>
    <w:semiHidden/>
    <w:unhideWhenUsed/>
    <w:rsid w:val="00D95A4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5A4A"/>
    <w:rPr>
      <w:rFonts w:ascii="Segoe UI" w:hAnsi="Segoe UI" w:cs="Segoe UI"/>
      <w:sz w:val="18"/>
      <w:szCs w:val="18"/>
      <w:lang w:val="en-GB"/>
    </w:rPr>
  </w:style>
  <w:style w:type="character" w:styleId="Zeilennummer">
    <w:name w:val="line number"/>
    <w:basedOn w:val="Absatz-Standardschriftart"/>
    <w:uiPriority w:val="99"/>
    <w:semiHidden/>
    <w:unhideWhenUsed/>
    <w:rsid w:val="00D95A4A"/>
  </w:style>
  <w:style w:type="paragraph" w:styleId="Kommentarthema">
    <w:name w:val="annotation subject"/>
    <w:basedOn w:val="Kommentartext"/>
    <w:next w:val="Kommentartext"/>
    <w:link w:val="KommentarthemaZchn"/>
    <w:uiPriority w:val="99"/>
    <w:semiHidden/>
    <w:unhideWhenUsed/>
    <w:rsid w:val="00B3225D"/>
    <w:rPr>
      <w:b/>
      <w:bCs/>
    </w:rPr>
  </w:style>
  <w:style w:type="character" w:customStyle="1" w:styleId="KommentarthemaZchn">
    <w:name w:val="Kommentarthema Zchn"/>
    <w:basedOn w:val="KommentartextZchn"/>
    <w:link w:val="Kommentarthema"/>
    <w:uiPriority w:val="99"/>
    <w:semiHidden/>
    <w:rsid w:val="00B3225D"/>
    <w:rPr>
      <w:b/>
      <w:bCs/>
      <w:sz w:val="20"/>
      <w:szCs w:val="20"/>
      <w:lang w:val="en-GB"/>
    </w:rPr>
  </w:style>
  <w:style w:type="character" w:customStyle="1" w:styleId="berschrift3Zchn">
    <w:name w:val="Überschrift 3 Zchn"/>
    <w:basedOn w:val="Absatz-Standardschriftart"/>
    <w:link w:val="berschrift3"/>
    <w:uiPriority w:val="9"/>
    <w:rsid w:val="003A5273"/>
    <w:rPr>
      <w:rFonts w:asciiTheme="majorHAnsi" w:eastAsiaTheme="majorEastAsia" w:hAnsiTheme="majorHAnsi" w:cstheme="majorBidi"/>
      <w:color w:val="1F3763" w:themeColor="accent1" w:themeShade="7F"/>
      <w:sz w:val="24"/>
      <w:szCs w:val="24"/>
      <w:lang w:val="en-GB"/>
    </w:rPr>
  </w:style>
  <w:style w:type="paragraph" w:styleId="Listenabsatz">
    <w:name w:val="List Paragraph"/>
    <w:basedOn w:val="Standard"/>
    <w:uiPriority w:val="34"/>
    <w:qFormat/>
    <w:rsid w:val="00BD4C03"/>
    <w:pPr>
      <w:ind w:left="720"/>
      <w:contextualSpacing/>
    </w:pPr>
  </w:style>
  <w:style w:type="paragraph" w:customStyle="1" w:styleId="EndNoteBibliography">
    <w:name w:val="EndNote Bibliography"/>
    <w:basedOn w:val="Standard"/>
    <w:link w:val="EndNoteBibliographyChar"/>
    <w:rsid w:val="00305BFE"/>
    <w:pPr>
      <w:spacing w:line="240" w:lineRule="auto"/>
      <w:jc w:val="left"/>
    </w:pPr>
    <w:rPr>
      <w:rFonts w:ascii="Times New Roman" w:eastAsia="Times New Roman" w:hAnsi="Times New Roman" w:cs="Times New Roman"/>
      <w:lang w:val="en-US"/>
    </w:rPr>
  </w:style>
  <w:style w:type="character" w:customStyle="1" w:styleId="EndNoteBibliographyChar">
    <w:name w:val="EndNote Bibliography Char"/>
    <w:basedOn w:val="Absatz-Standardschriftart"/>
    <w:link w:val="EndNoteBibliography"/>
    <w:rsid w:val="00305BFE"/>
    <w:rPr>
      <w:rFonts w:ascii="Times New Roman" w:eastAsia="Times New Roman" w:hAnsi="Times New Roman" w:cs="Times New Roman"/>
      <w:sz w:val="24"/>
      <w:szCs w:val="24"/>
      <w:lang w:val="en-US"/>
    </w:rPr>
  </w:style>
  <w:style w:type="character" w:styleId="Hyperlink">
    <w:name w:val="Hyperlink"/>
    <w:basedOn w:val="Absatz-Standardschriftart"/>
    <w:uiPriority w:val="99"/>
    <w:unhideWhenUsed/>
    <w:rsid w:val="00305BFE"/>
    <w:rPr>
      <w:color w:val="0563C1" w:themeColor="hyperlink"/>
      <w:u w:val="single"/>
    </w:rPr>
  </w:style>
  <w:style w:type="character" w:styleId="BesuchterLink">
    <w:name w:val="FollowedHyperlink"/>
    <w:basedOn w:val="Absatz-Standardschriftart"/>
    <w:uiPriority w:val="99"/>
    <w:semiHidden/>
    <w:unhideWhenUsed/>
    <w:rsid w:val="00305BFE"/>
    <w:rPr>
      <w:color w:val="954F72" w:themeColor="followedHyperlink"/>
      <w:u w:val="single"/>
    </w:rPr>
  </w:style>
  <w:style w:type="paragraph" w:customStyle="1" w:styleId="EndNoteBibliographyTitle">
    <w:name w:val="EndNote Bibliography Title"/>
    <w:basedOn w:val="Standard"/>
    <w:link w:val="EndNoteBibliographyTitleChar"/>
    <w:rsid w:val="00E26066"/>
    <w:pPr>
      <w:jc w:val="center"/>
    </w:pPr>
    <w:rPr>
      <w:rFonts w:ascii="Times New Roman" w:hAnsi="Times New Roman" w:cs="Times New Roman"/>
      <w:lang w:val="en-US"/>
    </w:rPr>
  </w:style>
  <w:style w:type="character" w:customStyle="1" w:styleId="EndNoteBibliographyTitleChar">
    <w:name w:val="EndNote Bibliography Title Char"/>
    <w:basedOn w:val="Absatz-Standardschriftart"/>
    <w:link w:val="EndNoteBibliographyTitle"/>
    <w:rsid w:val="00E26066"/>
    <w:rPr>
      <w:rFonts w:ascii="Times New Roman" w:hAnsi="Times New Roman" w:cs="Times New Roman"/>
      <w:sz w:val="24"/>
      <w:szCs w:val="24"/>
      <w:lang w:val="en-US"/>
    </w:rPr>
  </w:style>
  <w:style w:type="paragraph" w:styleId="Kopfzeile">
    <w:name w:val="header"/>
    <w:basedOn w:val="Standard"/>
    <w:link w:val="KopfzeileZchn"/>
    <w:uiPriority w:val="99"/>
    <w:unhideWhenUsed/>
    <w:rsid w:val="00A3326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3264"/>
    <w:rPr>
      <w:sz w:val="24"/>
      <w:szCs w:val="24"/>
      <w:lang w:val="en-GB"/>
    </w:rPr>
  </w:style>
  <w:style w:type="paragraph" w:styleId="Fuzeile">
    <w:name w:val="footer"/>
    <w:basedOn w:val="Standard"/>
    <w:link w:val="FuzeileZchn"/>
    <w:uiPriority w:val="99"/>
    <w:unhideWhenUsed/>
    <w:rsid w:val="00A3326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3264"/>
    <w:rPr>
      <w:sz w:val="24"/>
      <w:szCs w:val="24"/>
      <w:lang w:val="en-GB"/>
    </w:rPr>
  </w:style>
  <w:style w:type="table" w:styleId="Tabellenraster">
    <w:name w:val="Table Grid"/>
    <w:basedOn w:val="NormaleTabelle"/>
    <w:uiPriority w:val="39"/>
    <w:rsid w:val="00F45F63"/>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94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3268A-9FAB-4BBA-B7DE-5C5C45B6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1364</Words>
  <Characters>8596</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Karim Hamesch</dc:creator>
  <cp:lastModifiedBy>K H</cp:lastModifiedBy>
  <cp:revision>2</cp:revision>
  <cp:lastPrinted>2019-01-01T17:35:00Z</cp:lastPrinted>
  <dcterms:created xsi:type="dcterms:W3CDTF">2019-09-03T16:16:00Z</dcterms:created>
  <dcterms:modified xsi:type="dcterms:W3CDTF">2019-09-03T16:16:00Z</dcterms:modified>
</cp:coreProperties>
</file>