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D3" w:rsidRPr="005B067A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Table S1: Sensitivity analysis for the outcome of all-cause mortality, excluding patients who received </w:t>
      </w:r>
      <w:proofErr w:type="spellStart"/>
      <w:r>
        <w:rPr>
          <w:rFonts w:ascii="Arial Narrow" w:hAnsi="Arial Narrow"/>
          <w:sz w:val="18"/>
          <w:szCs w:val="18"/>
        </w:rPr>
        <w:t>ursodeoxycholic</w:t>
      </w:r>
      <w:proofErr w:type="spellEnd"/>
      <w:r>
        <w:rPr>
          <w:rFonts w:ascii="Arial Narrow" w:hAnsi="Arial Narrow"/>
          <w:sz w:val="18"/>
          <w:szCs w:val="18"/>
        </w:rPr>
        <w:t xml:space="preserve"> acid (UDCA) treatment prior to 2006—patient demographic and clinical characteristics by treatment status before and after inverse probability of treatment weighting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697"/>
        <w:gridCol w:w="1122"/>
        <w:gridCol w:w="1030"/>
        <w:gridCol w:w="846"/>
        <w:gridCol w:w="962"/>
        <w:gridCol w:w="990"/>
        <w:gridCol w:w="810"/>
      </w:tblGrid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Variable</w:t>
            </w:r>
          </w:p>
        </w:tc>
        <w:tc>
          <w:tcPr>
            <w:tcW w:w="1697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Response</w:t>
            </w:r>
          </w:p>
        </w:tc>
        <w:tc>
          <w:tcPr>
            <w:tcW w:w="2152" w:type="dxa"/>
            <w:gridSpan w:val="2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Unweighted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Abs standard diff</w:t>
            </w:r>
            <w:r>
              <w:rPr>
                <w:rFonts w:ascii="Arial Narrow" w:hAnsi="Arial Narrow"/>
                <w:sz w:val="16"/>
                <w:szCs w:val="18"/>
              </w:rPr>
              <w:t>erence</w:t>
            </w:r>
          </w:p>
        </w:tc>
        <w:tc>
          <w:tcPr>
            <w:tcW w:w="1952" w:type="dxa"/>
            <w:gridSpan w:val="2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Weighted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Abs standard diff</w:t>
            </w:r>
            <w:r>
              <w:rPr>
                <w:rFonts w:ascii="Arial Narrow" w:hAnsi="Arial Narrow"/>
                <w:sz w:val="16"/>
                <w:szCs w:val="18"/>
              </w:rPr>
              <w:t>erence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Untreated</w:t>
            </w:r>
          </w:p>
        </w:tc>
        <w:tc>
          <w:tcPr>
            <w:tcW w:w="1030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Treated</w:t>
            </w:r>
          </w:p>
        </w:tc>
        <w:tc>
          <w:tcPr>
            <w:tcW w:w="846" w:type="dxa"/>
            <w:vMerge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Untreated</w:t>
            </w:r>
          </w:p>
        </w:tc>
        <w:tc>
          <w:tcPr>
            <w:tcW w:w="990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Treated</w:t>
            </w:r>
          </w:p>
        </w:tc>
        <w:tc>
          <w:tcPr>
            <w:tcW w:w="810" w:type="dxa"/>
            <w:vMerge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988)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2150)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988)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2150)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US Census region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Midwest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119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462 (21%)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(19%)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0.047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Northeast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 (6%)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145 (7%)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South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256 (26%)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231 (11%)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554 (56%)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1312 (61%)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Gender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Women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765 (77%)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1866 (87%)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(84%)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0.013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223 (23%)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284 (13%)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Race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ASINPI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598 (61%)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1430 (67%)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(65%)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0.043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Black/ African American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129 (13%)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154 (7%)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White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 (6%)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173 (8%)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198 (20%)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393 (18%)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Hispanic eth</w:t>
            </w:r>
            <w:r w:rsidRPr="005B067A">
              <w:rPr>
                <w:rFonts w:ascii="Arial Narrow" w:hAnsi="Arial Narrow"/>
                <w:sz w:val="16"/>
                <w:szCs w:val="18"/>
              </w:rPr>
              <w:t>nicity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Yes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672 (68%)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1433 (67%)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(67%)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0.039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204 (21%)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526 (24%)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(23%)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112 (11%)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191 (9%)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Age at index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≤40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73 (7%)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161 (7%)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0.043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41–50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123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365 (17%)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51–60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279 (28%)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659 (31%)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61–70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262 (27%)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591 (27%)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&gt;70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251 (25%)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374 (17%)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 xml:space="preserve">Insurance 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Medicaid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 (5%)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99 (5%)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0.05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Medicare Plus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403 (41%)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687 (32%)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Private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510 (52%)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1288 (60%)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 (2%)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 (4%)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 xml:space="preserve">Household Income 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$30K</w:t>
            </w:r>
            <w:r w:rsidRPr="005B067A">
              <w:rPr>
                <w:rFonts w:ascii="Arial Narrow" w:hAnsi="Arial Narrow"/>
                <w:sz w:val="16"/>
                <w:szCs w:val="18"/>
              </w:rPr>
              <w:t>&lt;$50K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259 (26%)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594 (28%)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(27%)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0.053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$50K&lt;$75K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298 (30%)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616 (29%)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≥</w:t>
            </w:r>
            <w:r w:rsidRPr="005B067A">
              <w:rPr>
                <w:rFonts w:ascii="Arial Narrow" w:hAnsi="Arial Narrow"/>
                <w:sz w:val="16"/>
                <w:szCs w:val="18"/>
              </w:rPr>
              <w:t>$75K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356 (36%)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828 (39%)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(38%)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Missing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 (8%)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112 (5%)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sz w:val="16"/>
                <w:szCs w:val="18"/>
              </w:rPr>
              <w:t>C</w:t>
            </w:r>
            <w:r w:rsidRPr="005B067A">
              <w:rPr>
                <w:rFonts w:ascii="Arial Narrow" w:hAnsi="Arial Narrow"/>
                <w:sz w:val="16"/>
                <w:szCs w:val="18"/>
              </w:rPr>
              <w:t>harlson</w:t>
            </w:r>
            <w:r>
              <w:rPr>
                <w:rFonts w:ascii="Arial Narrow" w:hAnsi="Arial Narrow"/>
                <w:sz w:val="16"/>
                <w:szCs w:val="18"/>
              </w:rPr>
              <w:t>-Deyo</w:t>
            </w:r>
            <w:proofErr w:type="spellEnd"/>
            <w:r w:rsidRPr="005B067A">
              <w:rPr>
                <w:rFonts w:ascii="Arial Narrow" w:hAnsi="Arial Narrow"/>
                <w:sz w:val="16"/>
                <w:szCs w:val="18"/>
              </w:rPr>
              <w:t xml:space="preserve"> comorbidity index</w:t>
            </w:r>
            <w:r>
              <w:rPr>
                <w:rFonts w:ascii="Arial Narrow" w:hAnsi="Arial Narrow"/>
                <w:sz w:val="16"/>
                <w:szCs w:val="18"/>
              </w:rPr>
              <w:t>*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455 (46%)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1276 (59%)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(55%)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0.024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210 (21%)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407 (19%)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323 (33%)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467 (22%)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Alkaline phosphatase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Normal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251 (25%)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374 (17%)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0.039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[1,2)*ULN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392 (40%)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775 (36%)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[2,3)*ULN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114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348 (16%)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≥3*ULN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110 (11%)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384 (18%)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269 (13%)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(12%)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Albumin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Normal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461 (47%)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1161 (54%)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(51%)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0.024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&lt;LLN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310 (31%)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467 (22%)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217 (22%)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522 (24%)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(24%)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Total Bilirubin</w:t>
            </w:r>
            <w:r>
              <w:rPr>
                <w:rFonts w:ascii="Arial Narrow" w:hAnsi="Arial Narrow"/>
                <w:sz w:val="16"/>
                <w:szCs w:val="18"/>
              </w:rPr>
              <w:t xml:space="preserve"> (</w:t>
            </w:r>
            <w:r w:rsidRPr="005B067A">
              <w:rPr>
                <w:rFonts w:ascii="Arial Narrow" w:hAnsi="Arial Narrow"/>
                <w:sz w:val="16"/>
                <w:szCs w:val="18"/>
              </w:rPr>
              <w:t>mg/</w:t>
            </w:r>
            <w:proofErr w:type="spellStart"/>
            <w:r w:rsidRPr="005B067A">
              <w:rPr>
                <w:rFonts w:ascii="Arial Narrow" w:hAnsi="Arial Narrow"/>
                <w:sz w:val="16"/>
                <w:szCs w:val="18"/>
              </w:rPr>
              <w:t>dL</w:t>
            </w:r>
            <w:proofErr w:type="spellEnd"/>
            <w:r w:rsidRPr="005B067A">
              <w:rPr>
                <w:rFonts w:ascii="Arial Narrow" w:hAnsi="Arial Narrow"/>
                <w:sz w:val="16"/>
                <w:szCs w:val="18"/>
              </w:rPr>
              <w:t>)</w:t>
            </w:r>
          </w:p>
          <w:p w:rsidR="00BB38D3" w:rsidRPr="005B067A" w:rsidRDefault="00BB38D3" w:rsidP="004E3FE4">
            <w:pPr>
              <w:tabs>
                <w:tab w:val="center" w:pos="571"/>
              </w:tabs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  <w:r>
              <w:rPr>
                <w:rFonts w:ascii="Arial Narrow" w:hAnsi="Arial Narrow"/>
                <w:sz w:val="16"/>
                <w:szCs w:val="18"/>
              </w:rPr>
              <w:tab/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&gt;2.0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119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170 (8%)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0.059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2.0&gt;1.5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 (5%)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86 (4%)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1.5&gt;1.0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92 (9%)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177 (8%)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1.0&gt;0.7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163 (16%)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332 (15%)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0.7&gt;0.4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199 (20%)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561 (26%)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≤0.4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202 (20%)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473 (22%)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(-21%)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(-0.22)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168 (17%)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351 (16%)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AST/ALT≥1.1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469 (47%)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1179 (55%)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(53%)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0.001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Yes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399 (40%)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645 (30%)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(33%)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120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326 (15%)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(14%)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APRI Score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2.3 ± 7.0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1.7 ± 4.6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1.9±6.1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2.1±8.1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0.017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Index Year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2010.2 ± 3.6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2010.8 ± 3.4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2010.2 ± 6.2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2010.8 ± 4.2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0.068</w:t>
            </w:r>
          </w:p>
        </w:tc>
      </w:tr>
    </w:tbl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>*Comorbidity index calculated after excluding liver related conditions</w:t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**APRI included for illustration purposes but not used in the generation of propensity scores</w:t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>Abs standard diff: absolute standard difference; ASINPI: Asian American, American Indian, Pacific Islander; ULN: upper limit of normal, as defined by the assay used at each site; LLN: lower limit of normal, as defined by the assay used at each site; AST/ALT: ratio of aspartate aminotransferase to alanine aminotransferase; APRI: aspartate aminotransferase to platelet ratio index</w:t>
      </w:r>
    </w:p>
    <w:p w:rsidR="00BB38D3" w:rsidRPr="005B067A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</w:p>
    <w:p w:rsidR="00BB38D3" w:rsidRDefault="00BB38D3" w:rsidP="00BB38D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B38D3" w:rsidRPr="005B067A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Table S2: Sensitivity analysis, all-cause mortality with multiple imputation for unknown values—patient demographic and clinical characteristics by </w:t>
      </w:r>
      <w:proofErr w:type="spellStart"/>
      <w:r>
        <w:rPr>
          <w:rFonts w:ascii="Arial Narrow" w:hAnsi="Arial Narrow"/>
          <w:sz w:val="18"/>
          <w:szCs w:val="18"/>
        </w:rPr>
        <w:t>ursodeoxycholic</w:t>
      </w:r>
      <w:proofErr w:type="spellEnd"/>
      <w:r>
        <w:rPr>
          <w:rFonts w:ascii="Arial Narrow" w:hAnsi="Arial Narrow"/>
          <w:sz w:val="18"/>
          <w:szCs w:val="18"/>
        </w:rPr>
        <w:t xml:space="preserve"> acid (UDCA) treatment status before and after inverse probability of treatment weighting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697"/>
        <w:gridCol w:w="1122"/>
        <w:gridCol w:w="1030"/>
        <w:gridCol w:w="846"/>
        <w:gridCol w:w="962"/>
        <w:gridCol w:w="990"/>
        <w:gridCol w:w="810"/>
      </w:tblGrid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Variable</w:t>
            </w:r>
          </w:p>
        </w:tc>
        <w:tc>
          <w:tcPr>
            <w:tcW w:w="1697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Response</w:t>
            </w:r>
          </w:p>
        </w:tc>
        <w:tc>
          <w:tcPr>
            <w:tcW w:w="2152" w:type="dxa"/>
            <w:gridSpan w:val="2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Unweighted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Abs standard diff</w:t>
            </w:r>
            <w:r>
              <w:rPr>
                <w:rFonts w:ascii="Arial Narrow" w:hAnsi="Arial Narrow"/>
                <w:sz w:val="16"/>
                <w:szCs w:val="18"/>
              </w:rPr>
              <w:t>erence</w:t>
            </w:r>
          </w:p>
        </w:tc>
        <w:tc>
          <w:tcPr>
            <w:tcW w:w="1952" w:type="dxa"/>
            <w:gridSpan w:val="2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Weighted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Abs standard diff</w:t>
            </w:r>
            <w:r>
              <w:rPr>
                <w:rFonts w:ascii="Arial Narrow" w:hAnsi="Arial Narrow"/>
                <w:sz w:val="16"/>
                <w:szCs w:val="18"/>
              </w:rPr>
              <w:t>erence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Untreated</w:t>
            </w:r>
          </w:p>
        </w:tc>
        <w:tc>
          <w:tcPr>
            <w:tcW w:w="1030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Treated</w:t>
            </w:r>
          </w:p>
        </w:tc>
        <w:tc>
          <w:tcPr>
            <w:tcW w:w="846" w:type="dxa"/>
            <w:vMerge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Untreated</w:t>
            </w:r>
          </w:p>
        </w:tc>
        <w:tc>
          <w:tcPr>
            <w:tcW w:w="990" w:type="dxa"/>
            <w:noWrap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Treated</w:t>
            </w:r>
          </w:p>
        </w:tc>
        <w:tc>
          <w:tcPr>
            <w:tcW w:w="810" w:type="dxa"/>
            <w:vMerge/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vMerge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990)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4238)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990)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(N= 4238)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B38D3" w:rsidRPr="005B067A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US Census region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Midwest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752 (23%)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(21%)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0.001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Northeast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 (6%)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284 (9%)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South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256 (26%)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260 (8%)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(12%)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554 (56%)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1952 (60%)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Gender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Women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766 (77%)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2850 (88%)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(86%)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0.004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Men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224 (23%)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398 (12%)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(14%)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Race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ASINPI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600 (61%)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2290 (71%)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(68%)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0.027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Black/ African American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129 (13%)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187 (6%)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White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 (6%)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233 (7%)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198 (20%)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538 (17%)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Hispanic eth</w:t>
            </w:r>
            <w:r w:rsidRPr="005B067A">
              <w:rPr>
                <w:rFonts w:ascii="Arial Narrow" w:hAnsi="Arial Narrow"/>
                <w:sz w:val="16"/>
                <w:szCs w:val="18"/>
              </w:rPr>
              <w:t>nicity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Yes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763 (77%)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2489 (77%)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(77%)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0.0001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227 (23%)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759 (23%)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(23%)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Age at index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≤40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74 (7%)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212 (7%)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(7%)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0.082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41–50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123 (12%)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518 (16%)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(15%)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51–60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279 (28%)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1018 (31%)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61–70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262 (26%)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917 (28%)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(28%)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&gt;70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252 (25%)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583 (18%)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 xml:space="preserve">Insurance 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Medicaid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 (5%)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151 (5%)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0.049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Medicare Plus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421 (43%)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1245 (38%)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Private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518 (52%)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1852 (57%)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 xml:space="preserve">Household Income 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$30K</w:t>
            </w:r>
            <w:r w:rsidRPr="005B067A">
              <w:rPr>
                <w:rFonts w:ascii="Arial Narrow" w:hAnsi="Arial Narrow"/>
                <w:sz w:val="16"/>
                <w:szCs w:val="18"/>
              </w:rPr>
              <w:t>&lt;$50K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288 (29%)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957 (29%)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0.024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$50K&lt;$75K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323 (33%)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1033 (32%)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(32%)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≥</w:t>
            </w:r>
            <w:r w:rsidRPr="005B067A">
              <w:rPr>
                <w:rFonts w:ascii="Arial Narrow" w:hAnsi="Arial Narrow"/>
                <w:sz w:val="16"/>
                <w:szCs w:val="18"/>
              </w:rPr>
              <w:t>$75K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379 (38%)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1258 (39%)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Missing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sz w:val="16"/>
                <w:szCs w:val="18"/>
              </w:rPr>
              <w:t>C</w:t>
            </w:r>
            <w:r w:rsidRPr="005B067A">
              <w:rPr>
                <w:rFonts w:ascii="Arial Narrow" w:hAnsi="Arial Narrow"/>
                <w:sz w:val="16"/>
                <w:szCs w:val="18"/>
              </w:rPr>
              <w:t>harlson</w:t>
            </w:r>
            <w:r>
              <w:rPr>
                <w:rFonts w:ascii="Arial Narrow" w:hAnsi="Arial Narrow"/>
                <w:sz w:val="16"/>
                <w:szCs w:val="18"/>
              </w:rPr>
              <w:t>-Deyo</w:t>
            </w:r>
            <w:proofErr w:type="spellEnd"/>
            <w:r w:rsidRPr="005B067A">
              <w:rPr>
                <w:rFonts w:ascii="Arial Narrow" w:hAnsi="Arial Narrow"/>
                <w:sz w:val="16"/>
                <w:szCs w:val="18"/>
              </w:rPr>
              <w:t xml:space="preserve"> comorbidity index</w:t>
            </w:r>
            <w:r>
              <w:rPr>
                <w:rFonts w:ascii="Arial Narrow" w:hAnsi="Arial Narrow"/>
                <w:sz w:val="16"/>
                <w:szCs w:val="18"/>
              </w:rPr>
              <w:t>*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457 (46%)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2030 (63%)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(59%)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0.026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210 (21%)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599 (18%)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323 (33%)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619 (19%)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(22%)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(22%)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Alkaline phosphatase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Normal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284 (29%)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751 (23%)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(24%)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(24%)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0.028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[1,2)*ULN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445 (45%)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1343 (41%)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(43%)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(42%)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[2,3)*ULN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132 (13%)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564 (17%)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≥3*ULN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129 (13%)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590 (18%)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(17%)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(17%)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Albumin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Normal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611 (62%)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2328 (72%)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(69%)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0.028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&lt;LLN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379 (38%)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920 (28%)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(31%)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Total Bilirubin</w:t>
            </w:r>
            <w:r>
              <w:rPr>
                <w:rFonts w:ascii="Arial Narrow" w:hAnsi="Arial Narrow"/>
                <w:sz w:val="16"/>
                <w:szCs w:val="18"/>
              </w:rPr>
              <w:t xml:space="preserve"> (</w:t>
            </w:r>
            <w:r w:rsidRPr="005B067A">
              <w:rPr>
                <w:rFonts w:ascii="Arial Narrow" w:hAnsi="Arial Narrow"/>
                <w:sz w:val="16"/>
                <w:szCs w:val="18"/>
              </w:rPr>
              <w:t>mg/</w:t>
            </w:r>
            <w:proofErr w:type="spellStart"/>
            <w:r w:rsidRPr="005B067A">
              <w:rPr>
                <w:rFonts w:ascii="Arial Narrow" w:hAnsi="Arial Narrow"/>
                <w:sz w:val="16"/>
                <w:szCs w:val="18"/>
              </w:rPr>
              <w:t>dL</w:t>
            </w:r>
            <w:proofErr w:type="spellEnd"/>
            <w:r w:rsidRPr="005B067A">
              <w:rPr>
                <w:rFonts w:ascii="Arial Narrow" w:hAnsi="Arial Narrow"/>
                <w:sz w:val="16"/>
                <w:szCs w:val="18"/>
              </w:rPr>
              <w:t>)</w:t>
            </w:r>
          </w:p>
          <w:p w:rsidR="00BB38D3" w:rsidRPr="005B067A" w:rsidRDefault="00BB38D3" w:rsidP="004E3FE4">
            <w:pPr>
              <w:tabs>
                <w:tab w:val="center" w:pos="571"/>
              </w:tabs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  <w:r>
              <w:rPr>
                <w:rFonts w:ascii="Arial Narrow" w:hAnsi="Arial Narrow"/>
                <w:sz w:val="16"/>
                <w:szCs w:val="18"/>
              </w:rPr>
              <w:tab/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&gt;2.0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132 (13%)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291 (9%)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(10%)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0.047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2.0&gt;1.5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63 (6%)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174 (5%)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1.5&gt;1.0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102 (10%)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276 (8%)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(8%)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1.0&gt;0.7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200 (20%)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656 (20%)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0.7&gt;0.4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247 (25%)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1003 (31%)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≤0.4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246 (25%)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848 (26%)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(26%)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(26%)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 w:val="restart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AST/ALT≥1.1</w:t>
            </w: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No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542 (55%)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2039 (63%)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(61%)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(61%)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0.003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Yes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448 (45%)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1209 (37%)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(39%)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(39%)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vMerge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Unknown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D3" w:rsidRPr="00440CE7" w:rsidRDefault="00BB38D3" w:rsidP="004E3FE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APRI Score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2.3 ± 6.7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1.7 ± 4.4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1.8±10.1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1.8±6.8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0.011</w:t>
            </w:r>
          </w:p>
        </w:tc>
      </w:tr>
      <w:tr w:rsidR="00BB38D3" w:rsidRPr="005B067A" w:rsidTr="004E3FE4">
        <w:trPr>
          <w:trHeight w:val="41"/>
        </w:trPr>
        <w:tc>
          <w:tcPr>
            <w:tcW w:w="1448" w:type="dxa"/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Index Year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noWrap/>
            <w:hideMark/>
          </w:tcPr>
          <w:p w:rsidR="00BB38D3" w:rsidRPr="005B067A" w:rsidRDefault="00BB38D3" w:rsidP="004E3FE4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5B067A">
              <w:rPr>
                <w:rFonts w:ascii="Arial Narrow" w:hAnsi="Arial Narrow"/>
                <w:sz w:val="16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2010.2 ± 3.6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2010.0 ± 3.5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2009.9±7.4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2010.0±4.1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D3" w:rsidRDefault="00BB38D3" w:rsidP="004E3FE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0.023</w:t>
            </w:r>
          </w:p>
        </w:tc>
      </w:tr>
    </w:tbl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>*Comorbidity index calculated after excluding liver related conditions</w:t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**APRI included for illustration purposes but not used in the generation of propensity scores</w:t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>Abs standard diff: absolute standard difference; ASINPI: Asian American, American Indian, Pacific Islander; ULN: upper limit of normal, as defined by the assay used at each site; LLN: lower limit of normal, as defined by the assay used at each site; AST/ALT: ratio of aspartate aminotransferase to alanine aminotransferase; APRI: aspartate aminotransferase to platelet ratio index</w:t>
      </w:r>
    </w:p>
    <w:p w:rsidR="00BB38D3" w:rsidRPr="005B067A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</w:p>
    <w:p w:rsidR="00BB38D3" w:rsidRDefault="00BB38D3" w:rsidP="00BB38D3">
      <w:pPr>
        <w:rPr>
          <w:rFonts w:ascii="Arial Narrow" w:hAnsi="Arial Narrow"/>
          <w:sz w:val="18"/>
          <w:szCs w:val="18"/>
        </w:rPr>
      </w:pPr>
    </w:p>
    <w:p w:rsidR="00BB38D3" w:rsidRDefault="00BB38D3" w:rsidP="00BB38D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Table S3: Details of multivariable analysis of </w:t>
      </w:r>
      <w:proofErr w:type="spellStart"/>
      <w:r>
        <w:rPr>
          <w:rFonts w:ascii="Arial Narrow" w:hAnsi="Arial Narrow"/>
          <w:sz w:val="18"/>
          <w:szCs w:val="18"/>
        </w:rPr>
        <w:t>ursodeoxycholic</w:t>
      </w:r>
      <w:proofErr w:type="spellEnd"/>
      <w:r>
        <w:rPr>
          <w:rFonts w:ascii="Arial Narrow" w:hAnsi="Arial Narrow"/>
          <w:sz w:val="18"/>
          <w:szCs w:val="18"/>
        </w:rPr>
        <w:t xml:space="preserve"> acid treatment for main outcomes of all-cause mortality and liver transplant/ death—sub-sample sizes, adjusted hazard ratios (HR), and 95% confidence intervals (CI). </w:t>
      </w:r>
    </w:p>
    <w:p w:rsidR="00BB38D3" w:rsidRDefault="00BB38D3" w:rsidP="00BB38D3">
      <w:pPr>
        <w:rPr>
          <w:rFonts w:ascii="Arial Narrow" w:hAnsi="Arial Narrow"/>
          <w:sz w:val="18"/>
          <w:szCs w:val="18"/>
        </w:rPr>
      </w:pPr>
      <w:r w:rsidRPr="00871259">
        <w:rPr>
          <w:noProof/>
        </w:rPr>
        <w:drawing>
          <wp:inline distT="0" distB="0" distL="0" distR="0" wp14:anchorId="14E34237" wp14:editId="6D6FF1F9">
            <wp:extent cx="6133507" cy="783771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35" cy="78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>ASINPI: Asian American, American Indian, Pacific Islander; ULN: upper limit of normal, as defined by the assay used at each site; LLN: lower limit of normal, as defined by the assay used at each site; AST/ALT: ratio of aspartate aminotransferase to alanine aminotransferase; APRI: aspartate aminotransferase to platelet ratio index</w:t>
      </w:r>
      <w:r>
        <w:rPr>
          <w:rFonts w:ascii="Arial Narrow" w:hAnsi="Arial Narrow"/>
          <w:i/>
          <w:sz w:val="16"/>
          <w:szCs w:val="18"/>
        </w:rPr>
        <w:t xml:space="preserve"> (</w:t>
      </w:r>
    </w:p>
    <w:p w:rsidR="00BB38D3" w:rsidRDefault="00BB38D3" w:rsidP="00BB38D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Table S4: Details of sensitivity analysis of </w:t>
      </w:r>
      <w:proofErr w:type="spellStart"/>
      <w:r>
        <w:rPr>
          <w:rFonts w:ascii="Arial Narrow" w:hAnsi="Arial Narrow"/>
          <w:sz w:val="18"/>
          <w:szCs w:val="18"/>
        </w:rPr>
        <w:t>ursodeoxycholic</w:t>
      </w:r>
      <w:proofErr w:type="spellEnd"/>
      <w:r>
        <w:rPr>
          <w:rFonts w:ascii="Arial Narrow" w:hAnsi="Arial Narrow"/>
          <w:sz w:val="18"/>
          <w:szCs w:val="18"/>
        </w:rPr>
        <w:t xml:space="preserve"> acid treatment for all-cause mortality, excluding patients with history of treatment prior to study observation start date (2006) and with multiple imputation (MI) for missing data—sub-sample sizes, adjusted hazard ratios (HR), and 95% confidence intervals (CI). </w:t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 w:rsidRPr="002732BE">
        <w:rPr>
          <w:noProof/>
        </w:rPr>
        <w:drawing>
          <wp:inline distT="0" distB="0" distL="0" distR="0" wp14:anchorId="7AA2CDEC" wp14:editId="52C2C94D">
            <wp:extent cx="6077657" cy="76903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81" cy="769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>ASINPI: Asian American, American Indian, Pacific Islander; ULN: upper limit of normal, as defined by the assay used at each site; LLN: lower limit of normal, as defined by the assay used at each site; AST/ALT: ratio of aspartate aminotransferase to alanine aminotransferase; APRI: aspartate aminotransferase to platelet ratio index</w:t>
      </w:r>
      <w:r>
        <w:rPr>
          <w:rFonts w:ascii="Arial Narrow" w:hAnsi="Arial Narrow"/>
          <w:i/>
          <w:sz w:val="16"/>
          <w:szCs w:val="18"/>
        </w:rPr>
        <w:t xml:space="preserve"> (</w:t>
      </w:r>
    </w:p>
    <w:p w:rsidR="00BB38D3" w:rsidRDefault="00BB38D3" w:rsidP="00BB38D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  <w:sectPr w:rsidR="00BB38D3" w:rsidSect="005B06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Table S5: Pairwise comparison of </w:t>
      </w:r>
      <w:proofErr w:type="spellStart"/>
      <w:r>
        <w:rPr>
          <w:rFonts w:ascii="Arial Narrow" w:hAnsi="Arial Narrow"/>
          <w:sz w:val="18"/>
          <w:szCs w:val="18"/>
        </w:rPr>
        <w:t>ursodeoxycholic</w:t>
      </w:r>
      <w:proofErr w:type="spellEnd"/>
      <w:r>
        <w:rPr>
          <w:rFonts w:ascii="Arial Narrow" w:hAnsi="Arial Narrow"/>
          <w:sz w:val="18"/>
          <w:szCs w:val="18"/>
        </w:rPr>
        <w:t xml:space="preserve"> acid treated versus untreated patients for all-cause mortality, liver transplant/ death, and sensitivity analyses that excluded patients with history of treatment prior to study observation start date (2006) and with multiple imputation (MI) for missing data—sub-sample sizes, adjusted hazard ratios (HR), and 95% confidence intervals (CI). </w:t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 w:rsidRPr="006A6A87">
        <w:rPr>
          <w:noProof/>
        </w:rPr>
        <w:drawing>
          <wp:inline distT="0" distB="0" distL="0" distR="0" wp14:anchorId="15B15E79" wp14:editId="50821715">
            <wp:extent cx="8852478" cy="4506686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893" cy="45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D3" w:rsidRPr="00440CE7" w:rsidRDefault="00BB38D3" w:rsidP="00BB38D3">
      <w:pPr>
        <w:spacing w:after="0" w:line="240" w:lineRule="auto"/>
        <w:contextualSpacing/>
        <w:rPr>
          <w:rFonts w:ascii="Arial Narrow" w:hAnsi="Arial Narrow"/>
          <w:i/>
          <w:sz w:val="16"/>
          <w:szCs w:val="18"/>
        </w:rPr>
      </w:pPr>
      <w:r w:rsidRPr="00440CE7">
        <w:rPr>
          <w:rFonts w:ascii="Arial Narrow" w:hAnsi="Arial Narrow"/>
          <w:i/>
          <w:sz w:val="16"/>
          <w:szCs w:val="18"/>
        </w:rPr>
        <w:t xml:space="preserve">ASINPI: Asian American, American Indian, Pacific Islander; AST/ALT: ratio of aspartate aminotransferase to alanine aminotransferase; </w:t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B38D3" w:rsidRDefault="00BB38D3" w:rsidP="00BB38D3">
      <w:pPr>
        <w:spacing w:after="0"/>
        <w:contextualSpacing/>
        <w:rPr>
          <w:rFonts w:ascii="Arial Narrow" w:hAnsi="Arial Narrow"/>
          <w:sz w:val="18"/>
          <w:szCs w:val="18"/>
        </w:rPr>
        <w:sectPr w:rsidR="00BB38D3" w:rsidSect="00FF49A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B38D3" w:rsidRPr="001C4B62" w:rsidRDefault="00BB38D3" w:rsidP="00BB38D3">
      <w:pPr>
        <w:spacing w:line="360" w:lineRule="auto"/>
        <w:contextualSpacing/>
        <w:rPr>
          <w:rFonts w:ascii="Arial" w:hAnsi="Arial" w:cs="Arial"/>
          <w:lang w:bidi="he-IL"/>
        </w:rPr>
      </w:pPr>
    </w:p>
    <w:p w:rsidR="00BB38D3" w:rsidRPr="0001259A" w:rsidRDefault="00BB38D3" w:rsidP="00BB38D3">
      <w:pPr>
        <w:rPr>
          <w:rFonts w:ascii="Arial" w:eastAsia="Calibri" w:hAnsi="Arial" w:cs="Arial"/>
          <w:b/>
          <w:kern w:val="24"/>
          <w:sz w:val="20"/>
        </w:rPr>
      </w:pPr>
      <w:r w:rsidRPr="0001259A">
        <w:rPr>
          <w:rFonts w:ascii="Arial" w:eastAsia="Calibri" w:hAnsi="Arial" w:cs="Arial"/>
          <w:b/>
          <w:kern w:val="24"/>
          <w:sz w:val="20"/>
        </w:rPr>
        <w:t>Table S6: Summary of multivariable models and validated results of predictive accuracy</w:t>
      </w: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1170"/>
        <w:gridCol w:w="900"/>
        <w:gridCol w:w="4785"/>
        <w:gridCol w:w="1019"/>
        <w:gridCol w:w="1019"/>
        <w:gridCol w:w="1637"/>
      </w:tblGrid>
      <w:tr w:rsidR="00BB38D3" w:rsidRPr="002F5EDC" w:rsidTr="004E3FE4">
        <w:trPr>
          <w:trHeight w:val="286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Outcome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Model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Variables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AUROC (validation)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See Figure</w:t>
            </w:r>
          </w:p>
        </w:tc>
      </w:tr>
      <w:tr w:rsidR="00BB38D3" w:rsidRPr="002F5EDC" w:rsidTr="004E3FE4">
        <w:trPr>
          <w:trHeight w:val="28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2 Year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5 Year</w:t>
            </w:r>
          </w:p>
        </w:tc>
        <w:tc>
          <w:tcPr>
            <w:tcW w:w="16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  <w:tr w:rsidR="00BB38D3" w:rsidRPr="002F5EDC" w:rsidTr="004E3FE4">
        <w:trPr>
          <w:trHeight w:val="286"/>
        </w:trPr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All-cause mortality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BL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Index date variables: region, household income, comorbidity index, age, bilirubin, ALP, AST/ALT, albumin, and interactions of UDCA with gender, race, and AST/ALT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1a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BB38D3" w:rsidRPr="002F5EDC" w:rsidTr="004E3FE4">
        <w:trPr>
          <w:trHeight w:val="286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BL+P2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BL variables + Paris-II criteria at Year 1 (with Paris II by UDCA interaction)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BB38D3" w:rsidRPr="002F5EDC" w:rsidTr="004E3FE4">
        <w:trPr>
          <w:trHeight w:val="305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BL+1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Baseline + ALP, AST/ALT, and bilirubin at Year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2F5EDC">
              <w:rPr>
                <w:rFonts w:ascii="Arial Narrow" w:eastAsia="Times New Roman" w:hAnsi="Arial Narrow" w:cs="Times New Roman"/>
                <w:bCs/>
              </w:rPr>
              <w:t>0.90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2F5EDC">
              <w:rPr>
                <w:rFonts w:ascii="Arial Narrow" w:eastAsia="Times New Roman" w:hAnsi="Arial Narrow" w:cs="Times New Roman"/>
                <w:bCs/>
              </w:rPr>
              <w:t>0.85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</w:p>
        </w:tc>
      </w:tr>
      <w:tr w:rsidR="00BB38D3" w:rsidRPr="002F5EDC" w:rsidTr="004E3FE4">
        <w:trPr>
          <w:trHeight w:val="305"/>
        </w:trPr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P2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Paris-II criteria at Year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2F5EDC">
              <w:rPr>
                <w:rFonts w:ascii="Arial Narrow" w:eastAsia="Times New Roman" w:hAnsi="Arial Narrow" w:cs="Times New Roman"/>
                <w:bCs/>
              </w:rPr>
              <w:t>0.84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  <w:r w:rsidRPr="002F5EDC">
              <w:rPr>
                <w:rFonts w:ascii="Arial Narrow" w:eastAsia="Times New Roman" w:hAnsi="Arial Narrow" w:cs="Times New Roman"/>
                <w:bCs/>
              </w:rPr>
              <w:t>0.74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</w:rPr>
            </w:pPr>
          </w:p>
        </w:tc>
      </w:tr>
      <w:tr w:rsidR="00BB38D3" w:rsidRPr="002F5EDC" w:rsidTr="004E3FE4">
        <w:trPr>
          <w:trHeight w:val="286"/>
        </w:trPr>
        <w:tc>
          <w:tcPr>
            <w:tcW w:w="1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F5EDC">
              <w:rPr>
                <w:rFonts w:ascii="Arial Narrow" w:eastAsia="Times New Roman" w:hAnsi="Arial Narrow" w:cs="Times New Roman"/>
                <w:b/>
                <w:bCs/>
              </w:rPr>
              <w:t>Liver transplant or all-cause mortality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TXF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 xml:space="preserve">Index date variables: region, household income, comorbidity index, age, bilirubin, gender, ALP, albumin and interaction of UDCA with race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1b</w:t>
            </w:r>
          </w:p>
        </w:tc>
      </w:tr>
      <w:tr w:rsidR="00BB38D3" w:rsidRPr="002F5EDC" w:rsidTr="004E3FE4">
        <w:trPr>
          <w:trHeight w:val="286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TXF+P2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TXF + UDCA interaction with Paris-II criteria at Year 1, gender, AST/ALT</w:t>
            </w:r>
            <w:r w:rsidRPr="002F5EDC" w:rsidDel="00A268F8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BB38D3" w:rsidRPr="002F5EDC" w:rsidTr="004E3FE4">
        <w:trPr>
          <w:trHeight w:val="305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TXF+1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TXF + ALP, AST/ALT, and bilirubin at Year 1, and interaction of UDCA with race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BB38D3" w:rsidRPr="002F5EDC" w:rsidTr="004E3FE4">
        <w:trPr>
          <w:trHeight w:val="305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P2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8D3" w:rsidRPr="002F5EDC" w:rsidRDefault="00BB38D3" w:rsidP="004E3FE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Paris-II criteria at Year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F5EDC">
              <w:rPr>
                <w:rFonts w:ascii="Arial Narrow" w:eastAsia="Times New Roman" w:hAnsi="Arial Narrow" w:cs="Times New Roman"/>
              </w:rPr>
              <w:t>0.73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D3" w:rsidRPr="002F5EDC" w:rsidRDefault="00BB38D3" w:rsidP="004E3F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BB38D3" w:rsidRDefault="00BB38D3" w:rsidP="00BB38D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lang w:bidi="he-IL"/>
        </w:rPr>
      </w:pPr>
    </w:p>
    <w:p w:rsidR="007930F3" w:rsidRDefault="007930F3">
      <w:bookmarkStart w:id="0" w:name="_GoBack"/>
      <w:bookmarkEnd w:id="0"/>
    </w:p>
    <w:sectPr w:rsidR="007930F3" w:rsidSect="00285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3"/>
    <w:rsid w:val="007930F3"/>
    <w:rsid w:val="00B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DD360-13E9-4319-81EB-FFB6EB0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Velmurugan M.</dc:creator>
  <cp:keywords/>
  <dc:description/>
  <cp:lastModifiedBy>Velmurugan M.</cp:lastModifiedBy>
  <cp:revision>1</cp:revision>
  <dcterms:created xsi:type="dcterms:W3CDTF">2019-12-06T10:41:00Z</dcterms:created>
  <dcterms:modified xsi:type="dcterms:W3CDTF">2019-12-06T10:41:00Z</dcterms:modified>
</cp:coreProperties>
</file>