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BF870" w14:textId="551C7E27" w:rsidR="008D452D" w:rsidRPr="0000370F" w:rsidRDefault="003560B6" w:rsidP="005A3A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Supplement: Additional risk models and sensitivity analyses</w:t>
      </w:r>
    </w:p>
    <w:p w14:paraId="4EB6B3C8" w14:textId="77777777" w:rsidR="005A3AEA" w:rsidRPr="0000370F" w:rsidRDefault="005A3AEA" w:rsidP="005A3AEA">
      <w:pPr>
        <w:spacing w:after="0" w:line="360" w:lineRule="auto"/>
        <w:contextualSpacing/>
        <w:rPr>
          <w:rFonts w:ascii="Arial" w:hAnsi="Arial" w:cs="Arial"/>
          <w:b/>
          <w:lang w:bidi="he-IL"/>
        </w:rPr>
      </w:pPr>
    </w:p>
    <w:p w14:paraId="521BEA5A" w14:textId="08DF5DBF" w:rsidR="005A3AEA" w:rsidRPr="0000370F" w:rsidRDefault="00116F37" w:rsidP="005A3AEA">
      <w:pPr>
        <w:spacing w:after="0" w:line="360" w:lineRule="auto"/>
        <w:contextualSpacing/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>B</w:t>
      </w:r>
      <w:r w:rsidR="005A3AEA" w:rsidRPr="0000370F">
        <w:rPr>
          <w:rFonts w:ascii="Arial" w:hAnsi="Arial" w:cs="Arial"/>
          <w:b/>
          <w:lang w:bidi="he-IL"/>
        </w:rPr>
        <w:t xml:space="preserve">aseline covariates </w:t>
      </w:r>
    </w:p>
    <w:p w14:paraId="13FA71B7" w14:textId="3EA7AD66" w:rsidR="005A3AEA" w:rsidRPr="0000370F" w:rsidRDefault="005A3AEA" w:rsidP="005A3AEA">
      <w:pPr>
        <w:spacing w:after="0" w:line="360" w:lineRule="auto"/>
        <w:contextualSpacing/>
        <w:rPr>
          <w:rFonts w:ascii="Arial" w:hAnsi="Arial" w:cs="Arial"/>
          <w:lang w:bidi="he-IL"/>
        </w:rPr>
      </w:pPr>
      <w:r w:rsidRPr="0000370F">
        <w:rPr>
          <w:rFonts w:ascii="Arial" w:hAnsi="Arial" w:cs="Arial"/>
          <w:lang w:bidi="he-IL"/>
        </w:rPr>
        <w:t>“Index date” was defined as the date of UDCA treatment initiation (for treated patients) or PBC diagnosis date (for untreated patients). An index date of 1/1/2006 was assigned to patients diagnosed prior to 2006 to permit inclusion of previously-diagnosed PBC patients the cohort.</w:t>
      </w:r>
      <w:r w:rsidRPr="0000370F">
        <w:rPr>
          <w:rFonts w:ascii="Arial" w:eastAsia="Times New Roman" w:hAnsi="Arial" w:cs="Arial"/>
          <w:bCs/>
          <w:kern w:val="36"/>
        </w:rPr>
        <w:t xml:space="preserve"> </w:t>
      </w:r>
      <w:r w:rsidR="008436AC" w:rsidRPr="00E1158B">
        <w:rPr>
          <w:rFonts w:ascii="Arial" w:eastAsia="Calibri" w:hAnsi="Arial" w:cs="Arial"/>
        </w:rPr>
        <w:t>aseline covariates included: sex; ethnicity (Hispanic, non-Hispanic); race (White; African American; Asian American/ American Indian/ Pacific islander [ASINPI]); age category</w:t>
      </w:r>
      <w:r w:rsidR="008436AC" w:rsidRPr="00E1158B">
        <w:rPr>
          <w:rFonts w:ascii="Arial" w:hAnsi="Arial" w:cs="Arial"/>
          <w:shd w:val="clear" w:color="auto" w:fill="FFFFFF"/>
          <w:lang w:bidi="he-IL"/>
        </w:rPr>
        <w:t xml:space="preserve"> (≤40; 41–</w:t>
      </w:r>
      <w:r w:rsidR="008436AC" w:rsidRPr="00E1158B">
        <w:rPr>
          <w:rFonts w:ascii="Arial" w:eastAsia="Times New Roman" w:hAnsi="Arial" w:cs="Arial"/>
          <w:kern w:val="24"/>
          <w:lang w:bidi="he-IL"/>
        </w:rPr>
        <w:t xml:space="preserve">50; 51–60; 61–70; &gt;70); </w:t>
      </w:r>
      <w:r w:rsidR="008436AC" w:rsidRPr="00E1158B">
        <w:rPr>
          <w:rFonts w:ascii="Arial" w:hAnsi="Arial" w:cs="Arial"/>
          <w:bCs/>
          <w:noProof/>
          <w:lang w:bidi="he-IL"/>
        </w:rPr>
        <w:t>health insurance type; Charlson-Deyo comorbidity score (calculated without liver disease); household income;</w:t>
      </w:r>
      <w:r w:rsidR="008436AC" w:rsidRPr="00E1158B">
        <w:rPr>
          <w:rFonts w:ascii="Arial" w:eastAsia="Times New Roman" w:hAnsi="Arial" w:cs="Arial"/>
          <w:kern w:val="24"/>
          <w:lang w:bidi="he-IL"/>
        </w:rPr>
        <w:t xml:space="preserve"> t</w:t>
      </w:r>
      <w:r w:rsidR="008436AC" w:rsidRPr="00E1158B">
        <w:rPr>
          <w:rFonts w:ascii="Arial" w:hAnsi="Arial" w:cs="Arial"/>
          <w:shd w:val="clear" w:color="auto" w:fill="FFFFFF"/>
          <w:lang w:bidi="he-IL"/>
        </w:rPr>
        <w:t xml:space="preserve">otal </w:t>
      </w:r>
      <w:r w:rsidR="008436AC" w:rsidRPr="00E1158B">
        <w:rPr>
          <w:rFonts w:ascii="Arial" w:hAnsi="Arial" w:cs="Arial"/>
          <w:lang w:bidi="he-IL"/>
        </w:rPr>
        <w:t xml:space="preserve">bilirubin (categorized as &gt;2, 2&gt;1.5, 1.5&gt;1.0, 1.0&gt;0.7, 0.7&gt;4, ≤0.4 mg/dL); </w:t>
      </w:r>
      <w:r w:rsidR="008436AC" w:rsidRPr="00E1158B">
        <w:rPr>
          <w:rFonts w:ascii="Arial" w:eastAsia="Times New Roman" w:hAnsi="Arial" w:cs="Arial"/>
          <w:kern w:val="24"/>
          <w:lang w:bidi="he-IL"/>
        </w:rPr>
        <w:t>index date albumin and ALP</w:t>
      </w:r>
      <w:r w:rsidR="008436AC" w:rsidRPr="00E1158B">
        <w:rPr>
          <w:rFonts w:ascii="Arial" w:eastAsia="Calibri" w:hAnsi="Arial" w:cs="Arial"/>
        </w:rPr>
        <w:t xml:space="preserve"> (categorized in relation to normal ranges as defined at each site)</w:t>
      </w:r>
      <w:r w:rsidR="008436AC" w:rsidRPr="00E1158B">
        <w:rPr>
          <w:rFonts w:ascii="Arial" w:hAnsi="Arial" w:cs="Arial"/>
          <w:lang w:bidi="he-IL"/>
        </w:rPr>
        <w:t>;</w:t>
      </w:r>
      <w:r w:rsidR="008436AC" w:rsidRPr="00E1158B">
        <w:rPr>
          <w:rFonts w:ascii="Arial" w:hAnsi="Arial" w:cs="Arial"/>
          <w:bCs/>
          <w:iCs/>
        </w:rPr>
        <w:t xml:space="preserve"> and the</w:t>
      </w:r>
      <w:r w:rsidR="008436AC" w:rsidRPr="00E1158B">
        <w:rPr>
          <w:rFonts w:ascii="Arial" w:hAnsi="Arial" w:cs="Arial"/>
          <w:bCs/>
          <w:noProof/>
          <w:lang w:bidi="he-IL"/>
        </w:rPr>
        <w:t xml:space="preserve"> ratio of </w:t>
      </w:r>
      <w:r w:rsidR="008436AC" w:rsidRPr="00E1158B">
        <w:rPr>
          <w:rFonts w:ascii="Arial" w:hAnsi="Arial" w:cs="Arial"/>
          <w:bCs/>
          <w:iCs/>
        </w:rPr>
        <w:t>aspartate aminotransferase (AST) to</w:t>
      </w:r>
      <w:r w:rsidR="008436AC" w:rsidRPr="00E1158B">
        <w:rPr>
          <w:rFonts w:ascii="Arial" w:hAnsi="Arial" w:cs="Arial"/>
          <w:bCs/>
          <w:noProof/>
          <w:lang w:bidi="he-IL"/>
        </w:rPr>
        <w:t xml:space="preserve"> </w:t>
      </w:r>
      <w:r w:rsidR="008436AC" w:rsidRPr="00E1158B">
        <w:rPr>
          <w:rFonts w:ascii="Arial" w:hAnsi="Arial" w:cs="Arial"/>
          <w:bCs/>
          <w:iCs/>
        </w:rPr>
        <w:t>alanine aminotransferase (ALT) (</w:t>
      </w:r>
      <w:r w:rsidR="008436AC" w:rsidRPr="00E1158B">
        <w:rPr>
          <w:rFonts w:ascii="Arial" w:hAnsi="Arial" w:cs="Arial"/>
          <w:bCs/>
          <w:noProof/>
          <w:lang w:bidi="he-IL"/>
        </w:rPr>
        <w:t xml:space="preserve">ratios ≥1.1 have been shown to indicate advanced fibrosis/ cirrhosis </w:t>
      </w:r>
      <w:r w:rsidR="008436AC" w:rsidRPr="00E1158B">
        <w:rPr>
          <w:rFonts w:ascii="Arial" w:hAnsi="Arial" w:cs="Arial"/>
          <w:bCs/>
          <w:noProof/>
          <w:u w:val="single"/>
          <w:lang w:bidi="he-IL"/>
        </w:rPr>
        <w:t>among patients with PBC</w:t>
      </w:r>
      <w:r w:rsidR="008436AC" w:rsidRPr="00E1158B">
        <w:rPr>
          <w:rFonts w:ascii="Arial" w:hAnsi="Arial" w:cs="Arial"/>
          <w:bCs/>
          <w:noProof/>
          <w:lang w:bidi="he-IL"/>
        </w:rPr>
        <w:t>).</w:t>
      </w:r>
      <w:r w:rsidR="008436AC" w:rsidRPr="00E1158B">
        <w:rPr>
          <w:rFonts w:ascii="Arial" w:hAnsi="Arial" w:cs="Arial"/>
          <w:bCs/>
          <w:noProof/>
          <w:lang w:bidi="he-IL"/>
        </w:rPr>
        <w:fldChar w:fldCharType="begin">
          <w:fldData xml:space="preserve">PEVuZE5vdGU+PENpdGU+PEF1dGhvcj5OeWJsb208L0F1dGhvcj48WWVhcj4yMDA2PC9ZZWFyPjxS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</w:fldData>
        </w:fldChar>
      </w:r>
      <w:r w:rsidR="008436AC">
        <w:rPr>
          <w:rFonts w:ascii="Arial" w:hAnsi="Arial" w:cs="Arial"/>
          <w:bCs/>
          <w:noProof/>
          <w:lang w:bidi="he-IL"/>
        </w:rPr>
        <w:instrText xml:space="preserve"> ADDIN EN.CITE </w:instrText>
      </w:r>
      <w:r w:rsidR="008436AC">
        <w:rPr>
          <w:rFonts w:ascii="Arial" w:hAnsi="Arial" w:cs="Arial"/>
          <w:bCs/>
          <w:noProof/>
          <w:lang w:bidi="he-IL"/>
        </w:rPr>
        <w:fldChar w:fldCharType="begin">
          <w:fldData xml:space="preserve">PEVuZE5vdGU+PENpdGU+PEF1dGhvcj5OeWJsb208L0F1dGhvcj48WWVhcj4yMDA2PC9ZZWFyPjxS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</w:fldData>
        </w:fldChar>
      </w:r>
      <w:r w:rsidR="008436AC">
        <w:rPr>
          <w:rFonts w:ascii="Arial" w:hAnsi="Arial" w:cs="Arial"/>
          <w:bCs/>
          <w:noProof/>
          <w:lang w:bidi="he-IL"/>
        </w:rPr>
        <w:instrText xml:space="preserve"> ADDIN EN.CITE.DATA </w:instrText>
      </w:r>
      <w:r w:rsidR="008436AC">
        <w:rPr>
          <w:rFonts w:ascii="Arial" w:hAnsi="Arial" w:cs="Arial"/>
          <w:bCs/>
          <w:noProof/>
          <w:lang w:bidi="he-IL"/>
        </w:rPr>
      </w:r>
      <w:r w:rsidR="008436AC">
        <w:rPr>
          <w:rFonts w:ascii="Arial" w:hAnsi="Arial" w:cs="Arial"/>
          <w:bCs/>
          <w:noProof/>
          <w:lang w:bidi="he-IL"/>
        </w:rPr>
        <w:fldChar w:fldCharType="end"/>
      </w:r>
      <w:r w:rsidR="008436AC" w:rsidRPr="00E1158B">
        <w:rPr>
          <w:rFonts w:ascii="Arial" w:hAnsi="Arial" w:cs="Arial"/>
          <w:bCs/>
          <w:noProof/>
          <w:lang w:bidi="he-IL"/>
        </w:rPr>
        <w:fldChar w:fldCharType="separate"/>
      </w:r>
      <w:r w:rsidR="008436AC">
        <w:rPr>
          <w:rFonts w:ascii="Arial" w:hAnsi="Arial" w:cs="Arial"/>
          <w:bCs/>
          <w:noProof/>
          <w:lang w:bidi="he-IL"/>
        </w:rPr>
        <w:t>(1)</w:t>
      </w:r>
      <w:r w:rsidR="008436AC" w:rsidRPr="00E1158B">
        <w:rPr>
          <w:rFonts w:ascii="Arial" w:hAnsi="Arial" w:cs="Arial"/>
          <w:bCs/>
          <w:noProof/>
          <w:lang w:bidi="he-IL"/>
        </w:rPr>
        <w:fldChar w:fldCharType="end"/>
      </w:r>
      <w:r w:rsidR="008436AC" w:rsidRPr="00E1158B">
        <w:rPr>
          <w:rFonts w:ascii="Arial" w:hAnsi="Arial" w:cs="Arial"/>
          <w:shd w:val="clear" w:color="auto" w:fill="FFFFFF"/>
          <w:lang w:bidi="he-IL"/>
        </w:rPr>
        <w:t xml:space="preserve"> </w:t>
      </w:r>
      <w:r w:rsidR="008436AC" w:rsidRPr="00E1158B">
        <w:rPr>
          <w:rFonts w:ascii="Arial" w:hAnsi="Arial" w:cs="Arial"/>
          <w:lang w:bidi="he-IL"/>
        </w:rPr>
        <w:t xml:space="preserve">Missing data was categorized as “unknown”; the unknown category was included in all risk model analyses to reflect the real-world setting but omitted from figures for the sake of clarity. Patients who had received a liver transplant prior to index date were excluded from analyses of the composite outcome of </w:t>
      </w:r>
      <w:r w:rsidR="008436AC" w:rsidRPr="00E1158B">
        <w:rPr>
          <w:rFonts w:ascii="Arial" w:eastAsia="Times New Roman" w:hAnsi="Arial" w:cs="Arial"/>
          <w:bCs/>
          <w:lang w:bidi="he-IL"/>
        </w:rPr>
        <w:t>liver transplant/ death</w:t>
      </w:r>
      <w:r w:rsidR="008436AC" w:rsidRPr="00E1158B">
        <w:rPr>
          <w:rFonts w:ascii="Arial" w:hAnsi="Arial" w:cs="Arial"/>
          <w:lang w:bidi="he-IL"/>
        </w:rPr>
        <w:t>.</w:t>
      </w:r>
    </w:p>
    <w:p w14:paraId="09E925FE" w14:textId="77777777" w:rsidR="005A3AEA" w:rsidRPr="0000370F" w:rsidRDefault="005A3AEA" w:rsidP="005A3AEA">
      <w:pPr>
        <w:spacing w:after="0" w:line="360" w:lineRule="auto"/>
        <w:contextualSpacing/>
        <w:rPr>
          <w:rFonts w:ascii="Arial" w:hAnsi="Arial" w:cs="Arial"/>
          <w:lang w:bidi="he-IL"/>
        </w:rPr>
      </w:pPr>
    </w:p>
    <w:p w14:paraId="790212F8" w14:textId="09C835E5" w:rsidR="004753A3" w:rsidRDefault="004753A3" w:rsidP="005A3AEA">
      <w:pPr>
        <w:spacing w:after="0" w:line="360" w:lineRule="auto"/>
        <w:contextualSpacing/>
        <w:rPr>
          <w:rFonts w:ascii="Arial" w:hAnsi="Arial" w:cs="Arial"/>
          <w:lang w:bidi="he-IL"/>
        </w:rPr>
      </w:pPr>
      <w:r>
        <w:rPr>
          <w:rFonts w:ascii="Arial" w:hAnsi="Arial" w:cs="Arial"/>
          <w:b/>
          <w:lang w:bidi="he-IL"/>
        </w:rPr>
        <w:t xml:space="preserve">Models </w:t>
      </w:r>
      <w:r w:rsidR="00556225">
        <w:rPr>
          <w:rFonts w:ascii="Arial" w:hAnsi="Arial" w:cs="Arial"/>
          <w:b/>
          <w:lang w:bidi="he-IL"/>
        </w:rPr>
        <w:t xml:space="preserve">incorporating </w:t>
      </w:r>
      <w:r>
        <w:rPr>
          <w:rFonts w:ascii="Arial" w:hAnsi="Arial" w:cs="Arial"/>
          <w:b/>
          <w:lang w:bidi="he-IL"/>
        </w:rPr>
        <w:t xml:space="preserve">covariates measured at </w:t>
      </w:r>
      <w:r w:rsidR="00C66322" w:rsidRPr="002153C2">
        <w:rPr>
          <w:rFonts w:ascii="Arial" w:hAnsi="Arial" w:cs="Arial"/>
          <w:b/>
          <w:lang w:bidi="he-IL"/>
        </w:rPr>
        <w:t xml:space="preserve">Year 1 </w:t>
      </w:r>
      <w:r>
        <w:rPr>
          <w:rFonts w:ascii="Arial" w:hAnsi="Arial" w:cs="Arial"/>
          <w:b/>
          <w:lang w:bidi="he-IL"/>
        </w:rPr>
        <w:t>post-index</w:t>
      </w:r>
    </w:p>
    <w:p w14:paraId="08504269" w14:textId="3B8EEE68" w:rsidR="005A3AEA" w:rsidRPr="0000370F" w:rsidRDefault="005A3AEA" w:rsidP="005A3AEA">
      <w:pPr>
        <w:spacing w:after="0" w:line="360" w:lineRule="auto"/>
        <w:contextualSpacing/>
        <w:rPr>
          <w:rFonts w:ascii="Arial" w:hAnsi="Arial" w:cs="Arial"/>
        </w:rPr>
      </w:pPr>
      <w:r w:rsidRPr="0000370F">
        <w:rPr>
          <w:rFonts w:ascii="Arial" w:hAnsi="Arial" w:cs="Arial"/>
          <w:lang w:bidi="he-IL"/>
        </w:rPr>
        <w:t xml:space="preserve">A similar set of parameters was collected for the first laboratory data available on or after 12 months post-index. We </w:t>
      </w:r>
      <w:r w:rsidR="009A651A">
        <w:rPr>
          <w:rFonts w:ascii="Arial" w:hAnsi="Arial" w:cs="Arial"/>
          <w:lang w:bidi="he-IL"/>
        </w:rPr>
        <w:t xml:space="preserve">also </w:t>
      </w:r>
      <w:r w:rsidR="00A17DC8">
        <w:rPr>
          <w:rFonts w:ascii="Arial" w:hAnsi="Arial" w:cs="Arial"/>
          <w:lang w:bidi="he-IL"/>
        </w:rPr>
        <w:t>noted whether patients have levels above or below</w:t>
      </w:r>
      <w:r w:rsidRPr="0000370F">
        <w:rPr>
          <w:rFonts w:ascii="Arial" w:hAnsi="Arial" w:cs="Arial"/>
          <w:lang w:bidi="he-IL"/>
        </w:rPr>
        <w:t xml:space="preserve"> the </w:t>
      </w:r>
      <w:r w:rsidRPr="0000370F">
        <w:rPr>
          <w:rFonts w:ascii="Arial" w:hAnsi="Arial" w:cs="Arial"/>
        </w:rPr>
        <w:t>Paris-II</w:t>
      </w:r>
      <w:r w:rsidR="00A17DC8">
        <w:rPr>
          <w:rFonts w:ascii="Arial" w:hAnsi="Arial" w:cs="Arial"/>
        </w:rPr>
        <w:t xml:space="preserve"> criteria </w:t>
      </w:r>
      <w:r w:rsidRPr="0000370F">
        <w:rPr>
          <w:rFonts w:ascii="Arial" w:hAnsi="Arial" w:cs="Arial"/>
        </w:rPr>
        <w:fldChar w:fldCharType="begin">
          <w:fldData xml:space="preserve">PEVuZE5vdGU+PENpdGU+PEF1dGhvcj5Db3JwZWNob3Q8L0F1dGhvcj48WWVhcj4yMDExPC9ZZWFy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=
</w:fldData>
        </w:fldChar>
      </w:r>
      <w:r w:rsidR="00CA70C2">
        <w:rPr>
          <w:rFonts w:ascii="Arial" w:hAnsi="Arial" w:cs="Arial"/>
        </w:rPr>
        <w:instrText xml:space="preserve"> ADDIN EN.CITE </w:instrText>
      </w:r>
      <w:r w:rsidR="00CA70C2">
        <w:rPr>
          <w:rFonts w:ascii="Arial" w:hAnsi="Arial" w:cs="Arial"/>
        </w:rPr>
        <w:fldChar w:fldCharType="begin">
          <w:fldData xml:space="preserve">PEVuZE5vdGU+PENpdGU+PEF1dGhvcj5Db3JwZWNob3Q8L0F1dGhvcj48WWVhcj4yMDExPC9ZZWFy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=
</w:fldData>
        </w:fldChar>
      </w:r>
      <w:r w:rsidR="00CA70C2">
        <w:rPr>
          <w:rFonts w:ascii="Arial" w:hAnsi="Arial" w:cs="Arial"/>
        </w:rPr>
        <w:instrText xml:space="preserve"> ADDIN EN.CITE.DATA </w:instrText>
      </w:r>
      <w:r w:rsidR="00CA70C2">
        <w:rPr>
          <w:rFonts w:ascii="Arial" w:hAnsi="Arial" w:cs="Arial"/>
        </w:rPr>
      </w:r>
      <w:r w:rsidR="00CA70C2">
        <w:rPr>
          <w:rFonts w:ascii="Arial" w:hAnsi="Arial" w:cs="Arial"/>
        </w:rPr>
        <w:fldChar w:fldCharType="end"/>
      </w:r>
      <w:r w:rsidRPr="0000370F">
        <w:rPr>
          <w:rFonts w:ascii="Arial" w:hAnsi="Arial" w:cs="Arial"/>
        </w:rPr>
      </w:r>
      <w:r w:rsidRPr="0000370F">
        <w:rPr>
          <w:rFonts w:ascii="Arial" w:hAnsi="Arial" w:cs="Arial"/>
        </w:rPr>
        <w:fldChar w:fldCharType="separate"/>
      </w:r>
      <w:r w:rsidR="00CA70C2">
        <w:rPr>
          <w:rFonts w:ascii="Arial" w:hAnsi="Arial" w:cs="Arial"/>
          <w:noProof/>
        </w:rPr>
        <w:t>(2)</w:t>
      </w:r>
      <w:r w:rsidRPr="0000370F">
        <w:rPr>
          <w:rFonts w:ascii="Arial" w:hAnsi="Arial" w:cs="Arial"/>
        </w:rPr>
        <w:fldChar w:fldCharType="end"/>
      </w:r>
      <w:r w:rsidRPr="0000370F">
        <w:rPr>
          <w:rFonts w:ascii="Arial" w:hAnsi="Arial" w:cs="Arial"/>
        </w:rPr>
        <w:t xml:space="preserve"> </w:t>
      </w:r>
      <w:r w:rsidR="00A17DC8">
        <w:rPr>
          <w:rFonts w:ascii="Arial" w:hAnsi="Arial" w:cs="Arial"/>
        </w:rPr>
        <w:t>at</w:t>
      </w:r>
      <w:r w:rsidRPr="0000370F">
        <w:rPr>
          <w:rFonts w:ascii="Arial" w:hAnsi="Arial" w:cs="Arial"/>
        </w:rPr>
        <w:t xml:space="preserve"> 12 </w:t>
      </w:r>
      <w:r w:rsidRPr="00301B61">
        <w:rPr>
          <w:rFonts w:ascii="Arial" w:hAnsi="Arial" w:cs="Arial"/>
        </w:rPr>
        <w:t xml:space="preserve">months post-index </w:t>
      </w:r>
      <w:r w:rsidR="009A651A" w:rsidRPr="002153C2">
        <w:rPr>
          <w:rFonts w:ascii="Arial" w:hAnsi="Arial" w:cs="Arial"/>
        </w:rPr>
        <w:t>(alkaline phosphatase [</w:t>
      </w:r>
      <w:r w:rsidRPr="00301B61">
        <w:rPr>
          <w:rFonts w:ascii="Arial" w:hAnsi="Arial" w:cs="Arial"/>
        </w:rPr>
        <w:t>ALP</w:t>
      </w:r>
      <w:r w:rsidR="009A651A" w:rsidRPr="002153C2">
        <w:rPr>
          <w:rFonts w:ascii="Arial" w:hAnsi="Arial" w:cs="Arial"/>
        </w:rPr>
        <w:t>]</w:t>
      </w:r>
      <w:r w:rsidRPr="00301B61">
        <w:rPr>
          <w:rFonts w:ascii="Arial" w:hAnsi="Arial" w:cs="Arial"/>
        </w:rPr>
        <w:t xml:space="preserve"> or AST ≥1.5 times the upper limit of normal </w:t>
      </w:r>
      <w:r w:rsidR="009A651A" w:rsidRPr="002153C2">
        <w:rPr>
          <w:rFonts w:ascii="Arial" w:hAnsi="Arial" w:cs="Arial"/>
        </w:rPr>
        <w:t>[</w:t>
      </w:r>
      <w:r w:rsidRPr="00301B61">
        <w:rPr>
          <w:rFonts w:ascii="Arial" w:hAnsi="Arial" w:cs="Arial"/>
        </w:rPr>
        <w:t>ULN, as defined by the assay used at each site</w:t>
      </w:r>
      <w:r w:rsidR="009A651A" w:rsidRPr="002153C2">
        <w:rPr>
          <w:rFonts w:ascii="Arial" w:hAnsi="Arial" w:cs="Arial"/>
        </w:rPr>
        <w:t>]</w:t>
      </w:r>
      <w:r w:rsidRPr="00301B61">
        <w:rPr>
          <w:rFonts w:ascii="Arial" w:hAnsi="Arial" w:cs="Arial"/>
        </w:rPr>
        <w:t xml:space="preserve"> or total bilirubin &gt;1 mg/dL</w:t>
      </w:r>
      <w:r w:rsidR="00FD6809">
        <w:rPr>
          <w:rFonts w:ascii="Arial" w:hAnsi="Arial" w:cs="Arial"/>
        </w:rPr>
        <w:t>)</w:t>
      </w:r>
      <w:r w:rsidRPr="00301B61">
        <w:rPr>
          <w:rFonts w:ascii="Arial" w:hAnsi="Arial" w:cs="Arial"/>
        </w:rPr>
        <w:t>.</w:t>
      </w:r>
      <w:r w:rsidRPr="0000370F">
        <w:rPr>
          <w:rFonts w:ascii="Arial" w:hAnsi="Arial" w:cs="Arial"/>
        </w:rPr>
        <w:t xml:space="preserve"> </w:t>
      </w:r>
      <w:r w:rsidR="009A651A">
        <w:rPr>
          <w:rFonts w:ascii="Arial" w:hAnsi="Arial" w:cs="Arial"/>
        </w:rPr>
        <w:t>Missing data was categorized as</w:t>
      </w:r>
      <w:r w:rsidRPr="0000370F">
        <w:rPr>
          <w:rFonts w:ascii="Arial" w:hAnsi="Arial" w:cs="Arial"/>
        </w:rPr>
        <w:t xml:space="preserve"> “unknown</w:t>
      </w:r>
      <w:r w:rsidR="009A651A">
        <w:rPr>
          <w:rFonts w:ascii="Arial" w:hAnsi="Arial" w:cs="Arial"/>
        </w:rPr>
        <w:t>.</w:t>
      </w:r>
      <w:r w:rsidRPr="0000370F">
        <w:rPr>
          <w:rFonts w:ascii="Arial" w:hAnsi="Arial" w:cs="Arial"/>
        </w:rPr>
        <w:t xml:space="preserve">” </w:t>
      </w:r>
    </w:p>
    <w:p w14:paraId="0A106188" w14:textId="77777777" w:rsidR="005A3AEA" w:rsidRPr="0000370F" w:rsidRDefault="005A3AEA" w:rsidP="005A3AEA">
      <w:pPr>
        <w:spacing w:after="0" w:line="360" w:lineRule="auto"/>
        <w:contextualSpacing/>
        <w:rPr>
          <w:rFonts w:ascii="Arial" w:hAnsi="Arial" w:cs="Arial"/>
        </w:rPr>
      </w:pPr>
    </w:p>
    <w:p w14:paraId="3D9E3186" w14:textId="787202B0" w:rsidR="005A3AEA" w:rsidRPr="0000370F" w:rsidRDefault="00C66322" w:rsidP="005A3AEA">
      <w:pPr>
        <w:spacing w:after="0" w:line="360" w:lineRule="auto"/>
        <w:contextualSpacing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We generated two models</w:t>
      </w:r>
      <w:r w:rsidR="001157B5">
        <w:rPr>
          <w:rFonts w:ascii="Arial" w:hAnsi="Arial" w:cs="Arial"/>
          <w:lang w:bidi="he-IL"/>
        </w:rPr>
        <w:t xml:space="preserve"> for risk of mortality</w:t>
      </w:r>
      <w:r>
        <w:rPr>
          <w:rFonts w:ascii="Arial" w:hAnsi="Arial" w:cs="Arial"/>
          <w:lang w:bidi="he-IL"/>
        </w:rPr>
        <w:t xml:space="preserve"> </w:t>
      </w:r>
      <w:r w:rsidR="00B2696E">
        <w:rPr>
          <w:rFonts w:ascii="Arial" w:hAnsi="Arial" w:cs="Arial"/>
          <w:lang w:bidi="he-IL"/>
        </w:rPr>
        <w:t>that added</w:t>
      </w:r>
      <w:r w:rsidRPr="0000370F">
        <w:rPr>
          <w:rFonts w:ascii="Arial" w:hAnsi="Arial" w:cs="Arial"/>
          <w:lang w:bidi="he-IL"/>
        </w:rPr>
        <w:t xml:space="preserve"> covariates collected at Year 1 of follow-up</w:t>
      </w:r>
      <w:r>
        <w:rPr>
          <w:rFonts w:ascii="Arial" w:hAnsi="Arial" w:cs="Arial"/>
          <w:lang w:bidi="he-IL"/>
        </w:rPr>
        <w:t xml:space="preserve"> to those in the baseline model</w:t>
      </w:r>
      <w:r w:rsidR="00B2696E" w:rsidRPr="00B2696E">
        <w:rPr>
          <w:rFonts w:ascii="Arial" w:hAnsi="Arial" w:cs="Arial"/>
          <w:lang w:bidi="he-IL"/>
        </w:rPr>
        <w:t xml:space="preserve"> </w:t>
      </w:r>
      <w:r w:rsidR="00B2696E" w:rsidRPr="0000370F">
        <w:rPr>
          <w:rFonts w:ascii="Arial" w:hAnsi="Arial" w:cs="Arial"/>
          <w:lang w:bidi="he-IL"/>
        </w:rPr>
        <w:t>to determine whether the inclusion of these variables improved the accuracy of the model</w:t>
      </w:r>
      <w:r w:rsidRPr="0000370F">
        <w:rPr>
          <w:rFonts w:ascii="Arial" w:hAnsi="Arial" w:cs="Arial"/>
          <w:lang w:bidi="he-IL"/>
        </w:rPr>
        <w:t xml:space="preserve">: 1) </w:t>
      </w:r>
      <w:r w:rsidR="009A651A">
        <w:rPr>
          <w:rFonts w:ascii="Arial" w:hAnsi="Arial" w:cs="Arial"/>
          <w:lang w:bidi="he-IL"/>
        </w:rPr>
        <w:t xml:space="preserve">BL+P2: baseline </w:t>
      </w:r>
      <w:r w:rsidR="00B2696E">
        <w:rPr>
          <w:rFonts w:ascii="Arial" w:hAnsi="Arial" w:cs="Arial"/>
          <w:lang w:bidi="he-IL"/>
        </w:rPr>
        <w:t xml:space="preserve">variables plus </w:t>
      </w:r>
      <w:r w:rsidRPr="0000370F">
        <w:rPr>
          <w:rFonts w:ascii="Arial" w:hAnsi="Arial" w:cs="Arial"/>
          <w:lang w:bidi="he-IL"/>
        </w:rPr>
        <w:t xml:space="preserve">the </w:t>
      </w:r>
      <w:r>
        <w:rPr>
          <w:rFonts w:ascii="Arial" w:hAnsi="Arial" w:cs="Arial"/>
          <w:lang w:bidi="he-IL"/>
        </w:rPr>
        <w:t xml:space="preserve">interaction between UDCA and </w:t>
      </w:r>
      <w:r w:rsidRPr="0000370F">
        <w:rPr>
          <w:rFonts w:ascii="Arial" w:hAnsi="Arial" w:cs="Arial"/>
          <w:lang w:bidi="he-IL"/>
        </w:rPr>
        <w:t>Paris-II</w:t>
      </w:r>
      <w:r>
        <w:rPr>
          <w:rFonts w:ascii="Arial" w:hAnsi="Arial" w:cs="Arial"/>
          <w:lang w:bidi="he-IL"/>
        </w:rPr>
        <w:t xml:space="preserve"> criteria</w:t>
      </w:r>
      <w:r w:rsidRPr="0000370F">
        <w:rPr>
          <w:rFonts w:ascii="Arial" w:hAnsi="Arial" w:cs="Arial"/>
          <w:lang w:bidi="he-IL"/>
        </w:rPr>
        <w:t xml:space="preserve">; </w:t>
      </w:r>
      <w:r w:rsidR="00B2696E">
        <w:rPr>
          <w:rFonts w:ascii="Arial" w:hAnsi="Arial" w:cs="Arial"/>
          <w:lang w:bidi="he-IL"/>
        </w:rPr>
        <w:t>2) BL</w:t>
      </w:r>
      <w:r w:rsidR="009A651A">
        <w:rPr>
          <w:rFonts w:ascii="Arial" w:hAnsi="Arial" w:cs="Arial"/>
          <w:lang w:bidi="he-IL"/>
        </w:rPr>
        <w:t>+1: baseline</w:t>
      </w:r>
      <w:r w:rsidR="00B2696E">
        <w:rPr>
          <w:rFonts w:ascii="Arial" w:hAnsi="Arial" w:cs="Arial"/>
          <w:lang w:bidi="he-IL"/>
        </w:rPr>
        <w:t xml:space="preserve"> variables plus </w:t>
      </w:r>
      <w:r w:rsidR="005A3AEA" w:rsidRPr="0000370F">
        <w:rPr>
          <w:rFonts w:ascii="Arial" w:hAnsi="Arial" w:cs="Arial"/>
          <w:lang w:bidi="he-IL"/>
        </w:rPr>
        <w:t>a set of categorical variables</w:t>
      </w:r>
      <w:r w:rsidR="00135284">
        <w:rPr>
          <w:rFonts w:ascii="Arial" w:hAnsi="Arial" w:cs="Arial"/>
          <w:lang w:bidi="he-IL"/>
        </w:rPr>
        <w:t>—</w:t>
      </w:r>
      <w:r w:rsidR="005A3AEA" w:rsidRPr="0000370F">
        <w:rPr>
          <w:rFonts w:ascii="Arial" w:hAnsi="Arial" w:cs="Arial"/>
          <w:lang w:bidi="he-IL"/>
        </w:rPr>
        <w:t xml:space="preserve">ALP </w:t>
      </w:r>
      <w:r w:rsidR="00135284">
        <w:rPr>
          <w:rFonts w:ascii="Arial" w:hAnsi="Arial" w:cs="Arial"/>
          <w:lang w:bidi="he-IL"/>
        </w:rPr>
        <w:t>(</w:t>
      </w:r>
      <w:r w:rsidR="005A3AEA" w:rsidRPr="0000370F">
        <w:rPr>
          <w:rFonts w:ascii="Arial" w:hAnsi="Arial" w:cs="Arial"/>
          <w:lang w:bidi="he-IL"/>
        </w:rPr>
        <w:t>normal or &gt;ULN, based on the assay used at each site</w:t>
      </w:r>
      <w:r w:rsidR="00135284">
        <w:rPr>
          <w:rFonts w:ascii="Arial" w:hAnsi="Arial" w:cs="Arial"/>
          <w:lang w:bidi="he-IL"/>
        </w:rPr>
        <w:t>)</w:t>
      </w:r>
      <w:r w:rsidR="005A3AEA" w:rsidRPr="0000370F">
        <w:rPr>
          <w:rFonts w:ascii="Arial" w:hAnsi="Arial" w:cs="Arial"/>
          <w:lang w:bidi="he-IL"/>
        </w:rPr>
        <w:t>, the ratio of AST/ALT, and total bilirubin</w:t>
      </w:r>
      <w:r w:rsidR="00B2696E">
        <w:rPr>
          <w:rFonts w:ascii="Arial" w:hAnsi="Arial" w:cs="Arial"/>
          <w:lang w:bidi="he-IL"/>
        </w:rPr>
        <w:t xml:space="preserve">. </w:t>
      </w:r>
      <w:r w:rsidR="005A3AEA" w:rsidRPr="0000370F">
        <w:rPr>
          <w:rFonts w:ascii="Arial" w:hAnsi="Arial" w:cs="Arial"/>
          <w:lang w:bidi="he-IL"/>
        </w:rPr>
        <w:t xml:space="preserve">We also compared </w:t>
      </w:r>
      <w:r w:rsidR="00135284">
        <w:rPr>
          <w:rFonts w:ascii="Arial" w:hAnsi="Arial" w:cs="Arial"/>
          <w:lang w:bidi="he-IL"/>
        </w:rPr>
        <w:t>these Year 1</w:t>
      </w:r>
      <w:r w:rsidR="005A3AEA" w:rsidRPr="0000370F">
        <w:rPr>
          <w:rFonts w:ascii="Arial" w:hAnsi="Arial" w:cs="Arial"/>
          <w:lang w:bidi="he-IL"/>
        </w:rPr>
        <w:t xml:space="preserve"> model</w:t>
      </w:r>
      <w:r w:rsidR="00B2696E">
        <w:rPr>
          <w:rFonts w:ascii="Arial" w:hAnsi="Arial" w:cs="Arial"/>
          <w:lang w:bidi="he-IL"/>
        </w:rPr>
        <w:t>s</w:t>
      </w:r>
      <w:r w:rsidR="005A3AEA" w:rsidRPr="0000370F">
        <w:rPr>
          <w:rFonts w:ascii="Arial" w:hAnsi="Arial" w:cs="Arial"/>
          <w:lang w:bidi="he-IL"/>
        </w:rPr>
        <w:t xml:space="preserve"> to a model that included the Paris-II criteria alone. A similar analytical approach was used to study the risks and the impact of UDCA treatment on </w:t>
      </w:r>
      <w:r w:rsidR="008436AC">
        <w:rPr>
          <w:rFonts w:ascii="Arial" w:hAnsi="Arial" w:cs="Arial"/>
          <w:lang w:bidi="he-IL"/>
        </w:rPr>
        <w:t xml:space="preserve">liver </w:t>
      </w:r>
      <w:r w:rsidR="005A3AEA" w:rsidRPr="0000370F">
        <w:rPr>
          <w:rFonts w:ascii="Arial" w:hAnsi="Arial" w:cs="Arial"/>
          <w:lang w:bidi="he-IL"/>
        </w:rPr>
        <w:t>transplant</w:t>
      </w:r>
      <w:r w:rsidR="008436AC">
        <w:rPr>
          <w:rFonts w:ascii="Arial" w:hAnsi="Arial" w:cs="Arial"/>
          <w:lang w:bidi="he-IL"/>
        </w:rPr>
        <w:t>/ death</w:t>
      </w:r>
      <w:r w:rsidR="005A3AEA" w:rsidRPr="0000370F">
        <w:rPr>
          <w:rFonts w:ascii="Arial" w:hAnsi="Arial" w:cs="Arial"/>
          <w:lang w:bidi="he-IL"/>
        </w:rPr>
        <w:t>.</w:t>
      </w:r>
    </w:p>
    <w:p w14:paraId="15D70274" w14:textId="77777777" w:rsidR="004753A3" w:rsidRPr="001C4B62" w:rsidRDefault="004753A3" w:rsidP="004753A3">
      <w:pPr>
        <w:spacing w:line="360" w:lineRule="auto"/>
        <w:contextualSpacing/>
        <w:rPr>
          <w:rFonts w:ascii="Arial" w:hAnsi="Arial" w:cs="Arial"/>
          <w:lang w:bidi="he-IL"/>
        </w:rPr>
      </w:pPr>
    </w:p>
    <w:p w14:paraId="11BEA6A8" w14:textId="7CB87337" w:rsidR="00646A4F" w:rsidRPr="0000370F" w:rsidRDefault="00116F37" w:rsidP="005A3AEA">
      <w:pPr>
        <w:spacing w:after="0" w:line="360" w:lineRule="auto"/>
        <w:contextualSpacing/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 xml:space="preserve">Results of </w:t>
      </w:r>
      <w:r w:rsidR="001675FE">
        <w:rPr>
          <w:rFonts w:ascii="Arial" w:hAnsi="Arial" w:cs="Arial"/>
          <w:b/>
          <w:lang w:bidi="he-IL"/>
        </w:rPr>
        <w:t xml:space="preserve">mortality risk </w:t>
      </w:r>
      <w:r>
        <w:rPr>
          <w:rFonts w:ascii="Arial" w:hAnsi="Arial" w:cs="Arial"/>
          <w:b/>
          <w:lang w:bidi="he-IL"/>
        </w:rPr>
        <w:t xml:space="preserve">models incorporating covariates measured at </w:t>
      </w:r>
      <w:r w:rsidR="00C66322">
        <w:rPr>
          <w:rFonts w:ascii="Arial" w:hAnsi="Arial" w:cs="Arial"/>
          <w:b/>
          <w:lang w:bidi="he-IL"/>
        </w:rPr>
        <w:t>Year 1</w:t>
      </w:r>
    </w:p>
    <w:p w14:paraId="64D3E356" w14:textId="2B54EF16" w:rsidR="00646A4F" w:rsidRPr="0000370F" w:rsidRDefault="00E643BD" w:rsidP="008436A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lang w:bidi="he-IL"/>
        </w:rPr>
        <w:t>Predictive accuracy (AUROC) of</w:t>
      </w:r>
      <w:r w:rsidR="008436AC">
        <w:rPr>
          <w:rFonts w:ascii="Arial" w:hAnsi="Arial" w:cs="Arial"/>
          <w:lang w:bidi="he-IL"/>
        </w:rPr>
        <w:t xml:space="preserve"> all models is summarized in Table S6. AUROC for </w:t>
      </w:r>
      <w:r>
        <w:rPr>
          <w:rFonts w:ascii="Arial" w:hAnsi="Arial" w:cs="Arial"/>
          <w:lang w:bidi="he-IL"/>
        </w:rPr>
        <w:t>th</w:t>
      </w:r>
      <w:r w:rsidR="00556225">
        <w:rPr>
          <w:rFonts w:ascii="Arial" w:hAnsi="Arial" w:cs="Arial"/>
          <w:lang w:bidi="he-IL"/>
        </w:rPr>
        <w:t>e BL+P2</w:t>
      </w:r>
      <w:r>
        <w:rPr>
          <w:rFonts w:ascii="Arial" w:hAnsi="Arial" w:cs="Arial"/>
          <w:lang w:bidi="he-IL"/>
        </w:rPr>
        <w:t xml:space="preserve"> model was</w:t>
      </w:r>
      <w:r w:rsidR="008436AC">
        <w:rPr>
          <w:rFonts w:ascii="Arial" w:hAnsi="Arial" w:cs="Arial"/>
          <w:lang w:bidi="he-IL"/>
        </w:rPr>
        <w:t xml:space="preserve"> “very good”</w:t>
      </w:r>
      <w:r>
        <w:rPr>
          <w:rFonts w:ascii="Arial" w:hAnsi="Arial" w:cs="Arial"/>
          <w:lang w:bidi="he-IL"/>
        </w:rPr>
        <w:t xml:space="preserve"> </w:t>
      </w:r>
      <w:r w:rsidR="00646A4F" w:rsidRPr="0000370F">
        <w:rPr>
          <w:rFonts w:ascii="Arial" w:hAnsi="Arial" w:cs="Arial"/>
          <w:lang w:bidi="he-IL"/>
        </w:rPr>
        <w:t xml:space="preserve">at </w:t>
      </w:r>
      <w:r>
        <w:rPr>
          <w:rFonts w:ascii="Arial" w:hAnsi="Arial" w:cs="Arial"/>
          <w:lang w:bidi="he-IL"/>
        </w:rPr>
        <w:t>Y</w:t>
      </w:r>
      <w:r w:rsidR="00646A4F" w:rsidRPr="0000370F">
        <w:rPr>
          <w:rFonts w:ascii="Arial" w:hAnsi="Arial" w:cs="Arial"/>
          <w:lang w:bidi="he-IL"/>
        </w:rPr>
        <w:t xml:space="preserve">ear 2 </w:t>
      </w:r>
      <w:r>
        <w:rPr>
          <w:rFonts w:ascii="Arial" w:hAnsi="Arial" w:cs="Arial"/>
          <w:lang w:bidi="he-IL"/>
        </w:rPr>
        <w:t>post-index</w:t>
      </w:r>
      <w:r w:rsidR="008436AC">
        <w:rPr>
          <w:rFonts w:ascii="Arial" w:hAnsi="Arial" w:cs="Arial"/>
          <w:lang w:bidi="he-IL"/>
        </w:rPr>
        <w:t xml:space="preserve"> (0.89)</w:t>
      </w:r>
      <w:r>
        <w:rPr>
          <w:rFonts w:ascii="Arial" w:hAnsi="Arial" w:cs="Arial"/>
          <w:lang w:bidi="he-IL"/>
        </w:rPr>
        <w:t xml:space="preserve">, </w:t>
      </w:r>
      <w:r w:rsidR="00646A4F" w:rsidRPr="0000370F">
        <w:rPr>
          <w:rFonts w:ascii="Arial" w:hAnsi="Arial" w:cs="Arial"/>
          <w:lang w:bidi="he-IL"/>
        </w:rPr>
        <w:t xml:space="preserve">and </w:t>
      </w:r>
      <w:r w:rsidR="008436AC">
        <w:rPr>
          <w:rFonts w:ascii="Arial" w:hAnsi="Arial" w:cs="Arial"/>
          <w:lang w:bidi="he-IL"/>
        </w:rPr>
        <w:t xml:space="preserve">“good” </w:t>
      </w:r>
      <w:r w:rsidR="00646A4F" w:rsidRPr="0000370F">
        <w:rPr>
          <w:rFonts w:ascii="Arial" w:hAnsi="Arial" w:cs="Arial"/>
          <w:lang w:bidi="he-IL"/>
        </w:rPr>
        <w:t xml:space="preserve">at </w:t>
      </w:r>
      <w:r>
        <w:rPr>
          <w:rFonts w:ascii="Arial" w:hAnsi="Arial" w:cs="Arial"/>
          <w:lang w:bidi="he-IL"/>
        </w:rPr>
        <w:t>Y</w:t>
      </w:r>
      <w:r w:rsidR="00646A4F" w:rsidRPr="0000370F">
        <w:rPr>
          <w:rFonts w:ascii="Arial" w:hAnsi="Arial" w:cs="Arial"/>
          <w:lang w:bidi="he-IL"/>
        </w:rPr>
        <w:t>ear 5</w:t>
      </w:r>
      <w:r w:rsidR="008436AC">
        <w:rPr>
          <w:rFonts w:ascii="Arial" w:hAnsi="Arial" w:cs="Arial"/>
          <w:lang w:bidi="he-IL"/>
        </w:rPr>
        <w:t xml:space="preserve"> (0.84)</w:t>
      </w:r>
      <w:r>
        <w:rPr>
          <w:rFonts w:ascii="Arial" w:hAnsi="Arial" w:cs="Arial"/>
          <w:lang w:bidi="he-IL"/>
        </w:rPr>
        <w:t>. For the BL+1</w:t>
      </w:r>
      <w:r w:rsidR="00E429FF">
        <w:rPr>
          <w:rFonts w:ascii="Arial" w:hAnsi="Arial" w:cs="Arial"/>
          <w:lang w:bidi="he-IL"/>
        </w:rPr>
        <w:t xml:space="preserve"> model</w:t>
      </w:r>
      <w:r w:rsidR="00556225">
        <w:rPr>
          <w:rFonts w:ascii="Arial" w:hAnsi="Arial" w:cs="Arial"/>
          <w:lang w:bidi="he-IL"/>
        </w:rPr>
        <w:t>, t</w:t>
      </w:r>
      <w:r w:rsidR="008D7AED">
        <w:rPr>
          <w:rFonts w:ascii="Arial" w:hAnsi="Arial" w:cs="Arial"/>
          <w:lang w:bidi="he-IL"/>
        </w:rPr>
        <w:t>he incorporation of the Year 1 variables improved the predictive accuracy of the model (</w:t>
      </w:r>
      <w:r w:rsidR="00646A4F" w:rsidRPr="0000370F">
        <w:rPr>
          <w:rFonts w:ascii="Arial" w:hAnsi="Arial" w:cs="Arial"/>
          <w:lang w:bidi="he-IL"/>
        </w:rPr>
        <w:t>AU</w:t>
      </w:r>
      <w:r w:rsidR="008D7AED">
        <w:rPr>
          <w:rFonts w:ascii="Arial" w:hAnsi="Arial" w:cs="Arial"/>
          <w:lang w:bidi="he-IL"/>
        </w:rPr>
        <w:t>RO</w:t>
      </w:r>
      <w:r w:rsidR="00646A4F" w:rsidRPr="0000370F">
        <w:rPr>
          <w:rFonts w:ascii="Arial" w:hAnsi="Arial" w:cs="Arial"/>
          <w:lang w:bidi="he-IL"/>
        </w:rPr>
        <w:t>C=0.</w:t>
      </w:r>
      <w:r w:rsidR="00556225">
        <w:rPr>
          <w:rFonts w:ascii="Arial" w:hAnsi="Arial" w:cs="Arial"/>
          <w:lang w:bidi="he-IL"/>
        </w:rPr>
        <w:t>90</w:t>
      </w:r>
      <w:r w:rsidR="00646A4F" w:rsidRPr="0000370F">
        <w:rPr>
          <w:rFonts w:ascii="Arial" w:hAnsi="Arial" w:cs="Arial"/>
          <w:lang w:bidi="he-IL"/>
        </w:rPr>
        <w:t xml:space="preserve"> at Year </w:t>
      </w:r>
      <w:r w:rsidR="008D7AED">
        <w:rPr>
          <w:rFonts w:ascii="Arial" w:hAnsi="Arial" w:cs="Arial"/>
          <w:lang w:bidi="he-IL"/>
        </w:rPr>
        <w:t>2 post-index</w:t>
      </w:r>
      <w:r w:rsidR="00646A4F" w:rsidRPr="0000370F">
        <w:rPr>
          <w:rFonts w:ascii="Arial" w:hAnsi="Arial" w:cs="Arial"/>
          <w:lang w:bidi="he-IL"/>
        </w:rPr>
        <w:t>; 0.</w:t>
      </w:r>
      <w:r w:rsidR="00556225">
        <w:rPr>
          <w:rFonts w:ascii="Arial" w:hAnsi="Arial" w:cs="Arial"/>
          <w:lang w:bidi="he-IL"/>
        </w:rPr>
        <w:t>85</w:t>
      </w:r>
      <w:r w:rsidR="00646A4F" w:rsidRPr="0000370F">
        <w:rPr>
          <w:rFonts w:ascii="Arial" w:hAnsi="Arial" w:cs="Arial"/>
          <w:lang w:bidi="he-IL"/>
        </w:rPr>
        <w:t xml:space="preserve"> at Year 5). </w:t>
      </w:r>
      <w:r w:rsidR="007941C2">
        <w:rPr>
          <w:rFonts w:ascii="Arial" w:hAnsi="Arial" w:cs="Arial"/>
          <w:lang w:bidi="he-IL"/>
        </w:rPr>
        <w:t xml:space="preserve">The predictive accuracy of both of these models was better than a model using </w:t>
      </w:r>
      <w:r w:rsidR="00646A4F" w:rsidRPr="0000370F">
        <w:rPr>
          <w:rFonts w:ascii="Arial" w:hAnsi="Arial" w:cs="Arial"/>
          <w:lang w:bidi="he-IL"/>
        </w:rPr>
        <w:t>Paris</w:t>
      </w:r>
      <w:r w:rsidR="007941C2">
        <w:rPr>
          <w:rFonts w:ascii="Arial" w:hAnsi="Arial" w:cs="Arial"/>
          <w:lang w:bidi="he-IL"/>
        </w:rPr>
        <w:t>-</w:t>
      </w:r>
      <w:r w:rsidR="00646A4F" w:rsidRPr="0000370F">
        <w:rPr>
          <w:rFonts w:ascii="Arial" w:hAnsi="Arial" w:cs="Arial"/>
          <w:lang w:bidi="he-IL"/>
        </w:rPr>
        <w:t xml:space="preserve">II </w:t>
      </w:r>
      <w:r w:rsidR="007941C2">
        <w:rPr>
          <w:rFonts w:ascii="Arial" w:hAnsi="Arial" w:cs="Arial"/>
          <w:lang w:bidi="he-IL"/>
        </w:rPr>
        <w:t xml:space="preserve">criteria </w:t>
      </w:r>
      <w:r w:rsidR="00646A4F" w:rsidRPr="0000370F">
        <w:rPr>
          <w:rFonts w:ascii="Arial" w:hAnsi="Arial" w:cs="Arial"/>
          <w:lang w:bidi="he-IL"/>
        </w:rPr>
        <w:t>alone (P2</w:t>
      </w:r>
      <w:r w:rsidR="007941C2">
        <w:rPr>
          <w:rFonts w:ascii="Arial" w:hAnsi="Arial" w:cs="Arial"/>
          <w:lang w:bidi="he-IL"/>
        </w:rPr>
        <w:t xml:space="preserve">; </w:t>
      </w:r>
      <w:r w:rsidR="00646A4F" w:rsidRPr="0000370F">
        <w:rPr>
          <w:rFonts w:ascii="Arial" w:hAnsi="Arial" w:cs="Arial"/>
          <w:lang w:bidi="he-IL"/>
        </w:rPr>
        <w:t>AU</w:t>
      </w:r>
      <w:r w:rsidR="007941C2">
        <w:rPr>
          <w:rFonts w:ascii="Arial" w:hAnsi="Arial" w:cs="Arial"/>
          <w:lang w:bidi="he-IL"/>
        </w:rPr>
        <w:t>RO</w:t>
      </w:r>
      <w:r w:rsidR="00646A4F" w:rsidRPr="0000370F">
        <w:rPr>
          <w:rFonts w:ascii="Arial" w:hAnsi="Arial" w:cs="Arial"/>
          <w:lang w:bidi="he-IL"/>
        </w:rPr>
        <w:t xml:space="preserve">C=0.84 at </w:t>
      </w:r>
      <w:r w:rsidR="007941C2">
        <w:rPr>
          <w:rFonts w:ascii="Arial" w:hAnsi="Arial" w:cs="Arial"/>
          <w:lang w:bidi="he-IL"/>
        </w:rPr>
        <w:t>Y</w:t>
      </w:r>
      <w:r w:rsidR="00646A4F" w:rsidRPr="0000370F">
        <w:rPr>
          <w:rFonts w:ascii="Arial" w:hAnsi="Arial" w:cs="Arial"/>
          <w:lang w:bidi="he-IL"/>
        </w:rPr>
        <w:t xml:space="preserve">ear 2 </w:t>
      </w:r>
      <w:r w:rsidR="007941C2">
        <w:rPr>
          <w:rFonts w:ascii="Arial" w:hAnsi="Arial" w:cs="Arial"/>
          <w:lang w:bidi="he-IL"/>
        </w:rPr>
        <w:t>post-index;</w:t>
      </w:r>
      <w:r w:rsidR="00646A4F" w:rsidRPr="0000370F">
        <w:rPr>
          <w:rFonts w:ascii="Arial" w:hAnsi="Arial" w:cs="Arial"/>
          <w:lang w:bidi="he-IL"/>
        </w:rPr>
        <w:t xml:space="preserve"> 0.74 at </w:t>
      </w:r>
      <w:r w:rsidR="007941C2">
        <w:rPr>
          <w:rFonts w:ascii="Arial" w:hAnsi="Arial" w:cs="Arial"/>
          <w:lang w:bidi="he-IL"/>
        </w:rPr>
        <w:t>Y</w:t>
      </w:r>
      <w:r w:rsidR="00646A4F" w:rsidRPr="0000370F">
        <w:rPr>
          <w:rFonts w:ascii="Arial" w:hAnsi="Arial" w:cs="Arial"/>
          <w:lang w:bidi="he-IL"/>
        </w:rPr>
        <w:t xml:space="preserve">ear 5). </w:t>
      </w:r>
    </w:p>
    <w:p w14:paraId="2FC5404C" w14:textId="77777777" w:rsidR="00864F9B" w:rsidRPr="0000370F" w:rsidRDefault="00864F9B" w:rsidP="00646A4F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 w:themeColor="text1"/>
          <w:lang w:bidi="he-IL"/>
        </w:rPr>
      </w:pPr>
    </w:p>
    <w:p w14:paraId="3D406639" w14:textId="287FECD5" w:rsidR="00864F9B" w:rsidRPr="0000370F" w:rsidRDefault="001675FE" w:rsidP="00864F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>M</w:t>
      </w:r>
      <w:r w:rsidR="00864F9B" w:rsidRPr="0000370F">
        <w:rPr>
          <w:rFonts w:ascii="Arial" w:hAnsi="Arial" w:cs="Arial"/>
          <w:b/>
          <w:lang w:bidi="he-IL"/>
        </w:rPr>
        <w:t>odel</w:t>
      </w:r>
      <w:r w:rsidR="009F6F74">
        <w:rPr>
          <w:rFonts w:ascii="Arial" w:hAnsi="Arial" w:cs="Arial"/>
          <w:b/>
          <w:lang w:bidi="he-IL"/>
        </w:rPr>
        <w:t>s</w:t>
      </w:r>
      <w:r w:rsidR="00864F9B" w:rsidRPr="0000370F">
        <w:rPr>
          <w:rFonts w:ascii="Arial" w:hAnsi="Arial" w:cs="Arial"/>
          <w:b/>
          <w:lang w:bidi="he-IL"/>
        </w:rPr>
        <w:t xml:space="preserve"> for impact of UDCA treatment on liver transplant</w:t>
      </w:r>
      <w:r w:rsidR="001157B5">
        <w:rPr>
          <w:rFonts w:ascii="Arial" w:hAnsi="Arial" w:cs="Arial"/>
          <w:b/>
          <w:lang w:bidi="he-IL"/>
        </w:rPr>
        <w:t>/</w:t>
      </w:r>
      <w:r w:rsidR="00864F9B" w:rsidRPr="0000370F">
        <w:rPr>
          <w:rFonts w:ascii="Arial" w:hAnsi="Arial" w:cs="Arial"/>
          <w:b/>
          <w:lang w:bidi="he-IL"/>
        </w:rPr>
        <w:t xml:space="preserve"> </w:t>
      </w:r>
      <w:r w:rsidR="009F6F74">
        <w:rPr>
          <w:rFonts w:ascii="Arial" w:hAnsi="Arial" w:cs="Arial"/>
          <w:b/>
          <w:lang w:bidi="he-IL"/>
        </w:rPr>
        <w:t>death</w:t>
      </w:r>
      <w:r w:rsidR="00864F9B" w:rsidRPr="0000370F">
        <w:rPr>
          <w:rFonts w:ascii="Arial" w:hAnsi="Arial" w:cs="Arial"/>
          <w:b/>
          <w:lang w:bidi="he-IL"/>
        </w:rPr>
        <w:t xml:space="preserve"> </w:t>
      </w:r>
    </w:p>
    <w:p w14:paraId="39552F09" w14:textId="1009AF75" w:rsidR="001675FE" w:rsidRPr="009C423D" w:rsidRDefault="000723C4" w:rsidP="000723C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bidi="he-IL"/>
        </w:rPr>
      </w:pPr>
      <w:r w:rsidRPr="0000370F">
        <w:rPr>
          <w:rFonts w:ascii="Arial" w:hAnsi="Arial" w:cs="Arial"/>
          <w:lang w:bidi="he-IL"/>
        </w:rPr>
        <w:lastRenderedPageBreak/>
        <w:t xml:space="preserve">For this analysis, we excluded 111 patients who had received a liver transplant prior to their index date, leaving a sample of 4127. </w:t>
      </w:r>
      <w:r w:rsidRPr="0000370F">
        <w:rPr>
          <w:rFonts w:ascii="Arial" w:eastAsia="Calibri" w:hAnsi="Arial" w:cs="Arial"/>
          <w:kern w:val="24"/>
        </w:rPr>
        <w:t xml:space="preserve">After IPTW, there were no significant differences in patient characteristics (including index year) between treatment groups. </w:t>
      </w:r>
      <w:r w:rsidR="006573C9">
        <w:rPr>
          <w:rFonts w:ascii="Arial" w:hAnsi="Arial" w:cs="Arial"/>
          <w:lang w:bidi="he-IL"/>
        </w:rPr>
        <w:t>We generated t</w:t>
      </w:r>
      <w:r w:rsidR="00274214">
        <w:rPr>
          <w:rFonts w:ascii="Arial" w:hAnsi="Arial" w:cs="Arial"/>
          <w:lang w:bidi="he-IL"/>
        </w:rPr>
        <w:t xml:space="preserve">wo TXF models </w:t>
      </w:r>
      <w:r w:rsidR="006573C9">
        <w:rPr>
          <w:rFonts w:ascii="Arial" w:hAnsi="Arial" w:cs="Arial"/>
          <w:lang w:bidi="he-IL"/>
        </w:rPr>
        <w:t>that added</w:t>
      </w:r>
      <w:r w:rsidR="00274214">
        <w:rPr>
          <w:rFonts w:ascii="Arial" w:hAnsi="Arial" w:cs="Arial"/>
          <w:lang w:bidi="he-IL"/>
        </w:rPr>
        <w:t xml:space="preserve"> covariates measured at Y</w:t>
      </w:r>
      <w:r w:rsidRPr="0000370F">
        <w:rPr>
          <w:rFonts w:ascii="Arial" w:hAnsi="Arial" w:cs="Arial"/>
          <w:lang w:bidi="he-IL"/>
        </w:rPr>
        <w:t xml:space="preserve">ear 1 </w:t>
      </w:r>
      <w:r w:rsidR="00274214">
        <w:rPr>
          <w:rFonts w:ascii="Arial" w:hAnsi="Arial" w:cs="Arial"/>
          <w:lang w:bidi="he-IL"/>
        </w:rPr>
        <w:t>after index:</w:t>
      </w:r>
      <w:r w:rsidRPr="0000370F">
        <w:rPr>
          <w:rFonts w:ascii="Arial" w:hAnsi="Arial" w:cs="Arial"/>
          <w:lang w:bidi="he-IL"/>
        </w:rPr>
        <w:t xml:space="preserve"> 1) </w:t>
      </w:r>
      <w:r w:rsidR="00004F55">
        <w:rPr>
          <w:rFonts w:ascii="Arial" w:hAnsi="Arial" w:cs="Arial"/>
          <w:lang w:bidi="he-IL"/>
        </w:rPr>
        <w:t>TXF</w:t>
      </w:r>
      <w:r w:rsidR="00A17DC8">
        <w:rPr>
          <w:rFonts w:ascii="Arial" w:hAnsi="Arial" w:cs="Arial"/>
          <w:lang w:bidi="he-IL"/>
        </w:rPr>
        <w:t>+P2, using basel</w:t>
      </w:r>
      <w:r w:rsidR="00A17DC8" w:rsidRPr="009C423D">
        <w:rPr>
          <w:rFonts w:ascii="Arial" w:hAnsi="Arial" w:cs="Arial"/>
          <w:lang w:bidi="he-IL"/>
        </w:rPr>
        <w:t xml:space="preserve">ine covariates plus the Paris-II criteria at Year 1; and 2) TXF+1: baseline covariates plus a set of covariates measured at Year 1 post-index. </w:t>
      </w:r>
    </w:p>
    <w:p w14:paraId="010A8CBF" w14:textId="77777777" w:rsidR="001675FE" w:rsidRPr="009C423D" w:rsidRDefault="001675FE" w:rsidP="000723C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bidi="he-IL"/>
        </w:rPr>
      </w:pPr>
    </w:p>
    <w:p w14:paraId="0CC63B9B" w14:textId="5322FF12" w:rsidR="001675FE" w:rsidRPr="009C423D" w:rsidRDefault="001675FE" w:rsidP="001675FE">
      <w:pPr>
        <w:spacing w:after="0" w:line="360" w:lineRule="auto"/>
        <w:contextualSpacing/>
        <w:rPr>
          <w:rFonts w:ascii="Arial" w:hAnsi="Arial" w:cs="Arial"/>
          <w:b/>
          <w:lang w:bidi="he-IL"/>
        </w:rPr>
      </w:pPr>
      <w:r w:rsidRPr="009C423D">
        <w:rPr>
          <w:rFonts w:ascii="Arial" w:hAnsi="Arial" w:cs="Arial"/>
          <w:b/>
          <w:lang w:bidi="he-IL"/>
        </w:rPr>
        <w:t>Results of liver transplant/ death risk models incorporating covariates measured at Year 1</w:t>
      </w:r>
    </w:p>
    <w:p w14:paraId="06758EAE" w14:textId="53CAEF1F" w:rsidR="000723C4" w:rsidRPr="0000370F" w:rsidRDefault="00A17DC8" w:rsidP="000723C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bidi="he-IL"/>
        </w:rPr>
      </w:pPr>
      <w:r w:rsidRPr="009C423D">
        <w:rPr>
          <w:rFonts w:ascii="Arial" w:hAnsi="Arial" w:cs="Arial"/>
          <w:lang w:bidi="he-IL"/>
        </w:rPr>
        <w:t>The TXF+P2 model</w:t>
      </w:r>
      <w:r w:rsidR="00556225" w:rsidRPr="009C423D">
        <w:rPr>
          <w:rFonts w:ascii="Arial" w:hAnsi="Arial" w:cs="Arial"/>
          <w:lang w:bidi="he-IL"/>
        </w:rPr>
        <w:t xml:space="preserve"> </w:t>
      </w:r>
      <w:r w:rsidR="003767AA" w:rsidRPr="009C423D">
        <w:rPr>
          <w:rFonts w:ascii="Arial" w:hAnsi="Arial" w:cs="Arial"/>
          <w:lang w:bidi="he-IL"/>
        </w:rPr>
        <w:t xml:space="preserve">was consistent with the TXF model; </w:t>
      </w:r>
      <w:r w:rsidR="000723C4" w:rsidRPr="009C423D">
        <w:rPr>
          <w:rFonts w:ascii="Arial" w:hAnsi="Arial" w:cs="Arial"/>
          <w:lang w:bidi="he-IL"/>
        </w:rPr>
        <w:t xml:space="preserve">model accuracy </w:t>
      </w:r>
      <w:r w:rsidR="003767AA" w:rsidRPr="009C423D">
        <w:rPr>
          <w:rFonts w:ascii="Arial" w:hAnsi="Arial" w:cs="Arial"/>
          <w:lang w:bidi="he-IL"/>
        </w:rPr>
        <w:t xml:space="preserve">(AUROC) was </w:t>
      </w:r>
      <w:r w:rsidR="000723C4" w:rsidRPr="009C423D">
        <w:rPr>
          <w:rFonts w:ascii="Arial" w:hAnsi="Arial" w:cs="Arial"/>
          <w:lang w:bidi="he-IL"/>
        </w:rPr>
        <w:t xml:space="preserve">0.85 at </w:t>
      </w:r>
      <w:r w:rsidR="003767AA" w:rsidRPr="009C423D">
        <w:rPr>
          <w:rFonts w:ascii="Arial" w:hAnsi="Arial" w:cs="Arial"/>
          <w:lang w:bidi="he-IL"/>
        </w:rPr>
        <w:t xml:space="preserve">Year 2 post-index and </w:t>
      </w:r>
      <w:r w:rsidR="000723C4" w:rsidRPr="009C423D">
        <w:rPr>
          <w:rFonts w:ascii="Arial" w:hAnsi="Arial" w:cs="Arial"/>
          <w:lang w:bidi="he-IL"/>
        </w:rPr>
        <w:t>0.8</w:t>
      </w:r>
      <w:r w:rsidR="00556225" w:rsidRPr="009C423D">
        <w:rPr>
          <w:rFonts w:ascii="Arial" w:hAnsi="Arial" w:cs="Arial"/>
          <w:lang w:bidi="he-IL"/>
        </w:rPr>
        <w:t>4</w:t>
      </w:r>
      <w:r w:rsidR="000723C4" w:rsidRPr="009C423D">
        <w:rPr>
          <w:rFonts w:ascii="Arial" w:hAnsi="Arial" w:cs="Arial"/>
          <w:lang w:bidi="he-IL"/>
        </w:rPr>
        <w:t xml:space="preserve"> at </w:t>
      </w:r>
      <w:r w:rsidR="003767AA" w:rsidRPr="009C423D">
        <w:rPr>
          <w:rFonts w:ascii="Arial" w:hAnsi="Arial" w:cs="Arial"/>
          <w:lang w:bidi="he-IL"/>
        </w:rPr>
        <w:t>Y</w:t>
      </w:r>
      <w:r w:rsidR="000723C4" w:rsidRPr="009C423D">
        <w:rPr>
          <w:rFonts w:ascii="Arial" w:hAnsi="Arial" w:cs="Arial"/>
          <w:lang w:bidi="he-IL"/>
        </w:rPr>
        <w:t>ear 5</w:t>
      </w:r>
      <w:r w:rsidR="003767AA" w:rsidRPr="009C423D">
        <w:rPr>
          <w:rFonts w:ascii="Arial" w:hAnsi="Arial" w:cs="Arial"/>
          <w:lang w:bidi="he-IL"/>
        </w:rPr>
        <w:t>. Likewise r</w:t>
      </w:r>
      <w:r w:rsidR="000723C4" w:rsidRPr="009C423D">
        <w:rPr>
          <w:rFonts w:ascii="Arial" w:hAnsi="Arial" w:cs="Arial"/>
          <w:lang w:bidi="he-IL"/>
        </w:rPr>
        <w:t xml:space="preserve">esults from the TXF+1 model were similar to those from the TXF baseline model, but predictive accuracy improved at both Year </w:t>
      </w:r>
      <w:r w:rsidR="003767AA" w:rsidRPr="009C423D">
        <w:rPr>
          <w:rFonts w:ascii="Arial" w:hAnsi="Arial" w:cs="Arial"/>
          <w:lang w:bidi="he-IL"/>
        </w:rPr>
        <w:t>2</w:t>
      </w:r>
      <w:r w:rsidR="000723C4" w:rsidRPr="009C423D">
        <w:rPr>
          <w:rFonts w:ascii="Arial" w:hAnsi="Arial" w:cs="Arial"/>
          <w:lang w:bidi="he-IL"/>
        </w:rPr>
        <w:t xml:space="preserve"> and </w:t>
      </w:r>
      <w:r w:rsidR="003767AA" w:rsidRPr="009C423D">
        <w:rPr>
          <w:rFonts w:ascii="Arial" w:hAnsi="Arial" w:cs="Arial"/>
          <w:lang w:bidi="he-IL"/>
        </w:rPr>
        <w:t xml:space="preserve">Year </w:t>
      </w:r>
      <w:r w:rsidR="000723C4" w:rsidRPr="009C423D">
        <w:rPr>
          <w:rFonts w:ascii="Arial" w:hAnsi="Arial" w:cs="Arial"/>
          <w:lang w:bidi="he-IL"/>
        </w:rPr>
        <w:t xml:space="preserve">5 </w:t>
      </w:r>
      <w:r w:rsidR="003767AA" w:rsidRPr="009C423D">
        <w:rPr>
          <w:rFonts w:ascii="Arial" w:hAnsi="Arial" w:cs="Arial"/>
          <w:lang w:bidi="he-IL"/>
        </w:rPr>
        <w:t xml:space="preserve">post-index </w:t>
      </w:r>
      <w:r w:rsidR="000723C4" w:rsidRPr="009C423D">
        <w:rPr>
          <w:rFonts w:ascii="Arial" w:hAnsi="Arial" w:cs="Arial"/>
          <w:lang w:bidi="he-IL"/>
        </w:rPr>
        <w:t>(A</w:t>
      </w:r>
      <w:r w:rsidR="003767AA" w:rsidRPr="009C423D">
        <w:rPr>
          <w:rFonts w:ascii="Arial" w:hAnsi="Arial" w:cs="Arial"/>
          <w:lang w:bidi="he-IL"/>
        </w:rPr>
        <w:t>URO</w:t>
      </w:r>
      <w:r w:rsidR="000723C4" w:rsidRPr="009C423D">
        <w:rPr>
          <w:rFonts w:ascii="Arial" w:hAnsi="Arial" w:cs="Arial"/>
          <w:lang w:bidi="he-IL"/>
        </w:rPr>
        <w:t>C=0.8</w:t>
      </w:r>
      <w:r w:rsidR="00556225" w:rsidRPr="009C423D">
        <w:rPr>
          <w:rFonts w:ascii="Arial" w:hAnsi="Arial" w:cs="Arial"/>
          <w:lang w:bidi="he-IL"/>
        </w:rPr>
        <w:t>6</w:t>
      </w:r>
      <w:r w:rsidR="000723C4" w:rsidRPr="009C423D">
        <w:rPr>
          <w:rFonts w:ascii="Arial" w:hAnsi="Arial" w:cs="Arial"/>
          <w:lang w:bidi="he-IL"/>
        </w:rPr>
        <w:t xml:space="preserve"> and 0.8</w:t>
      </w:r>
      <w:r w:rsidR="00556225" w:rsidRPr="009C423D">
        <w:rPr>
          <w:rFonts w:ascii="Arial" w:hAnsi="Arial" w:cs="Arial"/>
          <w:lang w:bidi="he-IL"/>
        </w:rPr>
        <w:t>4</w:t>
      </w:r>
      <w:r w:rsidR="003767AA" w:rsidRPr="009C423D">
        <w:rPr>
          <w:rFonts w:ascii="Arial" w:hAnsi="Arial" w:cs="Arial"/>
          <w:lang w:bidi="he-IL"/>
        </w:rPr>
        <w:t>, respectively</w:t>
      </w:r>
      <w:r w:rsidR="000723C4" w:rsidRPr="009C423D">
        <w:rPr>
          <w:rFonts w:ascii="Arial" w:hAnsi="Arial" w:cs="Arial"/>
          <w:lang w:bidi="he-IL"/>
        </w:rPr>
        <w:t>)</w:t>
      </w:r>
      <w:r w:rsidR="003767AA" w:rsidRPr="009C423D">
        <w:rPr>
          <w:rFonts w:ascii="Arial" w:hAnsi="Arial" w:cs="Arial"/>
          <w:lang w:bidi="he-IL"/>
        </w:rPr>
        <w:t xml:space="preserve">. A model using </w:t>
      </w:r>
      <w:r w:rsidR="000723C4" w:rsidRPr="009C423D">
        <w:rPr>
          <w:rFonts w:ascii="Arial" w:hAnsi="Arial" w:cs="Arial"/>
          <w:lang w:bidi="he-IL"/>
        </w:rPr>
        <w:t>Paris</w:t>
      </w:r>
      <w:r w:rsidR="003767AA" w:rsidRPr="009C423D">
        <w:rPr>
          <w:rFonts w:ascii="Arial" w:hAnsi="Arial" w:cs="Arial"/>
          <w:lang w:bidi="he-IL"/>
        </w:rPr>
        <w:t>-</w:t>
      </w:r>
      <w:r w:rsidR="000723C4" w:rsidRPr="009C423D">
        <w:rPr>
          <w:rFonts w:ascii="Arial" w:hAnsi="Arial" w:cs="Arial"/>
          <w:lang w:bidi="he-IL"/>
        </w:rPr>
        <w:t xml:space="preserve">II </w:t>
      </w:r>
      <w:r w:rsidR="003767AA" w:rsidRPr="009C423D">
        <w:rPr>
          <w:rFonts w:ascii="Arial" w:hAnsi="Arial" w:cs="Arial"/>
          <w:lang w:bidi="he-IL"/>
        </w:rPr>
        <w:t xml:space="preserve">criteria </w:t>
      </w:r>
      <w:r w:rsidR="000723C4" w:rsidRPr="009C423D">
        <w:rPr>
          <w:rFonts w:ascii="Arial" w:hAnsi="Arial" w:cs="Arial"/>
          <w:lang w:bidi="he-IL"/>
        </w:rPr>
        <w:t>yielded AU</w:t>
      </w:r>
      <w:r w:rsidR="003767AA" w:rsidRPr="009C423D">
        <w:rPr>
          <w:rFonts w:ascii="Arial" w:hAnsi="Arial" w:cs="Arial"/>
          <w:lang w:bidi="he-IL"/>
        </w:rPr>
        <w:t>RO</w:t>
      </w:r>
      <w:r w:rsidR="000723C4" w:rsidRPr="009C423D">
        <w:rPr>
          <w:rFonts w:ascii="Arial" w:hAnsi="Arial" w:cs="Arial"/>
          <w:lang w:bidi="he-IL"/>
        </w:rPr>
        <w:t xml:space="preserve">C </w:t>
      </w:r>
      <w:r w:rsidR="003767AA" w:rsidRPr="009C423D">
        <w:rPr>
          <w:rFonts w:ascii="Arial" w:hAnsi="Arial" w:cs="Arial"/>
          <w:lang w:bidi="he-IL"/>
        </w:rPr>
        <w:t xml:space="preserve">of </w:t>
      </w:r>
      <w:r w:rsidR="000723C4" w:rsidRPr="009C423D">
        <w:rPr>
          <w:rFonts w:ascii="Arial" w:hAnsi="Arial" w:cs="Arial"/>
          <w:lang w:bidi="he-IL"/>
        </w:rPr>
        <w:t xml:space="preserve">0.79 </w:t>
      </w:r>
      <w:r w:rsidR="003767AA" w:rsidRPr="009C423D">
        <w:rPr>
          <w:rFonts w:ascii="Arial" w:hAnsi="Arial" w:cs="Arial"/>
          <w:lang w:bidi="he-IL"/>
        </w:rPr>
        <w:t xml:space="preserve">and </w:t>
      </w:r>
      <w:r w:rsidR="000723C4" w:rsidRPr="009C423D">
        <w:rPr>
          <w:rFonts w:ascii="Arial" w:hAnsi="Arial" w:cs="Arial"/>
          <w:lang w:bidi="he-IL"/>
        </w:rPr>
        <w:t>0.7</w:t>
      </w:r>
      <w:r w:rsidR="00556225">
        <w:rPr>
          <w:rFonts w:ascii="Arial" w:hAnsi="Arial" w:cs="Arial"/>
          <w:lang w:bidi="he-IL"/>
        </w:rPr>
        <w:t>3</w:t>
      </w:r>
      <w:r w:rsidR="000723C4" w:rsidRPr="009C423D">
        <w:rPr>
          <w:rFonts w:ascii="Arial" w:hAnsi="Arial" w:cs="Arial"/>
          <w:lang w:bidi="he-IL"/>
        </w:rPr>
        <w:t xml:space="preserve"> (at </w:t>
      </w:r>
      <w:r w:rsidR="003767AA" w:rsidRPr="009C423D">
        <w:rPr>
          <w:rFonts w:ascii="Arial" w:hAnsi="Arial" w:cs="Arial"/>
          <w:lang w:bidi="he-IL"/>
        </w:rPr>
        <w:t xml:space="preserve">Years 2 and </w:t>
      </w:r>
      <w:r w:rsidR="000723C4" w:rsidRPr="009C423D">
        <w:rPr>
          <w:rFonts w:ascii="Arial" w:hAnsi="Arial" w:cs="Arial"/>
          <w:lang w:bidi="he-IL"/>
        </w:rPr>
        <w:t>5</w:t>
      </w:r>
      <w:r w:rsidR="003767AA" w:rsidRPr="009C423D">
        <w:rPr>
          <w:rFonts w:ascii="Arial" w:hAnsi="Arial" w:cs="Arial"/>
          <w:lang w:bidi="he-IL"/>
        </w:rPr>
        <w:t xml:space="preserve"> post-index, respectively</w:t>
      </w:r>
      <w:r w:rsidR="000723C4" w:rsidRPr="009C423D">
        <w:rPr>
          <w:rFonts w:ascii="Arial" w:hAnsi="Arial" w:cs="Arial"/>
          <w:lang w:bidi="he-IL"/>
        </w:rPr>
        <w:t>).</w:t>
      </w:r>
    </w:p>
    <w:p w14:paraId="2175C947" w14:textId="77777777" w:rsidR="00787BCA" w:rsidRDefault="00787BCA" w:rsidP="00A6507F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lang w:bidi="he-IL"/>
        </w:rPr>
      </w:pPr>
    </w:p>
    <w:p w14:paraId="048EA60A" w14:textId="3162FD97" w:rsidR="00A6507F" w:rsidRPr="00664474" w:rsidRDefault="00A6507F" w:rsidP="00A6507F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 xml:space="preserve">Selection of the optimal models to predict </w:t>
      </w:r>
      <w:r w:rsidRPr="00664474">
        <w:rPr>
          <w:rFonts w:ascii="Arial" w:hAnsi="Arial" w:cs="Arial"/>
          <w:b/>
          <w:lang w:bidi="he-IL"/>
        </w:rPr>
        <w:t>all-cause mortality</w:t>
      </w:r>
      <w:r>
        <w:rPr>
          <w:rFonts w:ascii="Arial" w:hAnsi="Arial" w:cs="Arial"/>
          <w:b/>
          <w:lang w:bidi="he-IL"/>
        </w:rPr>
        <w:t xml:space="preserve"> and </w:t>
      </w:r>
      <w:r w:rsidR="001675FE">
        <w:rPr>
          <w:rFonts w:ascii="Arial" w:hAnsi="Arial" w:cs="Arial"/>
          <w:b/>
          <w:lang w:bidi="he-IL"/>
        </w:rPr>
        <w:t>liver transplant/ death</w:t>
      </w:r>
    </w:p>
    <w:p w14:paraId="6F8489A6" w14:textId="6C1464D1" w:rsidR="00807B3E" w:rsidRDefault="00A6507F" w:rsidP="00A6507F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Predictive accuracy of all models, is presented in Table </w:t>
      </w:r>
      <w:r w:rsidR="00D50876">
        <w:rPr>
          <w:rFonts w:ascii="Arial" w:hAnsi="Arial" w:cs="Arial"/>
          <w:lang w:bidi="he-IL"/>
        </w:rPr>
        <w:t>S</w:t>
      </w:r>
      <w:r w:rsidR="00E70247">
        <w:rPr>
          <w:rFonts w:ascii="Arial" w:hAnsi="Arial" w:cs="Arial"/>
          <w:lang w:bidi="he-IL"/>
        </w:rPr>
        <w:t>6</w:t>
      </w:r>
      <w:r w:rsidR="00D50876">
        <w:rPr>
          <w:rFonts w:ascii="Arial" w:hAnsi="Arial" w:cs="Arial"/>
          <w:lang w:bidi="he-IL"/>
        </w:rPr>
        <w:t>. A</w:t>
      </w:r>
      <w:r>
        <w:rPr>
          <w:rFonts w:ascii="Arial" w:hAnsi="Arial" w:cs="Arial"/>
          <w:lang w:bidi="he-IL"/>
        </w:rPr>
        <w:t>ll models reached “good” to “excellent” predictive ability (AUROC</w:t>
      </w:r>
      <w:r w:rsidR="00787BCA">
        <w:rPr>
          <w:rFonts w:ascii="Arial" w:hAnsi="Arial" w:cs="Arial"/>
          <w:lang w:bidi="he-IL"/>
        </w:rPr>
        <w:t>≥</w:t>
      </w:r>
      <w:r>
        <w:rPr>
          <w:rFonts w:ascii="Arial" w:hAnsi="Arial" w:cs="Arial"/>
          <w:lang w:bidi="he-IL"/>
        </w:rPr>
        <w:t>0.80). As expected, models</w:t>
      </w:r>
      <w:r w:rsidR="003C335A">
        <w:rPr>
          <w:rFonts w:ascii="Arial" w:hAnsi="Arial" w:cs="Arial"/>
          <w:lang w:bidi="he-IL"/>
        </w:rPr>
        <w:t xml:space="preserve"> incorporating Y</w:t>
      </w:r>
      <w:r w:rsidR="00D50876">
        <w:rPr>
          <w:rFonts w:ascii="Arial" w:hAnsi="Arial" w:cs="Arial"/>
          <w:lang w:bidi="he-IL"/>
        </w:rPr>
        <w:t>ear 1 data</w:t>
      </w:r>
      <w:r>
        <w:rPr>
          <w:rFonts w:ascii="Arial" w:hAnsi="Arial" w:cs="Arial"/>
          <w:lang w:bidi="he-IL"/>
        </w:rPr>
        <w:t xml:space="preserve"> improved AU</w:t>
      </w:r>
      <w:r w:rsidR="00D50876">
        <w:rPr>
          <w:rFonts w:ascii="Arial" w:hAnsi="Arial" w:cs="Arial"/>
          <w:lang w:bidi="he-IL"/>
        </w:rPr>
        <w:t>RO</w:t>
      </w:r>
      <w:r w:rsidRPr="003C335A">
        <w:rPr>
          <w:rFonts w:ascii="Arial" w:hAnsi="Arial" w:cs="Arial"/>
          <w:lang w:bidi="he-IL"/>
        </w:rPr>
        <w:t>C</w:t>
      </w:r>
      <w:r w:rsidR="00D50876" w:rsidRPr="003C335A">
        <w:rPr>
          <w:rFonts w:ascii="Arial" w:hAnsi="Arial" w:cs="Arial"/>
          <w:lang w:bidi="he-IL"/>
        </w:rPr>
        <w:t>s by</w:t>
      </w:r>
      <w:r w:rsidRPr="003C335A">
        <w:rPr>
          <w:rFonts w:ascii="Arial" w:hAnsi="Arial" w:cs="Arial"/>
          <w:lang w:bidi="he-IL"/>
        </w:rPr>
        <w:t xml:space="preserve"> </w:t>
      </w:r>
      <w:r w:rsidR="00D50876" w:rsidRPr="003C335A">
        <w:rPr>
          <w:rFonts w:ascii="Arial" w:hAnsi="Arial" w:cs="Arial"/>
          <w:lang w:bidi="he-IL"/>
        </w:rPr>
        <w:t>4</w:t>
      </w:r>
      <w:r w:rsidRPr="003C335A">
        <w:rPr>
          <w:rFonts w:ascii="Arial" w:hAnsi="Arial" w:cs="Arial"/>
          <w:lang w:bidi="he-IL"/>
        </w:rPr>
        <w:t xml:space="preserve">–9% </w:t>
      </w:r>
      <w:r w:rsidRPr="002153C2">
        <w:rPr>
          <w:rFonts w:ascii="Arial" w:hAnsi="Arial" w:cs="Arial"/>
          <w:lang w:bidi="he-IL"/>
        </w:rPr>
        <w:t xml:space="preserve">compared </w:t>
      </w:r>
      <w:r w:rsidR="00D50876" w:rsidRPr="002153C2">
        <w:rPr>
          <w:rFonts w:ascii="Arial" w:hAnsi="Arial" w:cs="Arial"/>
          <w:lang w:bidi="he-IL"/>
        </w:rPr>
        <w:t xml:space="preserve">to models using baseline data. </w:t>
      </w:r>
      <w:r w:rsidR="004E2F0B">
        <w:rPr>
          <w:rFonts w:ascii="Arial" w:hAnsi="Arial" w:cs="Arial"/>
          <w:lang w:bidi="he-IL"/>
        </w:rPr>
        <w:t>The</w:t>
      </w:r>
      <w:r w:rsidR="003C335A">
        <w:rPr>
          <w:rFonts w:ascii="Arial" w:hAnsi="Arial" w:cs="Arial"/>
          <w:lang w:bidi="he-IL"/>
        </w:rPr>
        <w:t xml:space="preserve"> model using values collected at </w:t>
      </w:r>
      <w:r w:rsidR="00D50876">
        <w:rPr>
          <w:rFonts w:ascii="Arial" w:hAnsi="Arial" w:cs="Arial"/>
          <w:lang w:bidi="he-IL"/>
        </w:rPr>
        <w:t>baseline</w:t>
      </w:r>
      <w:r w:rsidR="003C335A">
        <w:rPr>
          <w:rFonts w:ascii="Arial" w:hAnsi="Arial" w:cs="Arial"/>
          <w:lang w:bidi="he-IL"/>
        </w:rPr>
        <w:t xml:space="preserve"> and at Year 1 post-index demonstrated the </w:t>
      </w:r>
      <w:r w:rsidR="004E2F0B">
        <w:rPr>
          <w:rFonts w:ascii="Arial" w:hAnsi="Arial" w:cs="Arial"/>
          <w:lang w:bidi="he-IL"/>
        </w:rPr>
        <w:t xml:space="preserve">highest predictive accuracy for both </w:t>
      </w:r>
      <w:r w:rsidR="004675A4">
        <w:rPr>
          <w:rFonts w:ascii="Arial" w:hAnsi="Arial" w:cs="Arial"/>
          <w:lang w:bidi="he-IL"/>
        </w:rPr>
        <w:t xml:space="preserve">Year 2 and Year 5 of follow-up. </w:t>
      </w:r>
      <w:r w:rsidR="00DF7340">
        <w:rPr>
          <w:rFonts w:ascii="Arial" w:hAnsi="Arial" w:cs="Arial"/>
          <w:lang w:bidi="he-IL"/>
        </w:rPr>
        <w:t>However, the baseline mode</w:t>
      </w:r>
      <w:r w:rsidR="001675FE">
        <w:rPr>
          <w:rFonts w:ascii="Arial" w:hAnsi="Arial" w:cs="Arial"/>
          <w:lang w:bidi="he-IL"/>
        </w:rPr>
        <w:t xml:space="preserve">ls were </w:t>
      </w:r>
      <w:r w:rsidR="00DF7340">
        <w:rPr>
          <w:rFonts w:ascii="Arial" w:hAnsi="Arial" w:cs="Arial"/>
          <w:lang w:bidi="he-IL"/>
        </w:rPr>
        <w:t xml:space="preserve">considerably more parsimonious and demonstrated reasonable </w:t>
      </w:r>
      <w:r w:rsidR="00902014">
        <w:rPr>
          <w:rFonts w:ascii="Arial" w:hAnsi="Arial" w:cs="Arial"/>
          <w:lang w:bidi="he-IL"/>
        </w:rPr>
        <w:t>predictive accuracy</w:t>
      </w:r>
      <w:r w:rsidR="001675FE">
        <w:rPr>
          <w:rFonts w:ascii="Arial" w:hAnsi="Arial" w:cs="Arial"/>
          <w:lang w:bidi="he-IL"/>
        </w:rPr>
        <w:t xml:space="preserve">. Given the </w:t>
      </w:r>
      <w:r w:rsidR="001157B5">
        <w:rPr>
          <w:rFonts w:ascii="Arial" w:hAnsi="Arial" w:cs="Arial"/>
          <w:lang w:bidi="he-IL"/>
        </w:rPr>
        <w:t>burden of additional o</w:t>
      </w:r>
      <w:r w:rsidR="001675FE">
        <w:rPr>
          <w:rFonts w:ascii="Arial" w:hAnsi="Arial" w:cs="Arial"/>
          <w:lang w:bidi="he-IL"/>
        </w:rPr>
        <w:t xml:space="preserve">bservation for the models using covariates measured </w:t>
      </w:r>
      <w:r w:rsidR="001157B5">
        <w:rPr>
          <w:rFonts w:ascii="Arial" w:hAnsi="Arial" w:cs="Arial"/>
          <w:lang w:bidi="he-IL"/>
        </w:rPr>
        <w:t>at Year 1, we believe the greatest utility lies in the baseline models, without much loss of accuracy</w:t>
      </w:r>
      <w:r w:rsidR="00902014">
        <w:rPr>
          <w:rFonts w:ascii="Arial" w:hAnsi="Arial" w:cs="Arial"/>
          <w:lang w:bidi="he-IL"/>
        </w:rPr>
        <w:t>.</w:t>
      </w:r>
      <w:bookmarkStart w:id="0" w:name="_GoBack"/>
      <w:bookmarkEnd w:id="0"/>
    </w:p>
    <w:p w14:paraId="15ADF8A0" w14:textId="3F51B881" w:rsidR="00E70247" w:rsidRDefault="00E70247">
      <w:pPr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br w:type="page"/>
      </w:r>
    </w:p>
    <w:p w14:paraId="6CEC9268" w14:textId="656C980A" w:rsidR="00560526" w:rsidRDefault="00560526">
      <w:pPr>
        <w:rPr>
          <w:rFonts w:ascii="Arial" w:hAnsi="Arial" w:cs="Arial"/>
          <w:noProof/>
        </w:rPr>
      </w:pPr>
    </w:p>
    <w:p w14:paraId="14AA56BD" w14:textId="77777777" w:rsidR="008436AC" w:rsidRPr="008436AC" w:rsidRDefault="00CA70C2" w:rsidP="008436AC">
      <w:pPr>
        <w:pStyle w:val="EndNoteBibliography"/>
        <w:spacing w:after="0"/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r w:rsidR="008436AC" w:rsidRPr="008436AC">
        <w:t>1.</w:t>
      </w:r>
      <w:r w:rsidR="008436AC" w:rsidRPr="008436AC">
        <w:tab/>
        <w:t>Nyblom H, Bjornsson E, Simren M, Aldenborg F, Almer S, Olsson R. The AST/ALT ratio as an indicator of cirrhosis in patients with PBC. Liver Int 2006;26:840-845.</w:t>
      </w:r>
    </w:p>
    <w:p w14:paraId="33DE489E" w14:textId="77777777" w:rsidR="008436AC" w:rsidRPr="008436AC" w:rsidRDefault="008436AC" w:rsidP="008436AC">
      <w:pPr>
        <w:pStyle w:val="EndNoteBibliography"/>
      </w:pPr>
      <w:r w:rsidRPr="008436AC">
        <w:t>2.</w:t>
      </w:r>
      <w:r w:rsidRPr="008436AC">
        <w:tab/>
        <w:t>Corpechot C, Chazouilleres O, Poupon R. Early primary biliary cirrhosis: biochemical response to treatment and prediction of long-term outcome. J Hepatol 2011;55:1361-1367.</w:t>
      </w:r>
    </w:p>
    <w:p w14:paraId="7F463925" w14:textId="33F0B1B5" w:rsidR="005A3AEA" w:rsidRPr="005A3AEA" w:rsidRDefault="00CA70C2" w:rsidP="005A3A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5A3AEA" w:rsidRPr="005A3AEA" w:rsidSect="005A3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Hepa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0p0w55ltaav7e0avpvdrd1ard50tffzpx2&quot;&gt;My EndNote Library&lt;record-ids&gt;&lt;item&gt;617&lt;/item&gt;&lt;item&gt;618&lt;/item&gt;&lt;/record-ids&gt;&lt;/item&gt;&lt;/Libraries&gt;"/>
  </w:docVars>
  <w:rsids>
    <w:rsidRoot w:val="005A3AEA"/>
    <w:rsid w:val="0000370F"/>
    <w:rsid w:val="00004F55"/>
    <w:rsid w:val="00023CBD"/>
    <w:rsid w:val="000723C4"/>
    <w:rsid w:val="00090888"/>
    <w:rsid w:val="00094E48"/>
    <w:rsid w:val="000A4A7D"/>
    <w:rsid w:val="000C021F"/>
    <w:rsid w:val="000E3801"/>
    <w:rsid w:val="001157B5"/>
    <w:rsid w:val="00116F37"/>
    <w:rsid w:val="00135284"/>
    <w:rsid w:val="001675FE"/>
    <w:rsid w:val="00180696"/>
    <w:rsid w:val="002153C2"/>
    <w:rsid w:val="00226F93"/>
    <w:rsid w:val="00274214"/>
    <w:rsid w:val="002E7F74"/>
    <w:rsid w:val="00301B61"/>
    <w:rsid w:val="003560B6"/>
    <w:rsid w:val="00363ACF"/>
    <w:rsid w:val="003767AA"/>
    <w:rsid w:val="00394F26"/>
    <w:rsid w:val="003C335A"/>
    <w:rsid w:val="004675A4"/>
    <w:rsid w:val="004753A3"/>
    <w:rsid w:val="004E2F0B"/>
    <w:rsid w:val="004F7BC4"/>
    <w:rsid w:val="005321DE"/>
    <w:rsid w:val="00532BAA"/>
    <w:rsid w:val="00556225"/>
    <w:rsid w:val="00560526"/>
    <w:rsid w:val="005A3AEA"/>
    <w:rsid w:val="005B06A2"/>
    <w:rsid w:val="00646A4F"/>
    <w:rsid w:val="00646EAC"/>
    <w:rsid w:val="006573C9"/>
    <w:rsid w:val="00693DBC"/>
    <w:rsid w:val="006D0B38"/>
    <w:rsid w:val="006D3425"/>
    <w:rsid w:val="006E58D6"/>
    <w:rsid w:val="00720EF1"/>
    <w:rsid w:val="00787BCA"/>
    <w:rsid w:val="007941C2"/>
    <w:rsid w:val="00807B3E"/>
    <w:rsid w:val="008436AC"/>
    <w:rsid w:val="00864F9B"/>
    <w:rsid w:val="008D1620"/>
    <w:rsid w:val="008D7AED"/>
    <w:rsid w:val="00902014"/>
    <w:rsid w:val="009171EE"/>
    <w:rsid w:val="00931565"/>
    <w:rsid w:val="00936E7E"/>
    <w:rsid w:val="0097659B"/>
    <w:rsid w:val="009A651A"/>
    <w:rsid w:val="009C423D"/>
    <w:rsid w:val="009F6F74"/>
    <w:rsid w:val="00A17DC8"/>
    <w:rsid w:val="00A6507F"/>
    <w:rsid w:val="00A81894"/>
    <w:rsid w:val="00A87DC6"/>
    <w:rsid w:val="00B2696E"/>
    <w:rsid w:val="00B70A2A"/>
    <w:rsid w:val="00C12B52"/>
    <w:rsid w:val="00C33F6F"/>
    <w:rsid w:val="00C66322"/>
    <w:rsid w:val="00C8274D"/>
    <w:rsid w:val="00CA70C2"/>
    <w:rsid w:val="00CD02E6"/>
    <w:rsid w:val="00D34583"/>
    <w:rsid w:val="00D50876"/>
    <w:rsid w:val="00D96B72"/>
    <w:rsid w:val="00DE6E4A"/>
    <w:rsid w:val="00DF7340"/>
    <w:rsid w:val="00E429FF"/>
    <w:rsid w:val="00E643BD"/>
    <w:rsid w:val="00E70247"/>
    <w:rsid w:val="00ED1C8E"/>
    <w:rsid w:val="00F04C42"/>
    <w:rsid w:val="00F16CEE"/>
    <w:rsid w:val="00FD6809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FC8A"/>
  <w15:chartTrackingRefBased/>
  <w15:docId w15:val="{6FE866DD-95D8-4AE4-8D01-1F282CE1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AEA"/>
    <w:pPr>
      <w:spacing w:after="0" w:line="240" w:lineRule="auto"/>
    </w:pPr>
    <w:rPr>
      <w:rFonts w:ascii="Calibri" w:hAnsi="Calibri" w:cs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AEA"/>
    <w:rPr>
      <w:rFonts w:ascii="Calibri" w:hAnsi="Calibri" w:cs="Times New Roman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E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A70C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70C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A70C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A70C2"/>
    <w:rPr>
      <w:rFonts w:ascii="Calibri" w:hAnsi="Calibri" w:cs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ACF"/>
    <w:pPr>
      <w:spacing w:after="160"/>
    </w:pPr>
    <w:rPr>
      <w:rFonts w:ascii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ACF"/>
    <w:rPr>
      <w:rFonts w:ascii="Calibri" w:hAnsi="Calibri" w:cs="Times New Roman"/>
      <w:b/>
      <w:bCs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Trudeau, Sheri</dc:creator>
  <cp:keywords/>
  <dc:description/>
  <cp:lastModifiedBy>Trudeau, Sheri</cp:lastModifiedBy>
  <cp:revision>4</cp:revision>
  <dcterms:created xsi:type="dcterms:W3CDTF">2019-10-28T21:34:00Z</dcterms:created>
  <dcterms:modified xsi:type="dcterms:W3CDTF">2019-10-28T21:39:00Z</dcterms:modified>
</cp:coreProperties>
</file>