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D638" w14:textId="454820E0" w:rsidR="00680277" w:rsidRPr="007B5CFA" w:rsidRDefault="00680277" w:rsidP="00680277">
      <w:pPr>
        <w:rPr>
          <w:rFonts w:ascii="Times New Roman" w:hAnsi="Times New Roman" w:cs="Times New Roman"/>
          <w:szCs w:val="24"/>
        </w:rPr>
      </w:pPr>
      <w:bookmarkStart w:id="0" w:name="Appendix_7"/>
      <w:r>
        <w:rPr>
          <w:rFonts w:ascii="Times New Roman" w:hAnsi="Times New Roman" w:cs="Times New Roman"/>
          <w:b/>
          <w:szCs w:val="24"/>
        </w:rPr>
        <w:t>Supplementary Figure S</w:t>
      </w:r>
      <w:r w:rsidR="006B66D3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7B5CFA">
        <w:rPr>
          <w:rFonts w:ascii="Times New Roman" w:hAnsi="Times New Roman" w:cs="Times New Roman"/>
          <w:szCs w:val="24"/>
        </w:rPr>
        <w:t>Female-to-male incidence rate ratio of celiac disease in the 21st century</w:t>
      </w:r>
    </w:p>
    <w:bookmarkEnd w:id="0"/>
    <w:p w14:paraId="1C850EFE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B0F872C" wp14:editId="2DC1848B">
            <wp:extent cx="5943600" cy="4549140"/>
            <wp:effectExtent l="0" t="0" r="0" b="381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endix 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E849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19881356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145A836A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6F7043AF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40E18A09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27793FAE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718CC9D4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4127BF21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2CDC2B3B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157352E6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043FFA94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257CBC03" w14:textId="77777777" w:rsidR="00680277" w:rsidRDefault="00680277" w:rsidP="00680277">
      <w:pPr>
        <w:rPr>
          <w:rFonts w:ascii="Times New Roman" w:hAnsi="Times New Roman" w:cs="Times New Roman"/>
          <w:b/>
          <w:szCs w:val="24"/>
        </w:rPr>
      </w:pPr>
    </w:p>
    <w:p w14:paraId="3D457411" w14:textId="77777777" w:rsidR="00680277" w:rsidRPr="007B5CFA" w:rsidRDefault="00680277" w:rsidP="0068027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References</w:t>
      </w:r>
    </w:p>
    <w:p w14:paraId="2C8273C3" w14:textId="77777777" w:rsidR="00680277" w:rsidRDefault="00680277" w:rsidP="006802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Grode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Bech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BH, Jensen TM, et al. Prevalence, incidence, and autoimmune comorbidities of celiac disease: a nation-wide, population-based study in Denmark from 1977 to 2016.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2018;30(1):83-91.</w:t>
      </w:r>
    </w:p>
    <w:p w14:paraId="239FD389" w14:textId="77777777" w:rsidR="00680277" w:rsidRDefault="00680277" w:rsidP="006802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Lanzarotto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Crimi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Amato M,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NM, </w:t>
      </w: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A. Is under diagnosis of celiac disease compounded by mismanagement in the primary care setting? A survey in the Italian Province of Brescia. </w:t>
      </w:r>
      <w:r w:rsidRPr="00C41B0A">
        <w:rPr>
          <w:rFonts w:ascii="Times New Roman" w:hAnsi="Times New Roman" w:cs="Times New Roman"/>
          <w:i/>
          <w:szCs w:val="24"/>
        </w:rPr>
        <w:t xml:space="preserve">Minerva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Dietol</w:t>
      </w:r>
      <w:proofErr w:type="spellEnd"/>
      <w:r w:rsidRPr="000B332F">
        <w:rPr>
          <w:rFonts w:ascii="Times New Roman" w:hAnsi="Times New Roman" w:cs="Times New Roman"/>
          <w:szCs w:val="24"/>
        </w:rPr>
        <w:t>. 2004;50(4):283-</w:t>
      </w:r>
      <w:r>
        <w:rPr>
          <w:rFonts w:ascii="Times New Roman" w:hAnsi="Times New Roman" w:cs="Times New Roman"/>
          <w:szCs w:val="24"/>
        </w:rPr>
        <w:t>28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4583047D" w14:textId="77777777" w:rsidR="00680277" w:rsidRDefault="00680277" w:rsidP="006802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Angeli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Pasquini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F20267">
        <w:rPr>
          <w:rFonts w:ascii="Times New Roman" w:hAnsi="Times New Roman" w:cs="Times New Roman"/>
          <w:szCs w:val="24"/>
        </w:rPr>
        <w:t>Panella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F20267">
        <w:rPr>
          <w:rFonts w:ascii="Times New Roman" w:hAnsi="Times New Roman" w:cs="Times New Roman"/>
          <w:szCs w:val="24"/>
        </w:rPr>
        <w:t>Pelli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MA. An epidemiologic survey of celiac disease in the Terni area (Umbria, Italy) in 2002-2010.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Prev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Med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Hyg</w:t>
      </w:r>
      <w:proofErr w:type="spellEnd"/>
      <w:r w:rsidRPr="00F20267">
        <w:rPr>
          <w:rFonts w:ascii="Times New Roman" w:hAnsi="Times New Roman" w:cs="Times New Roman"/>
          <w:szCs w:val="24"/>
        </w:rPr>
        <w:t>. 2012;53(1):20-23.</w:t>
      </w:r>
    </w:p>
    <w:p w14:paraId="4E500175" w14:textId="77777777" w:rsidR="00680277" w:rsidRPr="00EE4B80" w:rsidRDefault="00680277" w:rsidP="006802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Zingone F, West J, </w:t>
      </w:r>
      <w:proofErr w:type="spellStart"/>
      <w:r w:rsidRPr="00C54089">
        <w:rPr>
          <w:rFonts w:ascii="Times New Roman" w:hAnsi="Times New Roman" w:cs="Times New Roman"/>
          <w:szCs w:val="24"/>
        </w:rPr>
        <w:t>Auricchio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R, et al. Incidence and distribution of coeliac disease in Campania (Italy): 2011-2013. </w:t>
      </w:r>
      <w:r w:rsidRPr="00231F44">
        <w:rPr>
          <w:rFonts w:ascii="Times New Roman" w:hAnsi="Times New Roman" w:cs="Times New Roman"/>
          <w:i/>
          <w:szCs w:val="24"/>
        </w:rPr>
        <w:t>United European Gastroenterol J</w:t>
      </w:r>
      <w:r w:rsidRPr="00C54089">
        <w:rPr>
          <w:rFonts w:ascii="Times New Roman" w:hAnsi="Times New Roman" w:cs="Times New Roman"/>
          <w:szCs w:val="24"/>
        </w:rPr>
        <w:t>. 2015;3(2):182-</w:t>
      </w:r>
      <w:r>
        <w:rPr>
          <w:rFonts w:ascii="Times New Roman" w:hAnsi="Times New Roman" w:cs="Times New Roman"/>
          <w:szCs w:val="24"/>
        </w:rPr>
        <w:t>18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6E54BB5F" w14:textId="77777777" w:rsidR="00680277" w:rsidRDefault="00680277" w:rsidP="006802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Burger JP, </w:t>
      </w:r>
      <w:proofErr w:type="spellStart"/>
      <w:r w:rsidRPr="000B332F">
        <w:rPr>
          <w:rFonts w:ascii="Times New Roman" w:hAnsi="Times New Roman" w:cs="Times New Roman"/>
          <w:szCs w:val="24"/>
        </w:rPr>
        <w:t>Roovers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EA, </w:t>
      </w:r>
      <w:proofErr w:type="spellStart"/>
      <w:r w:rsidRPr="000B332F">
        <w:rPr>
          <w:rFonts w:ascii="Times New Roman" w:hAnsi="Times New Roman" w:cs="Times New Roman"/>
          <w:szCs w:val="24"/>
        </w:rPr>
        <w:t>Drenth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JP, Meijer JW, Wahab PJ. Rising incidence of celiac disease in the Netherlands; an analysis of temporal trends from 1995 to 2010.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2014;49(8):933-</w:t>
      </w:r>
      <w:r>
        <w:rPr>
          <w:rFonts w:ascii="Times New Roman" w:hAnsi="Times New Roman" w:cs="Times New Roman"/>
          <w:szCs w:val="24"/>
        </w:rPr>
        <w:t>9</w:t>
      </w:r>
      <w:r w:rsidRPr="000B332F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>.</w:t>
      </w:r>
    </w:p>
    <w:p w14:paraId="43A50B7F" w14:textId="77777777" w:rsidR="00680277" w:rsidRDefault="00680277" w:rsidP="006802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Stewart M, Andrews CN, Urbanski S,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M. The association of coeliac disease and microscopic colitis: a large population-based study.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2011;33(12):1340-</w:t>
      </w:r>
      <w:r>
        <w:rPr>
          <w:rFonts w:ascii="Times New Roman" w:hAnsi="Times New Roman" w:cs="Times New Roman"/>
          <w:szCs w:val="24"/>
        </w:rPr>
        <w:t>134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2DB6D4D7" w14:textId="77777777" w:rsidR="00680277" w:rsidRDefault="00680277" w:rsidP="006802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Ludvigsson JF, Rubio-Tapia A, van Dyke CT, et al. Increasing incidence of celiac disease in a North American population.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0B332F">
        <w:rPr>
          <w:rFonts w:ascii="Times New Roman" w:hAnsi="Times New Roman" w:cs="Times New Roman"/>
          <w:szCs w:val="24"/>
        </w:rPr>
        <w:t>. 2013;108(5):818-</w:t>
      </w:r>
      <w:r>
        <w:rPr>
          <w:rFonts w:ascii="Times New Roman" w:hAnsi="Times New Roman" w:cs="Times New Roman"/>
          <w:szCs w:val="24"/>
        </w:rPr>
        <w:t>8</w:t>
      </w:r>
      <w:r w:rsidRPr="000B332F">
        <w:rPr>
          <w:rFonts w:ascii="Times New Roman" w:hAnsi="Times New Roman" w:cs="Times New Roman"/>
          <w:szCs w:val="24"/>
        </w:rPr>
        <w:t>24.</w:t>
      </w:r>
    </w:p>
    <w:p w14:paraId="5A0FFD71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327AC0E0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2A462FA3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619E4705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10177D9C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703A87A3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10725A60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0E01C68E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752AF978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0CB1602A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0BC2F092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5093C530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5000AC76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44E50588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21120401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4B306CC9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1BCA2D5E" w14:textId="77777777" w:rsidR="00680277" w:rsidRDefault="00680277" w:rsidP="00680277">
      <w:pPr>
        <w:rPr>
          <w:rFonts w:ascii="Times New Roman" w:hAnsi="Times New Roman" w:cs="Times New Roman"/>
          <w:szCs w:val="24"/>
        </w:rPr>
      </w:pPr>
    </w:p>
    <w:p w14:paraId="363B3A87" w14:textId="645A0B8C" w:rsidR="00680277" w:rsidRPr="00BE068D" w:rsidRDefault="00680277" w:rsidP="006802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Supplementary Figure S</w:t>
      </w:r>
      <w:r w:rsidR="006B66D3">
        <w:rPr>
          <w:rFonts w:ascii="Times New Roman" w:hAnsi="Times New Roman" w:cs="Times New Roman"/>
          <w:b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Female-to-male incidence rate ratio of celiac disease among children (A) and adults (B) in the 21</w:t>
      </w:r>
      <w:r w:rsidRPr="00CF7FB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century</w:t>
      </w:r>
    </w:p>
    <w:p w14:paraId="19411C8B" w14:textId="77777777" w:rsidR="00680277" w:rsidRDefault="00680277" w:rsidP="00680277">
      <w:pPr>
        <w:jc w:val="center"/>
        <w:rPr>
          <w:rFonts w:ascii="Times New Roman" w:hAnsi="Times New Roman" w:cs="Times New Roman"/>
          <w:b/>
          <w:sz w:val="24"/>
        </w:rPr>
      </w:pPr>
      <w:bookmarkStart w:id="2" w:name="Appendix_8A"/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4068F00" wp14:editId="3AA8F048">
            <wp:extent cx="5907040" cy="4521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ex_children_IRR_sep28_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343" cy="452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71F0CF9E" w14:textId="77777777" w:rsidR="00680277" w:rsidRDefault="00680277" w:rsidP="006802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</w:rPr>
        <w:sectPr w:rsidR="00680277" w:rsidSect="007B5CF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59D968" w14:textId="77777777" w:rsidR="00680277" w:rsidRDefault="00680277" w:rsidP="00680277">
      <w:pPr>
        <w:rPr>
          <w:rFonts w:ascii="Times New Roman" w:hAnsi="Times New Roman" w:cs="Times New Roman"/>
          <w:b/>
          <w:sz w:val="24"/>
        </w:rPr>
      </w:pPr>
    </w:p>
    <w:p w14:paraId="17F6521C" w14:textId="77777777" w:rsidR="00680277" w:rsidRDefault="00680277" w:rsidP="00680277">
      <w:pPr>
        <w:jc w:val="center"/>
        <w:rPr>
          <w:rFonts w:ascii="Times New Roman" w:hAnsi="Times New Roman" w:cs="Times New Roman"/>
          <w:b/>
          <w:sz w:val="24"/>
        </w:rPr>
      </w:pPr>
      <w:bookmarkStart w:id="3" w:name="Appendix_8B"/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7E16C89A" wp14:editId="4B1AC2F7">
            <wp:extent cx="5823375" cy="4457164"/>
            <wp:effectExtent l="0" t="0" r="635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ex_adults_IRR_sep28_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375" cy="445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5FB8C227" w14:textId="77777777" w:rsidR="00680277" w:rsidRDefault="00680277" w:rsidP="006802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</w:rPr>
        <w:sectPr w:rsidR="00680277" w:rsidSect="003C532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FD4508" w14:textId="77777777" w:rsidR="00680277" w:rsidRDefault="00680277" w:rsidP="00680277">
      <w:pPr>
        <w:rPr>
          <w:rFonts w:ascii="Times New Roman" w:hAnsi="Times New Roman" w:cs="Times New Roman"/>
          <w:b/>
          <w:sz w:val="24"/>
        </w:rPr>
        <w:sectPr w:rsidR="00680277" w:rsidSect="003C532E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084E2F35" w14:textId="77777777" w:rsidR="00680277" w:rsidRPr="00687845" w:rsidRDefault="00680277" w:rsidP="0068027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References</w:t>
      </w:r>
    </w:p>
    <w:p w14:paraId="3A75BBED" w14:textId="77777777" w:rsidR="00680277" w:rsidRDefault="00680277" w:rsidP="006802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Grode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Bech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BH, Jensen TM, et al. Prevalence, incidence, and autoimmune comorbidities of celiac disease: a nation-wide, population-based study in Denmark from 1977 to 2016.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2018;30(1):83-91.</w:t>
      </w:r>
    </w:p>
    <w:p w14:paraId="51B74B5D" w14:textId="77777777" w:rsidR="00680277" w:rsidRPr="00711633" w:rsidRDefault="00680277" w:rsidP="006802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BF705E">
        <w:rPr>
          <w:rFonts w:ascii="Times New Roman" w:hAnsi="Times New Roman" w:cs="Times New Roman"/>
          <w:szCs w:val="24"/>
        </w:rPr>
        <w:t xml:space="preserve">Lister M, Wood P, Henderson P, Gillett P. The rising incidence of childhood coeliac disease: A 7-year regional cohort study. </w:t>
      </w:r>
      <w:r w:rsidRPr="00A0040B">
        <w:rPr>
          <w:rFonts w:ascii="Times New Roman" w:hAnsi="Times New Roman" w:cs="Times New Roman"/>
        </w:rPr>
        <w:t>Paper presented at</w:t>
      </w:r>
      <w:r w:rsidRPr="00A0040B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Coeliac</w:t>
      </w:r>
      <w:r w:rsidRPr="00A0040B">
        <w:rPr>
          <w:rFonts w:ascii="Times New Roman" w:hAnsi="Times New Roman" w:cs="Times New Roman"/>
          <w:szCs w:val="24"/>
        </w:rPr>
        <w:t xml:space="preserve"> UK’</w:t>
      </w:r>
      <w:r>
        <w:rPr>
          <w:rFonts w:ascii="Times New Roman" w:hAnsi="Times New Roman" w:cs="Times New Roman"/>
          <w:szCs w:val="24"/>
        </w:rPr>
        <w:t>s</w:t>
      </w:r>
      <w:r w:rsidRPr="00A0040B">
        <w:rPr>
          <w:rFonts w:ascii="Times New Roman" w:hAnsi="Times New Roman" w:cs="Times New Roman"/>
          <w:szCs w:val="24"/>
        </w:rPr>
        <w:t xml:space="preserve"> </w:t>
      </w:r>
      <w:r w:rsidRPr="00BF705E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esearch</w:t>
      </w:r>
      <w:r w:rsidRPr="00BF705E">
        <w:rPr>
          <w:rFonts w:ascii="Times New Roman" w:hAnsi="Times New Roman" w:cs="Times New Roman"/>
          <w:szCs w:val="24"/>
        </w:rPr>
        <w:t xml:space="preserve"> C</w:t>
      </w:r>
      <w:r>
        <w:rPr>
          <w:rFonts w:ascii="Times New Roman" w:hAnsi="Times New Roman" w:cs="Times New Roman"/>
          <w:szCs w:val="24"/>
        </w:rPr>
        <w:t>onference</w:t>
      </w:r>
      <w:r w:rsidRPr="00BF705E">
        <w:rPr>
          <w:rFonts w:ascii="Times New Roman" w:hAnsi="Times New Roman" w:cs="Times New Roman"/>
          <w:szCs w:val="24"/>
        </w:rPr>
        <w:t xml:space="preserve"> 2018</w:t>
      </w:r>
      <w:r>
        <w:rPr>
          <w:rFonts w:ascii="Times New Roman" w:hAnsi="Times New Roman" w:cs="Times New Roman"/>
          <w:szCs w:val="24"/>
        </w:rPr>
        <w:t xml:space="preserve">, 2018; London, UK. </w:t>
      </w:r>
    </w:p>
    <w:p w14:paraId="7FD30792" w14:textId="77777777" w:rsidR="00680277" w:rsidRDefault="00680277" w:rsidP="006802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bookmarkStart w:id="4" w:name="_Hlk534273590"/>
      <w:r w:rsidRPr="000B332F">
        <w:rPr>
          <w:rFonts w:ascii="Times New Roman" w:hAnsi="Times New Roman" w:cs="Times New Roman"/>
          <w:szCs w:val="24"/>
        </w:rPr>
        <w:t xml:space="preserve">Burger JP, </w:t>
      </w:r>
      <w:proofErr w:type="spellStart"/>
      <w:r w:rsidRPr="000B332F">
        <w:rPr>
          <w:rFonts w:ascii="Times New Roman" w:hAnsi="Times New Roman" w:cs="Times New Roman"/>
          <w:szCs w:val="24"/>
        </w:rPr>
        <w:t>Roovers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EA, </w:t>
      </w:r>
      <w:proofErr w:type="spellStart"/>
      <w:r w:rsidRPr="000B332F">
        <w:rPr>
          <w:rFonts w:ascii="Times New Roman" w:hAnsi="Times New Roman" w:cs="Times New Roman"/>
          <w:szCs w:val="24"/>
        </w:rPr>
        <w:t>Drenth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JP, Meijer JW, Wahab PJ. Rising incidence of celiac disease in the Netherlands; an analysis of temporal trends from 1995 to 2010.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2014;49(8):933-</w:t>
      </w:r>
      <w:r>
        <w:rPr>
          <w:rFonts w:ascii="Times New Roman" w:hAnsi="Times New Roman" w:cs="Times New Roman"/>
          <w:szCs w:val="24"/>
        </w:rPr>
        <w:t>9</w:t>
      </w:r>
      <w:r w:rsidRPr="000B332F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>.</w:t>
      </w:r>
    </w:p>
    <w:p w14:paraId="5DD6759B" w14:textId="77777777" w:rsidR="00680277" w:rsidRPr="00EE4B80" w:rsidRDefault="00680277" w:rsidP="006802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bookmarkStart w:id="5" w:name="_Hlk534273976"/>
      <w:bookmarkEnd w:id="4"/>
      <w:r w:rsidRPr="00C54089">
        <w:rPr>
          <w:rFonts w:ascii="Times New Roman" w:hAnsi="Times New Roman" w:cs="Times New Roman"/>
          <w:szCs w:val="24"/>
        </w:rPr>
        <w:t xml:space="preserve">Van </w:t>
      </w:r>
      <w:proofErr w:type="spellStart"/>
      <w:r w:rsidRPr="00C54089">
        <w:rPr>
          <w:rFonts w:ascii="Times New Roman" w:hAnsi="Times New Roman" w:cs="Times New Roman"/>
          <w:szCs w:val="24"/>
        </w:rPr>
        <w:t>Kalleveen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MW, de </w:t>
      </w:r>
      <w:proofErr w:type="spellStart"/>
      <w:r w:rsidRPr="00C54089">
        <w:rPr>
          <w:rFonts w:ascii="Times New Roman" w:hAnsi="Times New Roman" w:cs="Times New Roman"/>
          <w:szCs w:val="24"/>
        </w:rPr>
        <w:t>Meij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T, </w:t>
      </w:r>
      <w:proofErr w:type="spellStart"/>
      <w:r w:rsidRPr="00C54089">
        <w:rPr>
          <w:rFonts w:ascii="Times New Roman" w:hAnsi="Times New Roman" w:cs="Times New Roman"/>
          <w:szCs w:val="24"/>
        </w:rPr>
        <w:t>Plotz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FB. Clinical spectrum of paediatric coeliac disease: a 10-year single-centre experience. </w:t>
      </w:r>
      <w:r w:rsidRPr="0028509C">
        <w:rPr>
          <w:rFonts w:ascii="Times New Roman" w:hAnsi="Times New Roman" w:cs="Times New Roman"/>
          <w:i/>
          <w:szCs w:val="24"/>
        </w:rPr>
        <w:t xml:space="preserve">Eur J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szCs w:val="24"/>
        </w:rPr>
        <w:t>. 2018;177(4):593-602.</w:t>
      </w:r>
    </w:p>
    <w:p w14:paraId="076AA809" w14:textId="77777777" w:rsidR="00680277" w:rsidRPr="00EE4B80" w:rsidRDefault="00680277" w:rsidP="006802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bookmarkStart w:id="6" w:name="_Hlk534274009"/>
      <w:bookmarkEnd w:id="5"/>
      <w:proofErr w:type="spellStart"/>
      <w:r w:rsidRPr="00F20267">
        <w:rPr>
          <w:rFonts w:ascii="Times New Roman" w:hAnsi="Times New Roman" w:cs="Times New Roman"/>
          <w:szCs w:val="24"/>
        </w:rPr>
        <w:t>Almallouhi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E, King KS, Patel B, et al. Increasing </w:t>
      </w:r>
      <w:r>
        <w:rPr>
          <w:rFonts w:ascii="Times New Roman" w:hAnsi="Times New Roman" w:cs="Times New Roman"/>
          <w:szCs w:val="24"/>
        </w:rPr>
        <w:t>i</w:t>
      </w:r>
      <w:r w:rsidRPr="00F20267">
        <w:rPr>
          <w:rFonts w:ascii="Times New Roman" w:hAnsi="Times New Roman" w:cs="Times New Roman"/>
          <w:szCs w:val="24"/>
        </w:rPr>
        <w:t xml:space="preserve">ncidence and </w:t>
      </w:r>
      <w:r>
        <w:rPr>
          <w:rFonts w:ascii="Times New Roman" w:hAnsi="Times New Roman" w:cs="Times New Roman"/>
          <w:szCs w:val="24"/>
        </w:rPr>
        <w:t>a</w:t>
      </w:r>
      <w:r w:rsidRPr="00F20267">
        <w:rPr>
          <w:rFonts w:ascii="Times New Roman" w:hAnsi="Times New Roman" w:cs="Times New Roman"/>
          <w:szCs w:val="24"/>
        </w:rPr>
        <w:t xml:space="preserve">ltered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resentation in a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opulation-based </w:t>
      </w:r>
      <w:r>
        <w:rPr>
          <w:rFonts w:ascii="Times New Roman" w:hAnsi="Times New Roman" w:cs="Times New Roman"/>
          <w:szCs w:val="24"/>
        </w:rPr>
        <w:t>s</w:t>
      </w:r>
      <w:r w:rsidRPr="00F20267">
        <w:rPr>
          <w:rFonts w:ascii="Times New Roman" w:hAnsi="Times New Roman" w:cs="Times New Roman"/>
          <w:szCs w:val="24"/>
        </w:rPr>
        <w:t xml:space="preserve">tudy of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ediatric </w:t>
      </w:r>
      <w:r>
        <w:rPr>
          <w:rFonts w:ascii="Times New Roman" w:hAnsi="Times New Roman" w:cs="Times New Roman"/>
          <w:szCs w:val="24"/>
        </w:rPr>
        <w:t>c</w:t>
      </w:r>
      <w:r w:rsidRPr="00F20267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F20267">
        <w:rPr>
          <w:rFonts w:ascii="Times New Roman" w:hAnsi="Times New Roman" w:cs="Times New Roman"/>
          <w:szCs w:val="24"/>
        </w:rPr>
        <w:t xml:space="preserve">isease in North America.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F20267">
        <w:rPr>
          <w:rFonts w:ascii="Times New Roman" w:hAnsi="Times New Roman" w:cs="Times New Roman"/>
          <w:szCs w:val="24"/>
        </w:rPr>
        <w:t>. 2017;65(4):432-437.</w:t>
      </w:r>
    </w:p>
    <w:bookmarkEnd w:id="6"/>
    <w:p w14:paraId="21BD03E3" w14:textId="77777777" w:rsidR="00680277" w:rsidRPr="00EE4B80" w:rsidRDefault="00680277" w:rsidP="006802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Virta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LJ, Saarinen MM, Kolho KL. Declining trend in the incidence of biopsy-verified coeliac disease in the adult population of Finland, 2005-2014.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2017;46(11-12):1085-</w:t>
      </w:r>
      <w:r>
        <w:rPr>
          <w:rFonts w:ascii="Times New Roman" w:hAnsi="Times New Roman" w:cs="Times New Roman"/>
          <w:szCs w:val="24"/>
        </w:rPr>
        <w:t>10</w:t>
      </w:r>
      <w:r w:rsidRPr="00C54089">
        <w:rPr>
          <w:rFonts w:ascii="Times New Roman" w:hAnsi="Times New Roman" w:cs="Times New Roman"/>
          <w:szCs w:val="24"/>
        </w:rPr>
        <w:t>93.</w:t>
      </w:r>
    </w:p>
    <w:p w14:paraId="2ED3BAE9" w14:textId="35126945" w:rsidR="00150293" w:rsidRPr="00680277" w:rsidRDefault="00680277" w:rsidP="006802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Ludvigsson JF, Rubio-Tapia A, van Dyke CT, et al. Increasing incidence of celiac disease in a North American population.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0B332F">
        <w:rPr>
          <w:rFonts w:ascii="Times New Roman" w:hAnsi="Times New Roman" w:cs="Times New Roman"/>
          <w:szCs w:val="24"/>
        </w:rPr>
        <w:t>. 2013;108(5):818-</w:t>
      </w:r>
      <w:r>
        <w:rPr>
          <w:rFonts w:ascii="Times New Roman" w:hAnsi="Times New Roman" w:cs="Times New Roman"/>
          <w:szCs w:val="24"/>
        </w:rPr>
        <w:t>8</w:t>
      </w:r>
      <w:r w:rsidRPr="000B332F">
        <w:rPr>
          <w:rFonts w:ascii="Times New Roman" w:hAnsi="Times New Roman" w:cs="Times New Roman"/>
          <w:szCs w:val="24"/>
        </w:rPr>
        <w:t>24.</w:t>
      </w:r>
    </w:p>
    <w:sectPr w:rsidR="00150293" w:rsidRPr="00680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858"/>
    <w:multiLevelType w:val="hybridMultilevel"/>
    <w:tmpl w:val="25849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B61"/>
    <w:multiLevelType w:val="hybridMultilevel"/>
    <w:tmpl w:val="8D160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20C1"/>
    <w:multiLevelType w:val="hybridMultilevel"/>
    <w:tmpl w:val="7660A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65D"/>
    <w:multiLevelType w:val="hybridMultilevel"/>
    <w:tmpl w:val="04EEA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92A"/>
    <w:multiLevelType w:val="hybridMultilevel"/>
    <w:tmpl w:val="59F235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DC2"/>
    <w:multiLevelType w:val="hybridMultilevel"/>
    <w:tmpl w:val="77101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7514"/>
    <w:multiLevelType w:val="hybridMultilevel"/>
    <w:tmpl w:val="FCFC0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1369E"/>
    <w:multiLevelType w:val="hybridMultilevel"/>
    <w:tmpl w:val="AA68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32EE"/>
    <w:multiLevelType w:val="hybridMultilevel"/>
    <w:tmpl w:val="AA68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16DB"/>
    <w:multiLevelType w:val="hybridMultilevel"/>
    <w:tmpl w:val="77101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64A97"/>
    <w:multiLevelType w:val="hybridMultilevel"/>
    <w:tmpl w:val="C85C0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17FD8"/>
    <w:multiLevelType w:val="hybridMultilevel"/>
    <w:tmpl w:val="8D160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F7EB0"/>
    <w:multiLevelType w:val="hybridMultilevel"/>
    <w:tmpl w:val="8D160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0327"/>
    <w:multiLevelType w:val="hybridMultilevel"/>
    <w:tmpl w:val="77101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E0478"/>
    <w:multiLevelType w:val="hybridMultilevel"/>
    <w:tmpl w:val="5E660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50AF"/>
    <w:multiLevelType w:val="hybridMultilevel"/>
    <w:tmpl w:val="AB80E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07C6E"/>
    <w:multiLevelType w:val="hybridMultilevel"/>
    <w:tmpl w:val="A8BCBB1C"/>
    <w:lvl w:ilvl="0" w:tplc="BCE63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61D64"/>
    <w:multiLevelType w:val="hybridMultilevel"/>
    <w:tmpl w:val="AA68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3E94"/>
    <w:multiLevelType w:val="hybridMultilevel"/>
    <w:tmpl w:val="AA68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73BAF"/>
    <w:multiLevelType w:val="hybridMultilevel"/>
    <w:tmpl w:val="04EEA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43D37"/>
    <w:multiLevelType w:val="hybridMultilevel"/>
    <w:tmpl w:val="6464C6EC"/>
    <w:lvl w:ilvl="0" w:tplc="FFA0383E">
      <w:start w:val="1"/>
      <w:numFmt w:val="bullet"/>
      <w:lvlText w:val="-"/>
      <w:lvlJc w:val="left"/>
      <w:pPr>
        <w:tabs>
          <w:tab w:val="num" w:pos="-1422"/>
        </w:tabs>
        <w:ind w:left="-1422" w:hanging="360"/>
      </w:pPr>
      <w:rPr>
        <w:rFonts w:ascii="Cambria" w:hAnsi="Cambria" w:hint="default"/>
      </w:rPr>
    </w:lvl>
    <w:lvl w:ilvl="1" w:tplc="190E8454" w:tentative="1">
      <w:start w:val="1"/>
      <w:numFmt w:val="bullet"/>
      <w:lvlText w:val="-"/>
      <w:lvlJc w:val="left"/>
      <w:pPr>
        <w:tabs>
          <w:tab w:val="num" w:pos="-702"/>
        </w:tabs>
        <w:ind w:left="-702" w:hanging="360"/>
      </w:pPr>
      <w:rPr>
        <w:rFonts w:ascii="Cambria" w:hAnsi="Cambria" w:hint="default"/>
      </w:rPr>
    </w:lvl>
    <w:lvl w:ilvl="2" w:tplc="157E0C04" w:tentative="1">
      <w:start w:val="1"/>
      <w:numFmt w:val="bullet"/>
      <w:lvlText w:val="-"/>
      <w:lvlJc w:val="left"/>
      <w:pPr>
        <w:tabs>
          <w:tab w:val="num" w:pos="18"/>
        </w:tabs>
        <w:ind w:left="18" w:hanging="360"/>
      </w:pPr>
      <w:rPr>
        <w:rFonts w:ascii="Cambria" w:hAnsi="Cambria" w:hint="default"/>
      </w:rPr>
    </w:lvl>
    <w:lvl w:ilvl="3" w:tplc="67582582" w:tentative="1">
      <w:start w:val="1"/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Cambria" w:hAnsi="Cambria" w:hint="default"/>
      </w:rPr>
    </w:lvl>
    <w:lvl w:ilvl="4" w:tplc="55D2B770" w:tentative="1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Cambria" w:hAnsi="Cambria" w:hint="default"/>
      </w:rPr>
    </w:lvl>
    <w:lvl w:ilvl="5" w:tplc="E73EBDFC" w:tentative="1">
      <w:start w:val="1"/>
      <w:numFmt w:val="bullet"/>
      <w:lvlText w:val="-"/>
      <w:lvlJc w:val="left"/>
      <w:pPr>
        <w:tabs>
          <w:tab w:val="num" w:pos="2178"/>
        </w:tabs>
        <w:ind w:left="2178" w:hanging="360"/>
      </w:pPr>
      <w:rPr>
        <w:rFonts w:ascii="Cambria" w:hAnsi="Cambria" w:hint="default"/>
      </w:rPr>
    </w:lvl>
    <w:lvl w:ilvl="6" w:tplc="F46692E8" w:tentative="1">
      <w:start w:val="1"/>
      <w:numFmt w:val="bullet"/>
      <w:lvlText w:val="-"/>
      <w:lvlJc w:val="left"/>
      <w:pPr>
        <w:tabs>
          <w:tab w:val="num" w:pos="2898"/>
        </w:tabs>
        <w:ind w:left="2898" w:hanging="360"/>
      </w:pPr>
      <w:rPr>
        <w:rFonts w:ascii="Cambria" w:hAnsi="Cambria" w:hint="default"/>
      </w:rPr>
    </w:lvl>
    <w:lvl w:ilvl="7" w:tplc="66E03FC8" w:tentative="1">
      <w:start w:val="1"/>
      <w:numFmt w:val="bullet"/>
      <w:lvlText w:val="-"/>
      <w:lvlJc w:val="left"/>
      <w:pPr>
        <w:tabs>
          <w:tab w:val="num" w:pos="3618"/>
        </w:tabs>
        <w:ind w:left="3618" w:hanging="360"/>
      </w:pPr>
      <w:rPr>
        <w:rFonts w:ascii="Cambria" w:hAnsi="Cambria" w:hint="default"/>
      </w:rPr>
    </w:lvl>
    <w:lvl w:ilvl="8" w:tplc="6606882C" w:tentative="1">
      <w:start w:val="1"/>
      <w:numFmt w:val="bullet"/>
      <w:lvlText w:val="-"/>
      <w:lvlJc w:val="left"/>
      <w:pPr>
        <w:tabs>
          <w:tab w:val="num" w:pos="4338"/>
        </w:tabs>
        <w:ind w:left="4338" w:hanging="360"/>
      </w:pPr>
      <w:rPr>
        <w:rFonts w:ascii="Cambria" w:hAnsi="Cambria" w:hint="default"/>
      </w:rPr>
    </w:lvl>
  </w:abstractNum>
  <w:abstractNum w:abstractNumId="21" w15:restartNumberingAfterBreak="0">
    <w:nsid w:val="7D002E03"/>
    <w:multiLevelType w:val="hybridMultilevel"/>
    <w:tmpl w:val="F432A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A1200"/>
    <w:multiLevelType w:val="hybridMultilevel"/>
    <w:tmpl w:val="9F1A1968"/>
    <w:lvl w:ilvl="0" w:tplc="C0D8C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B1DA7"/>
    <w:multiLevelType w:val="hybridMultilevel"/>
    <w:tmpl w:val="AA68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22DE"/>
    <w:multiLevelType w:val="hybridMultilevel"/>
    <w:tmpl w:val="D30E4342"/>
    <w:lvl w:ilvl="0" w:tplc="FFA0383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C77D8"/>
    <w:multiLevelType w:val="hybridMultilevel"/>
    <w:tmpl w:val="AE324E12"/>
    <w:lvl w:ilvl="0" w:tplc="6BC4A0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7"/>
  </w:num>
  <w:num w:numId="9">
    <w:abstractNumId w:val="18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4"/>
  </w:num>
  <w:num w:numId="18">
    <w:abstractNumId w:val="5"/>
  </w:num>
  <w:num w:numId="19">
    <w:abstractNumId w:val="13"/>
  </w:num>
  <w:num w:numId="20">
    <w:abstractNumId w:val="9"/>
  </w:num>
  <w:num w:numId="21">
    <w:abstractNumId w:val="25"/>
  </w:num>
  <w:num w:numId="22">
    <w:abstractNumId w:val="10"/>
  </w:num>
  <w:num w:numId="23">
    <w:abstractNumId w:val="21"/>
  </w:num>
  <w:num w:numId="24">
    <w:abstractNumId w:val="1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29"/>
    <w:rsid w:val="00150293"/>
    <w:rsid w:val="00252529"/>
    <w:rsid w:val="00492AF6"/>
    <w:rsid w:val="00680277"/>
    <w:rsid w:val="006B66D3"/>
    <w:rsid w:val="00716EEC"/>
    <w:rsid w:val="009E6CE4"/>
    <w:rsid w:val="00C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E38E"/>
  <w15:chartTrackingRefBased/>
  <w15:docId w15:val="{46688220-87A8-40A6-913D-27F90AE2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29"/>
    <w:pPr>
      <w:ind w:left="720"/>
      <w:contextualSpacing/>
    </w:pPr>
  </w:style>
  <w:style w:type="paragraph" w:styleId="NormalWeb">
    <w:name w:val="Normal (Web)"/>
    <w:basedOn w:val="Normal"/>
    <w:unhideWhenUsed/>
    <w:rsid w:val="0025252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2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52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525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5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29"/>
  </w:style>
  <w:style w:type="paragraph" w:styleId="Footer">
    <w:name w:val="footer"/>
    <w:basedOn w:val="Normal"/>
    <w:link w:val="FooterChar"/>
    <w:uiPriority w:val="99"/>
    <w:unhideWhenUsed/>
    <w:rsid w:val="0025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29"/>
  </w:style>
  <w:style w:type="character" w:styleId="PlaceholderText">
    <w:name w:val="Placeholder Text"/>
    <w:basedOn w:val="DefaultParagraphFont"/>
    <w:uiPriority w:val="99"/>
    <w:semiHidden/>
    <w:rsid w:val="00252529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252529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252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2529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2529"/>
    <w:rPr>
      <w:rFonts w:ascii="Times New Roman" w:hAnsi="Times New Roman" w:cs="Times New Roman"/>
      <w:noProof/>
      <w:sz w:val="24"/>
      <w:lang w:val="en-US"/>
    </w:rPr>
  </w:style>
  <w:style w:type="paragraph" w:styleId="NoSpacing">
    <w:name w:val="No Spacing"/>
    <w:uiPriority w:val="1"/>
    <w:qFormat/>
    <w:rsid w:val="00252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Anthony King</cp:lastModifiedBy>
  <cp:revision>3</cp:revision>
  <dcterms:created xsi:type="dcterms:W3CDTF">2019-06-12T15:58:00Z</dcterms:created>
  <dcterms:modified xsi:type="dcterms:W3CDTF">2019-06-12T17:32:00Z</dcterms:modified>
</cp:coreProperties>
</file>