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B" w:rsidRDefault="0092400B"/>
    <w:p w:rsidR="00764ECD" w:rsidRDefault="00764ECD"/>
    <w:p w:rsidR="00764ECD" w:rsidRDefault="00764ECD" w:rsidP="00764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Supplemental Table 1: Factors in excluded patients conferring increased risk for colorectal cancer</w:t>
      </w:r>
    </w:p>
    <w:p w:rsidR="00764ECD" w:rsidRPr="00F35F08" w:rsidRDefault="00764ECD" w:rsidP="00764ECD">
      <w:pPr>
        <w:rPr>
          <w:color w:val="1F497D"/>
          <w:sz w:val="22"/>
          <w:szCs w:val="22"/>
        </w:rPr>
      </w:pPr>
    </w:p>
    <w:tbl>
      <w:tblPr>
        <w:tblW w:w="6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1556"/>
      </w:tblGrid>
      <w:tr w:rsidR="00764ECD" w:rsidRPr="00F35F08" w:rsidTr="00D3568D">
        <w:trPr>
          <w:trHeight w:val="650"/>
        </w:trPr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Risk factor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(%)*</w:t>
            </w:r>
          </w:p>
          <w:p w:rsidR="00764ECD" w:rsidRPr="00F35F08" w:rsidRDefault="00764ECD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(n=228)</w:t>
            </w:r>
          </w:p>
        </w:tc>
      </w:tr>
      <w:tr w:rsidR="00764ECD" w:rsidRPr="00F35F08" w:rsidTr="00D3568D">
        <w:trPr>
          <w:trHeight w:val="388"/>
        </w:trPr>
        <w:tc>
          <w:tcPr>
            <w:tcW w:w="4492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Unexplained iron deficiency anemia</w:t>
            </w:r>
            <w:r w:rsidRPr="009320D1">
              <w:rPr>
                <w:rFonts w:eastAsia="Arial Unicode MS" w:cs="Arial Unicode MS"/>
                <w:bCs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F35F0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50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Family history of early onset CRC</w:t>
            </w:r>
            <w:r w:rsidRPr="00F35F08">
              <w:rPr>
                <w:rFonts w:ascii="Cambria Math" w:hAnsi="Cambria Math"/>
                <w:sz w:val="22"/>
                <w:szCs w:val="22"/>
                <w:vertAlign w:val="superscript"/>
              </w:rPr>
              <w:t>⧧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F35F0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19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A24CED" w:rsidRDefault="00764ECD" w:rsidP="00D3568D">
            <w:r>
              <w:rPr>
                <w:rFonts w:ascii="Calibri" w:eastAsiaTheme="minorHAnsi" w:hAnsi="Calibri" w:cs="Calibri"/>
                <w:sz w:val="22"/>
                <w:szCs w:val="22"/>
              </w:rPr>
              <w:t>Personal history of advanced CRN</w:t>
            </w:r>
            <w:r w:rsidRPr="00327646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CD" w:rsidRPr="00F35F08" w:rsidRDefault="00764ECD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33 (14)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Pr="009320D1" w:rsidRDefault="00764ECD" w:rsidP="00D3568D">
            <w:pPr>
              <w:rPr>
                <w:vertAlign w:val="superscript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Overt rectal bleeding</w:t>
            </w:r>
            <w:r w:rsidRPr="009320D1">
              <w:rPr>
                <w:rFonts w:eastAsia="Arial Unicode MS" w:cs="Arial Unicode MS"/>
                <w:bCs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(8)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Positive fecal blood test within 180 days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(7)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Personal history of digestive tract malignancy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13(6)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</w:rPr>
              <w:t>Aerodigestive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cancer within 5 years</w:t>
            </w:r>
          </w:p>
        </w:tc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(3)</w:t>
            </w:r>
          </w:p>
        </w:tc>
      </w:tr>
      <w:tr w:rsidR="00764ECD" w:rsidRPr="00F35F08" w:rsidTr="00D3568D">
        <w:trPr>
          <w:trHeight w:val="385"/>
        </w:trPr>
        <w:tc>
          <w:tcPr>
            <w:tcW w:w="4492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Personal history of inflammatory bowel disease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CD" w:rsidRDefault="00764ECD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(3)</w:t>
            </w:r>
          </w:p>
        </w:tc>
      </w:tr>
    </w:tbl>
    <w:p w:rsidR="00764ECD" w:rsidRDefault="00764ECD" w:rsidP="00764ECD">
      <w:pPr>
        <w:rPr>
          <w:rFonts w:eastAsia="Arial Unicode MS" w:cs="Arial Unicode MS"/>
          <w:bCs/>
          <w:sz w:val="22"/>
          <w:szCs w:val="22"/>
        </w:rPr>
      </w:pPr>
      <w:r>
        <w:rPr>
          <w:rFonts w:eastAsia="Arial Unicode MS" w:cs="Arial Unicode MS"/>
          <w:bCs/>
          <w:sz w:val="22"/>
          <w:szCs w:val="22"/>
        </w:rPr>
        <w:t>* Some patients had multiple risk factors for colorectal cancer</w:t>
      </w:r>
    </w:p>
    <w:p w:rsidR="00764ECD" w:rsidRDefault="00764ECD" w:rsidP="00764ECD">
      <w:pPr>
        <w:rPr>
          <w:rFonts w:eastAsia="Arial Unicode MS" w:cs="Arial Unicode MS"/>
          <w:bCs/>
          <w:sz w:val="22"/>
          <w:szCs w:val="22"/>
        </w:rPr>
      </w:pPr>
      <w:r w:rsidRPr="009320D1">
        <w:rPr>
          <w:rFonts w:eastAsia="Arial Unicode MS" w:cs="Arial Unicode MS"/>
          <w:bCs/>
          <w:sz w:val="22"/>
          <w:szCs w:val="22"/>
          <w:vertAlign w:val="superscript"/>
        </w:rPr>
        <w:t>†</w:t>
      </w:r>
      <w:r>
        <w:rPr>
          <w:rFonts w:eastAsia="Arial Unicode MS" w:cs="Arial Unicode MS"/>
          <w:bCs/>
          <w:sz w:val="22"/>
          <w:szCs w:val="22"/>
        </w:rPr>
        <w:t>Within 90 days before or after ordering MT-</w:t>
      </w:r>
      <w:proofErr w:type="spellStart"/>
      <w:r>
        <w:rPr>
          <w:rFonts w:eastAsia="Arial Unicode MS" w:cs="Arial Unicode MS"/>
          <w:bCs/>
          <w:sz w:val="22"/>
          <w:szCs w:val="22"/>
        </w:rPr>
        <w:t>sDNA</w:t>
      </w:r>
      <w:proofErr w:type="spellEnd"/>
      <w:r>
        <w:rPr>
          <w:rFonts w:eastAsia="Arial Unicode MS" w:cs="Arial Unicode MS"/>
          <w:bCs/>
          <w:sz w:val="22"/>
          <w:szCs w:val="22"/>
        </w:rPr>
        <w:t xml:space="preserve"> test</w:t>
      </w:r>
    </w:p>
    <w:p w:rsidR="00764ECD" w:rsidRDefault="00764ECD" w:rsidP="00764ECD">
      <w:pPr>
        <w:rPr>
          <w:rFonts w:eastAsia="Arial Unicode MS" w:cs="Arial Unicode MS"/>
          <w:bCs/>
          <w:sz w:val="22"/>
          <w:szCs w:val="22"/>
        </w:rPr>
      </w:pPr>
      <w:r w:rsidRPr="009320D1">
        <w:rPr>
          <w:rFonts w:ascii="Cambria Math" w:hAnsi="Cambria Math" w:cs="Cambria Math"/>
          <w:sz w:val="22"/>
          <w:szCs w:val="22"/>
          <w:vertAlign w:val="superscript"/>
        </w:rPr>
        <w:t>⧧</w:t>
      </w:r>
      <w:r>
        <w:rPr>
          <w:rFonts w:eastAsia="Arial Unicode MS" w:cs="Arial Unicode MS"/>
          <w:bCs/>
          <w:sz w:val="22"/>
          <w:szCs w:val="22"/>
        </w:rPr>
        <w:t xml:space="preserve">Diagnosed in a first degree </w:t>
      </w:r>
      <w:r w:rsidRPr="00C24D78">
        <w:rPr>
          <w:rFonts w:eastAsia="Arial Unicode MS"/>
          <w:bCs/>
          <w:sz w:val="22"/>
          <w:szCs w:val="22"/>
        </w:rPr>
        <w:t xml:space="preserve">relative </w:t>
      </w:r>
      <w:r w:rsidRPr="009320D1">
        <w:rPr>
          <w:color w:val="222222"/>
          <w:sz w:val="22"/>
          <w:szCs w:val="22"/>
          <w:shd w:val="clear" w:color="auto" w:fill="FFFFFF"/>
        </w:rPr>
        <w:t>≤</w:t>
      </w:r>
      <w:r w:rsidRPr="009320D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C24D78">
        <w:rPr>
          <w:rFonts w:eastAsia="Arial Unicode MS"/>
          <w:bCs/>
          <w:sz w:val="22"/>
          <w:szCs w:val="22"/>
        </w:rPr>
        <w:t>age</w:t>
      </w:r>
      <w:r>
        <w:rPr>
          <w:rFonts w:eastAsia="Arial Unicode MS" w:cs="Arial Unicode MS"/>
          <w:bCs/>
          <w:sz w:val="22"/>
          <w:szCs w:val="22"/>
        </w:rPr>
        <w:t xml:space="preserve"> 60 years old</w:t>
      </w:r>
    </w:p>
    <w:p w:rsidR="00764ECD" w:rsidRPr="009320D1" w:rsidRDefault="00764ECD" w:rsidP="00764ECD">
      <w:r w:rsidRPr="009320D1">
        <w:rPr>
          <w:rFonts w:ascii="Arial" w:hAnsi="Arial" w:cs="Arial"/>
          <w:color w:val="222222"/>
          <w:shd w:val="clear" w:color="auto" w:fill="FFFFFF"/>
          <w:vertAlign w:val="superscript"/>
        </w:rPr>
        <w:t>§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CRC or adenomas/sessile serrated polyps </w:t>
      </w:r>
      <w:r w:rsidRPr="00F35F08">
        <w:rPr>
          <w:rFonts w:ascii="Arial Unicode MS" w:eastAsia="Arial Unicode MS" w:hAnsi="Arial Unicode MS" w:cs="Arial Unicode MS" w:hint="eastAsia"/>
          <w:bCs/>
          <w:sz w:val="22"/>
          <w:szCs w:val="22"/>
        </w:rPr>
        <w:t>≥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>1cm or with high grade dysplasia or villous elements</w:t>
      </w:r>
    </w:p>
    <w:p w:rsidR="00764ECD" w:rsidRDefault="00764ECD">
      <w:bookmarkStart w:id="0" w:name="_GoBack"/>
      <w:bookmarkEnd w:id="0"/>
    </w:p>
    <w:sectPr w:rsidR="0076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D"/>
    <w:rsid w:val="00764ECD"/>
    <w:rsid w:val="009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2020-01-09T12:26:00Z</dcterms:created>
  <dcterms:modified xsi:type="dcterms:W3CDTF">2020-01-09T12:27:00Z</dcterms:modified>
</cp:coreProperties>
</file>