
<file path=[Content_Types].xml><?xml version="1.0" encoding="utf-8"?>
<Types xmlns="http://schemas.openxmlformats.org/package/2006/content-types">
  <Default Extension="gif" ContentType="image/gif"/>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84A20" w14:textId="7DFDEB97" w:rsidR="0069507A" w:rsidRPr="00E9633C" w:rsidRDefault="0069507A" w:rsidP="00213B6B">
      <w:pPr>
        <w:rPr>
          <w:rFonts w:ascii="Arial" w:hAnsi="Arial" w:cs="Arial"/>
          <w:b/>
        </w:rPr>
      </w:pPr>
      <w:r w:rsidRPr="00E9633C">
        <w:rPr>
          <w:rFonts w:ascii="Arial" w:hAnsi="Arial" w:cs="Arial"/>
          <w:b/>
        </w:rPr>
        <w:t>Supplemental Information</w:t>
      </w:r>
    </w:p>
    <w:p w14:paraId="1143FC51" w14:textId="1F1814DD" w:rsidR="000D6593" w:rsidRPr="00E9633C" w:rsidRDefault="000D6593" w:rsidP="00213B6B">
      <w:pPr>
        <w:rPr>
          <w:rFonts w:ascii="Arial" w:hAnsi="Arial" w:cs="Arial"/>
          <w:b/>
        </w:rPr>
      </w:pPr>
    </w:p>
    <w:p w14:paraId="79E52A5D" w14:textId="3E450411" w:rsidR="001F2210" w:rsidRPr="00E9633C" w:rsidRDefault="001F2210" w:rsidP="00213B6B">
      <w:pPr>
        <w:rPr>
          <w:rFonts w:ascii="Arial" w:hAnsi="Arial" w:cs="Arial"/>
          <w:b/>
        </w:rPr>
      </w:pPr>
      <w:r w:rsidRPr="00E9633C">
        <w:rPr>
          <w:rFonts w:ascii="Arial" w:hAnsi="Arial" w:cs="Arial"/>
          <w:b/>
        </w:rPr>
        <w:t>Supplemental Background and Methods</w:t>
      </w:r>
    </w:p>
    <w:p w14:paraId="64B6DCFD" w14:textId="2D393FB1" w:rsidR="000D6593" w:rsidRPr="00E9633C" w:rsidRDefault="000D6593" w:rsidP="00213B6B">
      <w:pPr>
        <w:rPr>
          <w:rFonts w:ascii="Arial" w:hAnsi="Arial" w:cs="Arial"/>
          <w:b/>
        </w:rPr>
      </w:pPr>
      <w:r w:rsidRPr="00E9633C">
        <w:rPr>
          <w:rFonts w:ascii="Arial" w:hAnsi="Arial" w:cs="Arial"/>
          <w:b/>
        </w:rPr>
        <w:t>TissueCypher Barrett’s Esophagus Assay: Previous Development and Validation Studies</w:t>
      </w:r>
    </w:p>
    <w:p w14:paraId="5BC2E1D8" w14:textId="5E5EF4DB" w:rsidR="000D6593" w:rsidRPr="00E9633C" w:rsidRDefault="000D6593" w:rsidP="00213B6B">
      <w:pPr>
        <w:rPr>
          <w:rFonts w:ascii="Arial" w:hAnsi="Arial" w:cs="Arial"/>
          <w:b/>
        </w:rPr>
      </w:pPr>
    </w:p>
    <w:p w14:paraId="58A3F25B" w14:textId="77777777" w:rsidR="00D1786B" w:rsidRPr="00E9633C" w:rsidRDefault="00D1786B" w:rsidP="00D1786B">
      <w:pPr>
        <w:spacing w:line="480" w:lineRule="auto"/>
        <w:rPr>
          <w:rFonts w:ascii="Arial" w:hAnsi="Arial" w:cs="Arial"/>
          <w:color w:val="000000" w:themeColor="text1"/>
        </w:rPr>
      </w:pPr>
      <w:r w:rsidRPr="00E9633C">
        <w:rPr>
          <w:rFonts w:ascii="Arial" w:hAnsi="Arial" w:cs="Arial"/>
        </w:rPr>
        <w:t xml:space="preserve">The risk prediction test was developed and validated in a nested case-control study (n=366) with patients who progressed from ND, indefinite for dysplasia (IND) or LGD to HGD/EAC in ≥1 year, and patients with ND, IND or LGD with surveillance data showing no progression </w:t>
      </w:r>
      <w:r w:rsidRPr="00E9633C">
        <w:rPr>
          <w:rFonts w:ascii="Arial" w:hAnsi="Arial" w:cs="Arial"/>
        </w:rPr>
        <w:fldChar w:fldCharType="begin">
          <w:fldData xml:space="preserve">PEVuZE5vdGU+PENpdGU+PEF1dGhvcj5Dcml0Y2hsZXktVGhvcm5lPC9BdXRob3I+PFllYXI+MjAx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</w:fldData>
        </w:fldChar>
      </w:r>
      <w:r w:rsidRPr="00E9633C">
        <w:rPr>
          <w:rFonts w:ascii="Arial" w:hAnsi="Arial" w:cs="Arial"/>
        </w:rPr>
        <w:instrText xml:space="preserve"> ADDIN EN.CITE </w:instrText>
      </w:r>
      <w:r w:rsidRPr="00E9633C">
        <w:rPr>
          <w:rFonts w:ascii="Arial" w:hAnsi="Arial" w:cs="Arial"/>
        </w:rPr>
        <w:fldChar w:fldCharType="begin">
          <w:fldData xml:space="preserve">PEVuZE5vdGU+PENpdGU+PEF1dGhvcj5Dcml0Y2hsZXktVGhvcm5lPC9BdXRob3I+PFllYXI+MjAx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</w:fldData>
        </w:fldChar>
      </w:r>
      <w:r w:rsidRPr="00E9633C">
        <w:rPr>
          <w:rFonts w:ascii="Arial" w:hAnsi="Arial" w:cs="Arial"/>
        </w:rPr>
        <w:instrText xml:space="preserve"> ADDIN EN.CITE.DATA </w:instrText>
      </w:r>
      <w:r w:rsidRPr="00E9633C">
        <w:rPr>
          <w:rFonts w:ascii="Arial" w:hAnsi="Arial" w:cs="Arial"/>
        </w:rPr>
      </w:r>
      <w:r w:rsidRPr="00E9633C">
        <w:rPr>
          <w:rFonts w:ascii="Arial" w:hAnsi="Arial" w:cs="Arial"/>
        </w:rPr>
        <w:fldChar w:fldCharType="end"/>
      </w:r>
      <w:r w:rsidRPr="00E9633C">
        <w:rPr>
          <w:rFonts w:ascii="Arial" w:hAnsi="Arial" w:cs="Arial"/>
        </w:rPr>
      </w:r>
      <w:r w:rsidRPr="00E9633C">
        <w:rPr>
          <w:rFonts w:ascii="Arial" w:hAnsi="Arial" w:cs="Arial"/>
        </w:rPr>
        <w:fldChar w:fldCharType="separate"/>
      </w:r>
      <w:r w:rsidRPr="00E9633C">
        <w:rPr>
          <w:rFonts w:ascii="Arial" w:hAnsi="Arial" w:cs="Arial"/>
        </w:rPr>
        <w:t>(1)</w:t>
      </w:r>
      <w:r w:rsidRPr="00E9633C">
        <w:rPr>
          <w:rFonts w:ascii="Arial" w:hAnsi="Arial" w:cs="Arial"/>
        </w:rPr>
        <w:fldChar w:fldCharType="end"/>
      </w:r>
      <w:r w:rsidRPr="00E9633C">
        <w:rPr>
          <w:rFonts w:ascii="Arial" w:hAnsi="Arial" w:cs="Arial"/>
        </w:rPr>
        <w:t xml:space="preserve">. A multivariable risk classifier was developed in a training set, all of the test parameters were locked, and then the test was evaluated in a separate validation set. The classifier stratified patients into low-, intermediate- and high-risk classes (hazard ratio (HR), 9.42; 95% confidence interval (C.I.), 4.6–19.24 (high-risk vs low-risk); p&lt;0.0001), and also provided independent predictive information that outperformed predictions based on clinical variables, including subspecialist pathologist diagnosis. This first validation study demonstrated the ability of the test to predict incident progression in BE. In addition to predicting future risk of progression in BE, there is also a clinical need to identify prevalent HGD/EAC that may be missed by random sampling in BE. In a second study, the same </w:t>
      </w:r>
      <w:r w:rsidRPr="00E9633C">
        <w:rPr>
          <w:rFonts w:ascii="Arial" w:hAnsi="Arial" w:cs="Arial"/>
          <w:color w:val="000000" w:themeColor="text1"/>
        </w:rPr>
        <w:t xml:space="preserve">risk prediction test (with all parameters locked) was evaluated in ND, IND and LGD biopsies from </w:t>
      </w:r>
      <w:r w:rsidRPr="00E9633C">
        <w:rPr>
          <w:rFonts w:ascii="Arial" w:hAnsi="Arial" w:cs="Arial"/>
        </w:rPr>
        <w:t>BE</w:t>
      </w:r>
      <w:r w:rsidRPr="00E9633C">
        <w:rPr>
          <w:rFonts w:ascii="Arial" w:hAnsi="Arial" w:cs="Arial"/>
          <w:color w:val="000000" w:themeColor="text1"/>
        </w:rPr>
        <w:t xml:space="preserve"> patients diagnosed with HGD/EAC on repeat endoscopy (prevalent cases, n=30, median time to HGD/EAC diagnosis 140.5 days) and non-progressors (n=145) </w:t>
      </w:r>
      <w:r w:rsidRPr="00E9633C">
        <w:rPr>
          <w:rFonts w:ascii="Arial" w:hAnsi="Arial" w:cs="Arial"/>
          <w:color w:val="000000" w:themeColor="text1"/>
        </w:rPr>
        <w:fldChar w:fldCharType="begin">
          <w:fldData xml:space="preserve">PEVuZE5vdGU+PENpdGU+PEF1dGhvcj5Dcml0Y2hsZXktVGhvcm5lPC9BdXRob3I+PFllYXI+MjAx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</w:fldData>
        </w:fldChar>
      </w:r>
      <w:r w:rsidRPr="00E9633C">
        <w:rPr>
          <w:rFonts w:ascii="Arial" w:hAnsi="Arial" w:cs="Arial"/>
          <w:color w:val="000000" w:themeColor="text1"/>
        </w:rPr>
        <w:instrText xml:space="preserve"> ADDIN EN.CITE </w:instrText>
      </w:r>
      <w:r w:rsidRPr="00E9633C">
        <w:rPr>
          <w:rFonts w:ascii="Arial" w:hAnsi="Arial" w:cs="Arial"/>
          <w:color w:val="000000" w:themeColor="text1"/>
        </w:rPr>
        <w:fldChar w:fldCharType="begin">
          <w:fldData xml:space="preserve">PEVuZE5vdGU+PENpdGU+PEF1dGhvcj5Dcml0Y2hsZXktVGhvcm5lPC9BdXRob3I+PFllYXI+MjAx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</w:fldData>
        </w:fldChar>
      </w:r>
      <w:r w:rsidRPr="00E9633C">
        <w:rPr>
          <w:rFonts w:ascii="Arial" w:hAnsi="Arial" w:cs="Arial"/>
          <w:color w:val="000000" w:themeColor="text1"/>
        </w:rPr>
        <w:instrText xml:space="preserve"> ADDIN EN.CITE.DATA </w:instrText>
      </w:r>
      <w:r w:rsidRPr="00E9633C">
        <w:rPr>
          <w:rFonts w:ascii="Arial" w:hAnsi="Arial" w:cs="Arial"/>
          <w:color w:val="000000" w:themeColor="text1"/>
        </w:rPr>
      </w:r>
      <w:r w:rsidRPr="00E9633C">
        <w:rPr>
          <w:rFonts w:ascii="Arial" w:hAnsi="Arial" w:cs="Arial"/>
          <w:color w:val="000000" w:themeColor="text1"/>
        </w:rPr>
        <w:fldChar w:fldCharType="end"/>
      </w:r>
      <w:r w:rsidRPr="00E9633C">
        <w:rPr>
          <w:rFonts w:ascii="Arial" w:hAnsi="Arial" w:cs="Arial"/>
          <w:color w:val="000000" w:themeColor="text1"/>
        </w:rPr>
      </w:r>
      <w:r w:rsidRPr="00E9633C">
        <w:rPr>
          <w:rFonts w:ascii="Arial" w:hAnsi="Arial" w:cs="Arial"/>
          <w:color w:val="000000" w:themeColor="text1"/>
        </w:rPr>
        <w:fldChar w:fldCharType="separate"/>
      </w:r>
      <w:r w:rsidRPr="00E9633C">
        <w:rPr>
          <w:rFonts w:ascii="Arial" w:hAnsi="Arial" w:cs="Arial"/>
          <w:color w:val="000000" w:themeColor="text1"/>
        </w:rPr>
        <w:t>(2)</w:t>
      </w:r>
      <w:r w:rsidRPr="00E9633C">
        <w:rPr>
          <w:rFonts w:ascii="Arial" w:hAnsi="Arial" w:cs="Arial"/>
          <w:color w:val="000000" w:themeColor="text1"/>
        </w:rPr>
        <w:fldChar w:fldCharType="end"/>
      </w:r>
      <w:r w:rsidRPr="00E9633C">
        <w:rPr>
          <w:rFonts w:ascii="Arial" w:hAnsi="Arial" w:cs="Arial"/>
          <w:color w:val="000000" w:themeColor="text1"/>
        </w:rPr>
        <w:t>.</w:t>
      </w:r>
      <w:r w:rsidRPr="00E9633C">
        <w:rPr>
          <w:rFonts w:ascii="Arial" w:hAnsi="Arial" w:cs="Arial"/>
        </w:rPr>
        <w:t xml:space="preserve"> </w:t>
      </w:r>
      <w:r w:rsidRPr="00E9633C">
        <w:rPr>
          <w:rFonts w:ascii="Arial" w:hAnsi="Arial" w:cs="Arial"/>
          <w:color w:val="000000" w:themeColor="text1"/>
        </w:rPr>
        <w:t xml:space="preserve">The test stratified prevalent cases and non-progressor patients into risk classes (odds ratio (OR), 46.0; 95% C.I., 14.86-169 (high-risk vs low-risk); p&lt;0.0001), and also provided independent predictive information that outperformed the subspecialist and generalist diagnosis. </w:t>
      </w:r>
      <w:r w:rsidRPr="00E9633C">
        <w:rPr>
          <w:rFonts w:ascii="Arial" w:hAnsi="Arial" w:cs="Arial"/>
        </w:rPr>
        <w:t xml:space="preserve">The results of this second validation study indicated that the risk prediction test </w:t>
      </w:r>
      <w:r w:rsidRPr="00E9633C">
        <w:rPr>
          <w:rFonts w:ascii="Arial" w:hAnsi="Arial" w:cs="Arial"/>
          <w:color w:val="000000" w:themeColor="text1"/>
        </w:rPr>
        <w:t xml:space="preserve">may provide an objective method to identify prevalent HGD/EAC and facilitate earlier identification of </w:t>
      </w:r>
      <w:r w:rsidRPr="00E9633C">
        <w:rPr>
          <w:rFonts w:ascii="Arial" w:hAnsi="Arial" w:cs="Arial"/>
        </w:rPr>
        <w:t>BE</w:t>
      </w:r>
      <w:r w:rsidRPr="00E9633C">
        <w:rPr>
          <w:rFonts w:ascii="Arial" w:hAnsi="Arial" w:cs="Arial"/>
          <w:color w:val="000000" w:themeColor="text1"/>
        </w:rPr>
        <w:t xml:space="preserve"> patients requiring therapeutic intervention. </w:t>
      </w:r>
    </w:p>
    <w:p w14:paraId="249578CF" w14:textId="77777777" w:rsidR="00D1786B" w:rsidRPr="00E9633C" w:rsidRDefault="00D1786B" w:rsidP="00D1786B">
      <w:pPr>
        <w:spacing w:line="480" w:lineRule="auto"/>
        <w:rPr>
          <w:rFonts w:ascii="Arial" w:hAnsi="Arial" w:cs="Arial"/>
          <w:color w:val="000000" w:themeColor="text1"/>
        </w:rPr>
      </w:pPr>
    </w:p>
    <w:p w14:paraId="15485852" w14:textId="77777777" w:rsidR="00D1786B" w:rsidRPr="00E9633C" w:rsidRDefault="00D1786B" w:rsidP="00D1786B">
      <w:pPr>
        <w:spacing w:line="480" w:lineRule="auto"/>
        <w:rPr>
          <w:rFonts w:ascii="Arial" w:hAnsi="Arial" w:cs="Arial"/>
          <w:color w:val="000000" w:themeColor="text1"/>
        </w:rPr>
      </w:pPr>
    </w:p>
    <w:p w14:paraId="13710155" w14:textId="77777777" w:rsidR="00D1786B" w:rsidRPr="00E9633C" w:rsidRDefault="00D1786B" w:rsidP="00D1786B">
      <w:pPr>
        <w:spacing w:line="480" w:lineRule="auto"/>
        <w:rPr>
          <w:rFonts w:ascii="Arial" w:hAnsi="Arial" w:cs="Arial"/>
          <w:color w:val="000000" w:themeColor="text1"/>
        </w:rPr>
      </w:pPr>
    </w:p>
    <w:p w14:paraId="714CCE8D" w14:textId="77777777" w:rsidR="00D1786B" w:rsidRPr="00E9633C" w:rsidRDefault="00D1786B" w:rsidP="00D1786B">
      <w:pPr>
        <w:autoSpaceDE w:val="0"/>
        <w:autoSpaceDN w:val="0"/>
        <w:adjustRightInd w:val="0"/>
        <w:spacing w:after="0" w:line="480" w:lineRule="auto"/>
        <w:rPr>
          <w:rFonts w:ascii="Arial" w:hAnsi="Arial" w:cs="Arial"/>
        </w:rPr>
      </w:pPr>
      <w:bookmarkStart w:id="0" w:name="_Hlk26960111"/>
      <w:r w:rsidRPr="00E9633C">
        <w:rPr>
          <w:rFonts w:ascii="Arial" w:hAnsi="Arial" w:cs="Arial"/>
        </w:rPr>
        <w:t xml:space="preserve">The continuous risk score (ranges from 0 to 10) and categorical risk class (low, intermediate, or high) are calculated from the scaled and coefficient-weighted sum of 15 quantitative image analysis measurements (features) derived from 9 protein-based biomarkers and morphology as follows: </w:t>
      </w:r>
    </w:p>
    <w:p w14:paraId="2A9CEBAA" w14:textId="77777777" w:rsidR="00D1786B" w:rsidRPr="00E9633C" w:rsidRDefault="00D1786B" w:rsidP="00D1786B">
      <w:pPr>
        <w:pStyle w:val="ListParagraph"/>
        <w:numPr>
          <w:ilvl w:val="0"/>
          <w:numId w:val="6"/>
        </w:numPr>
        <w:autoSpaceDE w:val="0"/>
        <w:autoSpaceDN w:val="0"/>
        <w:adjustRightInd w:val="0"/>
        <w:spacing w:after="0" w:line="480" w:lineRule="auto"/>
        <w:rPr>
          <w:rFonts w:ascii="Arial" w:hAnsi="Arial" w:cs="Arial"/>
        </w:rPr>
      </w:pPr>
      <w:r w:rsidRPr="00E9633C">
        <w:rPr>
          <w:rFonts w:ascii="Arial" w:hAnsi="Arial" w:cs="Arial"/>
          <w:b/>
          <w:bCs/>
        </w:rPr>
        <w:t>Multiplexed immunofluorescence slide labeling</w:t>
      </w:r>
      <w:r w:rsidRPr="00E9633C">
        <w:rPr>
          <w:rFonts w:ascii="Arial" w:hAnsi="Arial" w:cs="Arial"/>
        </w:rPr>
        <w:t xml:space="preserve"> - serial sections of FFPE Barrett's esophagus biopsies are fluorescently immunolabeled for p16, AMACR, p53, HER2, K20, CD68, COX-2, HIF-1</w:t>
      </w:r>
      <w:r w:rsidRPr="00E9633C">
        <w:rPr>
          <w:rFonts w:ascii="Symbol" w:hAnsi="Symbol" w:cs="Arial"/>
        </w:rPr>
        <w:t></w:t>
      </w:r>
      <w:r w:rsidRPr="00E9633C">
        <w:rPr>
          <w:rFonts w:ascii="Arial" w:hAnsi="Arial" w:cs="Arial"/>
        </w:rPr>
        <w:t xml:space="preserve">, and CD45RO, plus Hoechst according to a standardized operating procedure, as previously described </w:t>
      </w:r>
      <w:r w:rsidRPr="00E9633C">
        <w:rPr>
          <w:rFonts w:ascii="Arial" w:hAnsi="Arial" w:cs="Arial"/>
        </w:rPr>
        <w:fldChar w:fldCharType="begin"/>
      </w:r>
      <w:r w:rsidRPr="00E9633C">
        <w:rPr>
          <w:rFonts w:ascii="Arial" w:hAnsi="Arial" w:cs="Arial"/>
        </w:rPr>
        <w:instrText xml:space="preserve"> ADDIN EN.CITE &lt;EndNote&gt;&lt;Cite&gt;&lt;Author&gt;Prichard&lt;/Author&gt;&lt;Year&gt;2015&lt;/Year&gt;&lt;RecNum&gt;4057&lt;/RecNum&gt;&lt;record&gt;&lt;rec-number&gt;4057&lt;/rec-number&gt;&lt;foreign-keys&gt;&lt;key app="EN" db-id="5datpzwed5r2ebe9evnvaef555052v5azsaa"&gt;4057&lt;/key&gt;&lt;/foreign-keys&gt;&lt;ref-type name="Journal Article"&gt;17&lt;/ref-type&gt;&lt;contributors&gt;&lt;authors&gt;&lt;author&gt;Prichard, J. W.&lt;/author&gt;&lt;author&gt;Davison, J.M.&lt;/author&gt;&lt;author&gt;Campbell, B.B.&lt;/author&gt;&lt;author&gt;Repa, K.A.&lt;/author&gt;&lt;author&gt;Reese, L.M.&lt;/author&gt;&lt;author&gt;Nguyen, X.M.&lt;/author&gt;&lt;author&gt;Li, J.&lt;/author&gt;&lt;author&gt;Foxwell, T.&lt;/author&gt;&lt;author&gt;Taylor, D.L.&lt;/author&gt;&lt;author&gt;Critchley-Thorne, R.J.&lt;/author&gt;&lt;/authors&gt;&lt;/contributors&gt;&lt;titles&gt;&lt;title&gt;TissueCypher: A Systems Biology Approach to Anatomic Pathology&lt;/title&gt;&lt;secondary-title&gt;Journal of Pathology Informatics&lt;/secondary-title&gt;&lt;/titles&gt;&lt;periodical&gt;&lt;full-title&gt;Journal of Pathology Informatics&lt;/full-title&gt;&lt;/periodical&gt;&lt;volume&gt;6:48.&lt;/volume&gt;&lt;dates&gt;&lt;year&gt;2015&lt;/year&gt;&lt;/dates&gt;&lt;urls&gt;&lt;/urls&gt;&lt;/record&gt;&lt;/Cite&gt;&lt;/EndNote&gt;</w:instrText>
      </w:r>
      <w:r w:rsidRPr="00E9633C">
        <w:rPr>
          <w:rFonts w:ascii="Arial" w:hAnsi="Arial" w:cs="Arial"/>
        </w:rPr>
        <w:fldChar w:fldCharType="separate"/>
      </w:r>
      <w:r w:rsidRPr="00E9633C">
        <w:rPr>
          <w:rFonts w:ascii="Arial" w:hAnsi="Arial" w:cs="Arial"/>
        </w:rPr>
        <w:t>(3)</w:t>
      </w:r>
      <w:r w:rsidRPr="00E9633C">
        <w:rPr>
          <w:rFonts w:ascii="Arial" w:hAnsi="Arial" w:cs="Arial"/>
        </w:rPr>
        <w:fldChar w:fldCharType="end"/>
      </w:r>
      <w:r w:rsidRPr="00E9633C">
        <w:rPr>
          <w:rFonts w:ascii="Arial" w:hAnsi="Arial" w:cs="Arial"/>
        </w:rPr>
        <w:t>;</w:t>
      </w:r>
    </w:p>
    <w:p w14:paraId="610996B9" w14:textId="77777777" w:rsidR="00D1786B" w:rsidRPr="00E9633C" w:rsidRDefault="00D1786B" w:rsidP="00D1786B">
      <w:pPr>
        <w:pStyle w:val="ListParagraph"/>
        <w:numPr>
          <w:ilvl w:val="0"/>
          <w:numId w:val="6"/>
        </w:numPr>
        <w:autoSpaceDE w:val="0"/>
        <w:autoSpaceDN w:val="0"/>
        <w:adjustRightInd w:val="0"/>
        <w:spacing w:after="0" w:line="480" w:lineRule="auto"/>
        <w:rPr>
          <w:rFonts w:ascii="Arial" w:hAnsi="Arial" w:cs="Arial"/>
        </w:rPr>
      </w:pPr>
      <w:r w:rsidRPr="00E9633C">
        <w:rPr>
          <w:rFonts w:ascii="Arial" w:hAnsi="Arial" w:cs="Arial"/>
          <w:b/>
          <w:bCs/>
        </w:rPr>
        <w:t>Whole slide fluorescence digital imaging</w:t>
      </w:r>
      <w:r w:rsidRPr="00E9633C">
        <w:rPr>
          <w:rFonts w:ascii="Arial" w:hAnsi="Arial" w:cs="Arial"/>
        </w:rPr>
        <w:t xml:space="preserve"> - labeled slides are imaged by whole slide fluorescence scanning that generates image data on each biomarker and nuclei according to a standardized operating procedure, as previously described </w:t>
      </w:r>
      <w:r w:rsidRPr="00E9633C">
        <w:rPr>
          <w:rFonts w:ascii="Arial" w:hAnsi="Arial" w:cs="Arial"/>
        </w:rPr>
        <w:fldChar w:fldCharType="begin"/>
      </w:r>
      <w:r w:rsidRPr="00E9633C">
        <w:rPr>
          <w:rFonts w:ascii="Arial" w:hAnsi="Arial" w:cs="Arial"/>
        </w:rPr>
        <w:instrText xml:space="preserve"> ADDIN EN.CITE &lt;EndNote&gt;&lt;Cite&gt;&lt;Author&gt;Prichard&lt;/Author&gt;&lt;Year&gt;2015&lt;/Year&gt;&lt;RecNum&gt;4057&lt;/RecNum&gt;&lt;record&gt;&lt;rec-number&gt;4057&lt;/rec-number&gt;&lt;foreign-keys&gt;&lt;key app="EN" db-id="5datpzwed5r2ebe9evnvaef555052v5azsaa"&gt;4057&lt;/key&gt;&lt;/foreign-keys&gt;&lt;ref-type name="Journal Article"&gt;17&lt;/ref-type&gt;&lt;contributors&gt;&lt;authors&gt;&lt;author&gt;Prichard, J. W.&lt;/author&gt;&lt;author&gt;Davison, J.M.&lt;/author&gt;&lt;author&gt;Campbell, B.B.&lt;/author&gt;&lt;author&gt;Repa, K.A.&lt;/author&gt;&lt;author&gt;Reese, L.M.&lt;/author&gt;&lt;author&gt;Nguyen, X.M.&lt;/author&gt;&lt;author&gt;Li, J.&lt;/author&gt;&lt;author&gt;Foxwell, T.&lt;/author&gt;&lt;author&gt;Taylor, D.L.&lt;/author&gt;&lt;author&gt;Critchley-Thorne, R.J.&lt;/author&gt;&lt;/authors&gt;&lt;/contributors&gt;&lt;titles&gt;&lt;title&gt;TissueCypher: A Systems Biology Approach to Anatomic Pathology&lt;/title&gt;&lt;secondary-title&gt;Journal of Pathology Informatics&lt;/secondary-title&gt;&lt;/titles&gt;&lt;periodical&gt;&lt;full-title&gt;Journal of Pathology Informatics&lt;/full-title&gt;&lt;/periodical&gt;&lt;volume&gt;6:48.&lt;/volume&gt;&lt;dates&gt;&lt;year&gt;2015&lt;/year&gt;&lt;/dates&gt;&lt;urls&gt;&lt;/urls&gt;&lt;/record&gt;&lt;/Cite&gt;&lt;/EndNote&gt;</w:instrText>
      </w:r>
      <w:r w:rsidRPr="00E9633C">
        <w:rPr>
          <w:rFonts w:ascii="Arial" w:hAnsi="Arial" w:cs="Arial"/>
        </w:rPr>
        <w:fldChar w:fldCharType="separate"/>
      </w:r>
      <w:r w:rsidRPr="00E9633C">
        <w:rPr>
          <w:rFonts w:ascii="Arial" w:hAnsi="Arial" w:cs="Arial"/>
        </w:rPr>
        <w:t>(3)</w:t>
      </w:r>
      <w:r w:rsidRPr="00E9633C">
        <w:rPr>
          <w:rFonts w:ascii="Arial" w:hAnsi="Arial" w:cs="Arial"/>
        </w:rPr>
        <w:fldChar w:fldCharType="end"/>
      </w:r>
      <w:r w:rsidRPr="00E9633C">
        <w:rPr>
          <w:rFonts w:ascii="Arial" w:hAnsi="Arial" w:cs="Arial"/>
        </w:rPr>
        <w:t xml:space="preserve">; </w:t>
      </w:r>
    </w:p>
    <w:p w14:paraId="47E8195D" w14:textId="77777777" w:rsidR="00D1786B" w:rsidRPr="00E9633C" w:rsidRDefault="00D1786B" w:rsidP="00D1786B">
      <w:pPr>
        <w:pStyle w:val="ListParagraph"/>
        <w:numPr>
          <w:ilvl w:val="0"/>
          <w:numId w:val="6"/>
        </w:numPr>
        <w:autoSpaceDE w:val="0"/>
        <w:autoSpaceDN w:val="0"/>
        <w:adjustRightInd w:val="0"/>
        <w:spacing w:after="0" w:line="480" w:lineRule="auto"/>
        <w:rPr>
          <w:rFonts w:cstheme="minorHAnsi"/>
        </w:rPr>
      </w:pPr>
      <w:r w:rsidRPr="00E9633C">
        <w:rPr>
          <w:rFonts w:ascii="Arial" w:hAnsi="Arial" w:cs="Arial"/>
          <w:b/>
          <w:bCs/>
        </w:rPr>
        <w:t>Automated image analysis</w:t>
      </w:r>
      <w:r w:rsidRPr="00E9633C">
        <w:rPr>
          <w:rFonts w:ascii="Arial" w:hAnsi="Arial" w:cs="Arial"/>
        </w:rPr>
        <w:t xml:space="preserve"> - Tissue images are analyzed by the TissueCypher</w:t>
      </w:r>
      <w:r w:rsidRPr="00E9633C">
        <w:rPr>
          <w:rFonts w:ascii="Arial" w:hAnsi="Arial" w:cs="Arial"/>
          <w:vertAlign w:val="superscript"/>
        </w:rPr>
        <w:t>®</w:t>
      </w:r>
      <w:r w:rsidRPr="00E9633C">
        <w:rPr>
          <w:rFonts w:ascii="Arial" w:hAnsi="Arial" w:cs="Arial"/>
        </w:rPr>
        <w:t xml:space="preserve"> Image Analysis Platform (Cernostics, Pittsburgh, PA), which utilizes automated image analysis software to identify tissue fragments, then identify cell and subcellular objects and tissue structure objects (as described in detail previously </w:t>
      </w:r>
      <w:r w:rsidRPr="00E9633C">
        <w:rPr>
          <w:rFonts w:ascii="Arial" w:hAnsi="Arial" w:cs="Arial"/>
        </w:rPr>
        <w:fldChar w:fldCharType="begin"/>
      </w:r>
      <w:r w:rsidRPr="00E9633C">
        <w:rPr>
          <w:rFonts w:ascii="Arial" w:hAnsi="Arial" w:cs="Arial"/>
        </w:rPr>
        <w:instrText xml:space="preserve"> ADDIN EN.CITE &lt;EndNote&gt;&lt;Cite&gt;&lt;Author&gt;Prichard&lt;/Author&gt;&lt;Year&gt;2015&lt;/Year&gt;&lt;RecNum&gt;4057&lt;/RecNum&gt;&lt;record&gt;&lt;rec-number&gt;4057&lt;/rec-number&gt;&lt;foreign-keys&gt;&lt;key app="EN" db-id="5datpzwed5r2ebe9evnvaef555052v5azsaa"&gt;4057&lt;/key&gt;&lt;/foreign-keys&gt;&lt;ref-type name="Journal Article"&gt;17&lt;/ref-type&gt;&lt;contributors&gt;&lt;authors&gt;&lt;author&gt;Prichard, J. W.&lt;/author&gt;&lt;author&gt;Davison, J.M.&lt;/author&gt;&lt;author&gt;Campbell, B.B.&lt;/author&gt;&lt;author&gt;Repa, K.A.&lt;/author&gt;&lt;author&gt;Reese, L.M.&lt;/author&gt;&lt;author&gt;Nguyen, X.M.&lt;/author&gt;&lt;author&gt;Li, J.&lt;/author&gt;&lt;author&gt;Foxwell, T.&lt;/author&gt;&lt;author&gt;Taylor, D.L.&lt;/author&gt;&lt;author&gt;Critchley-Thorne, R.J.&lt;/author&gt;&lt;/authors&gt;&lt;/contributors&gt;&lt;titles&gt;&lt;title&gt;TissueCypher: A Systems Biology Approach to Anatomic Pathology&lt;/title&gt;&lt;secondary-title&gt;Journal of Pathology Informatics&lt;/secondary-title&gt;&lt;/titles&gt;&lt;periodical&gt;&lt;full-title&gt;Journal of Pathology Informatics&lt;/full-title&gt;&lt;/periodical&gt;&lt;volume&gt;6:48.&lt;/volume&gt;&lt;dates&gt;&lt;year&gt;2015&lt;/year&gt;&lt;/dates&gt;&lt;urls&gt;&lt;/urls&gt;&lt;/record&gt;&lt;/Cite&gt;&lt;/EndNote&gt;</w:instrText>
      </w:r>
      <w:r w:rsidRPr="00E9633C">
        <w:rPr>
          <w:rFonts w:ascii="Arial" w:hAnsi="Arial" w:cs="Arial"/>
        </w:rPr>
        <w:fldChar w:fldCharType="separate"/>
      </w:r>
      <w:r w:rsidRPr="00E9633C">
        <w:rPr>
          <w:rFonts w:ascii="Arial" w:hAnsi="Arial" w:cs="Arial"/>
        </w:rPr>
        <w:t>(3)</w:t>
      </w:r>
      <w:r w:rsidRPr="00E9633C">
        <w:rPr>
          <w:rFonts w:ascii="Arial" w:hAnsi="Arial" w:cs="Arial"/>
        </w:rPr>
        <w:fldChar w:fldCharType="end"/>
      </w:r>
      <w:r w:rsidRPr="00E9633C">
        <w:rPr>
          <w:rFonts w:ascii="Arial" w:hAnsi="Arial" w:cs="Arial"/>
        </w:rPr>
        <w:t>) from which 15 features are extracted. Features are quantitative measures of biomarkers, including protein-based biomarkers and also nuclear morphology. The 15 features are</w:t>
      </w:r>
      <w:r w:rsidRPr="00E9633C">
        <w:rPr>
          <w:rFonts w:cstheme="minorHAnsi"/>
        </w:rPr>
        <w:t xml:space="preserve"> </w:t>
      </w:r>
      <w:r w:rsidRPr="00E9633C">
        <w:rPr>
          <w:rFonts w:ascii="Arial" w:hAnsi="Arial" w:cs="Arial"/>
          <w:color w:val="000000" w:themeColor="text1"/>
        </w:rPr>
        <w:t>p53 nuclear sum intensity, p53 nuclear mean intensity, ratio of mean HER2/neu</w:t>
      </w:r>
      <w:r w:rsidRPr="00E9633C">
        <w:rPr>
          <w:rFonts w:ascii="Arial" w:eastAsia="Times New Roman" w:hAnsi="Arial" w:cs="Arial"/>
        </w:rPr>
        <w:t xml:space="preserve"> </w:t>
      </w:r>
      <w:proofErr w:type="spellStart"/>
      <w:r w:rsidRPr="00E9633C">
        <w:rPr>
          <w:rFonts w:ascii="Arial" w:eastAsia="Times New Roman" w:hAnsi="Arial" w:cs="Arial"/>
        </w:rPr>
        <w:t>intensity:mean</w:t>
      </w:r>
      <w:proofErr w:type="spellEnd"/>
      <w:r w:rsidRPr="00E9633C">
        <w:rPr>
          <w:rFonts w:ascii="Arial" w:eastAsia="Times New Roman" w:hAnsi="Arial" w:cs="Arial"/>
        </w:rPr>
        <w:t xml:space="preserve"> K20 intensity in nuclei clusters, ratio of 95th quantile HER2/neu intensity:95th quantile K20 intensity in nuclei clusters, coexpression of cellular COX2 mean intensity and cellular CD68 mean intensity, p53 mean intensity in nuclei clusters, nuclear solidity in p53+ p16- cells, CD45RO plasma membrane sum intensity, AMACR microenvironment standard deviation, COX2 texture in cytoplasm, HIF-1</w:t>
      </w:r>
      <w:r w:rsidRPr="00E9633C">
        <w:rPr>
          <w:rFonts w:ascii="Symbol" w:eastAsia="Times New Roman" w:hAnsi="Symbol" w:cs="Arial"/>
        </w:rPr>
        <w:t></w:t>
      </w:r>
      <w:r w:rsidRPr="00E9633C">
        <w:rPr>
          <w:rFonts w:ascii="Arial" w:eastAsia="Times New Roman" w:hAnsi="Arial" w:cs="Arial"/>
        </w:rPr>
        <w:t xml:space="preserve"> microenvironment cell mean intensity, </w:t>
      </w:r>
      <w:r w:rsidRPr="00E9633C">
        <w:rPr>
          <w:rFonts w:ascii="Arial" w:eastAsia="Times New Roman" w:hAnsi="Arial" w:cs="Arial"/>
        </w:rPr>
        <w:lastRenderedPageBreak/>
        <w:t>HIF-1</w:t>
      </w:r>
      <w:r w:rsidRPr="00E9633C">
        <w:rPr>
          <w:rFonts w:ascii="Symbol" w:eastAsia="Times New Roman" w:hAnsi="Symbol" w:cs="Arial"/>
        </w:rPr>
        <w:t></w:t>
      </w:r>
      <w:r w:rsidRPr="00E9633C">
        <w:rPr>
          <w:rFonts w:ascii="Arial" w:eastAsia="Times New Roman" w:hAnsi="Arial" w:cs="Arial"/>
        </w:rPr>
        <w:t xml:space="preserve"> microenvironment cell moment (product of mean and standard deviation), p16 cytoplasm mean intensity, nuclear area in p53+ p16- cells, Hoechst nuclear intensity, as previously described in detail </w:t>
      </w:r>
      <w:r w:rsidRPr="00E9633C">
        <w:rPr>
          <w:rFonts w:ascii="Arial" w:eastAsia="Times New Roman" w:hAnsi="Arial" w:cs="Arial"/>
        </w:rPr>
        <w:fldChar w:fldCharType="begin">
          <w:fldData xml:space="preserve">PEVuZE5vdGU+PENpdGU+PEF1dGhvcj5QcmljaGFyZDwvQXV0aG9yPjxZZWFyPjIwMTU8L1llYXI+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</w:fldData>
        </w:fldChar>
      </w:r>
      <w:r w:rsidRPr="00E9633C">
        <w:rPr>
          <w:rFonts w:ascii="Arial" w:eastAsia="Times New Roman" w:hAnsi="Arial" w:cs="Arial"/>
        </w:rPr>
        <w:instrText xml:space="preserve"> ADDIN EN.CITE </w:instrText>
      </w:r>
      <w:r w:rsidRPr="00E9633C">
        <w:rPr>
          <w:rFonts w:ascii="Arial" w:eastAsia="Times New Roman" w:hAnsi="Arial" w:cs="Arial"/>
        </w:rPr>
        <w:fldChar w:fldCharType="begin">
          <w:fldData xml:space="preserve">PEVuZE5vdGU+PENpdGU+PEF1dGhvcj5QcmljaGFyZDwvQXV0aG9yPjxZZWFyPjIwMTU8L1llYXI+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</w:fldData>
        </w:fldChar>
      </w:r>
      <w:r w:rsidRPr="00E9633C">
        <w:rPr>
          <w:rFonts w:ascii="Arial" w:eastAsia="Times New Roman" w:hAnsi="Arial" w:cs="Arial"/>
        </w:rPr>
        <w:instrText xml:space="preserve"> ADDIN EN.CITE.DATA </w:instrText>
      </w:r>
      <w:r w:rsidRPr="00E9633C">
        <w:rPr>
          <w:rFonts w:ascii="Arial" w:eastAsia="Times New Roman" w:hAnsi="Arial" w:cs="Arial"/>
        </w:rPr>
      </w:r>
      <w:r w:rsidRPr="00E9633C">
        <w:rPr>
          <w:rFonts w:ascii="Arial" w:eastAsia="Times New Roman" w:hAnsi="Arial" w:cs="Arial"/>
        </w:rPr>
        <w:fldChar w:fldCharType="end"/>
      </w:r>
      <w:r w:rsidRPr="00E9633C">
        <w:rPr>
          <w:rFonts w:ascii="Arial" w:eastAsia="Times New Roman" w:hAnsi="Arial" w:cs="Arial"/>
        </w:rPr>
      </w:r>
      <w:r w:rsidRPr="00E9633C">
        <w:rPr>
          <w:rFonts w:ascii="Arial" w:eastAsia="Times New Roman" w:hAnsi="Arial" w:cs="Arial"/>
        </w:rPr>
        <w:fldChar w:fldCharType="separate"/>
      </w:r>
      <w:r w:rsidRPr="00E9633C">
        <w:rPr>
          <w:rFonts w:ascii="Arial" w:eastAsia="Times New Roman" w:hAnsi="Arial" w:cs="Arial"/>
        </w:rPr>
        <w:t>(1-3)</w:t>
      </w:r>
      <w:r w:rsidRPr="00E9633C">
        <w:rPr>
          <w:rFonts w:ascii="Arial" w:eastAsia="Times New Roman" w:hAnsi="Arial" w:cs="Arial"/>
        </w:rPr>
        <w:fldChar w:fldCharType="end"/>
      </w:r>
      <w:r w:rsidRPr="00E9633C">
        <w:rPr>
          <w:rFonts w:ascii="Arial" w:eastAsia="Times New Roman" w:hAnsi="Arial" w:cs="Arial"/>
        </w:rPr>
        <w:t>.</w:t>
      </w:r>
    </w:p>
    <w:p w14:paraId="2E21DCAD" w14:textId="77777777" w:rsidR="00D1786B" w:rsidRPr="00E9633C" w:rsidRDefault="00D1786B" w:rsidP="00D1786B">
      <w:pPr>
        <w:pStyle w:val="ListParagraph"/>
        <w:numPr>
          <w:ilvl w:val="0"/>
          <w:numId w:val="6"/>
        </w:numPr>
        <w:spacing w:line="480" w:lineRule="auto"/>
        <w:rPr>
          <w:rFonts w:ascii="Arial" w:hAnsi="Arial" w:cs="Arial"/>
          <w:color w:val="000000" w:themeColor="text1"/>
        </w:rPr>
      </w:pPr>
      <w:r w:rsidRPr="00E9633C">
        <w:rPr>
          <w:rFonts w:ascii="Arial" w:hAnsi="Arial" w:cs="Arial"/>
          <w:b/>
          <w:bCs/>
        </w:rPr>
        <w:t xml:space="preserve">Risk classification - </w:t>
      </w:r>
      <w:r w:rsidRPr="00E9633C">
        <w:rPr>
          <w:rFonts w:ascii="Arial" w:hAnsi="Arial" w:cs="Arial"/>
        </w:rPr>
        <w:t xml:space="preserve">The 15 features are scaled using center and scale parameters for each feature defined in a training study, then weighted by coefficients derived from univariate Cox regression analysis of each feature and progression outcomes in the training study </w:t>
      </w:r>
      <w:r w:rsidRPr="00E9633C">
        <w:rPr>
          <w:rFonts w:ascii="Arial" w:hAnsi="Arial" w:cs="Arial"/>
        </w:rPr>
        <w:fldChar w:fldCharType="begin">
          <w:fldData xml:space="preserve">PEVuZE5vdGU+PENpdGU+PEF1dGhvcj5Dcml0Y2hsZXktVGhvcm5lPC9BdXRob3I+PFllYXI+MjAx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</w:fldData>
        </w:fldChar>
      </w:r>
      <w:r w:rsidRPr="00E9633C">
        <w:rPr>
          <w:rFonts w:ascii="Arial" w:hAnsi="Arial" w:cs="Arial"/>
        </w:rPr>
        <w:instrText xml:space="preserve"> ADDIN EN.CITE </w:instrText>
      </w:r>
      <w:r w:rsidRPr="00E9633C">
        <w:rPr>
          <w:rFonts w:ascii="Arial" w:hAnsi="Arial" w:cs="Arial"/>
        </w:rPr>
        <w:fldChar w:fldCharType="begin">
          <w:fldData xml:space="preserve">PEVuZE5vdGU+PENpdGU+PEF1dGhvcj5Dcml0Y2hsZXktVGhvcm5lPC9BdXRob3I+PFllYXI+MjAx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</w:fldData>
        </w:fldChar>
      </w:r>
      <w:r w:rsidRPr="00E9633C">
        <w:rPr>
          <w:rFonts w:ascii="Arial" w:hAnsi="Arial" w:cs="Arial"/>
        </w:rPr>
        <w:instrText xml:space="preserve"> ADDIN EN.CITE.DATA </w:instrText>
      </w:r>
      <w:r w:rsidRPr="00E9633C">
        <w:rPr>
          <w:rFonts w:ascii="Arial" w:hAnsi="Arial" w:cs="Arial"/>
        </w:rPr>
      </w:r>
      <w:r w:rsidRPr="00E9633C">
        <w:rPr>
          <w:rFonts w:ascii="Arial" w:hAnsi="Arial" w:cs="Arial"/>
        </w:rPr>
        <w:fldChar w:fldCharType="end"/>
      </w:r>
      <w:r w:rsidRPr="00E9633C">
        <w:rPr>
          <w:rFonts w:ascii="Arial" w:hAnsi="Arial" w:cs="Arial"/>
        </w:rPr>
      </w:r>
      <w:r w:rsidRPr="00E9633C">
        <w:rPr>
          <w:rFonts w:ascii="Arial" w:hAnsi="Arial" w:cs="Arial"/>
        </w:rPr>
        <w:fldChar w:fldCharType="separate"/>
      </w:r>
      <w:r w:rsidRPr="00E9633C">
        <w:rPr>
          <w:rFonts w:ascii="Arial" w:hAnsi="Arial" w:cs="Arial"/>
        </w:rPr>
        <w:t>(1)</w:t>
      </w:r>
      <w:r w:rsidRPr="00E9633C">
        <w:rPr>
          <w:rFonts w:ascii="Arial" w:hAnsi="Arial" w:cs="Arial"/>
        </w:rPr>
        <w:fldChar w:fldCharType="end"/>
      </w:r>
      <w:r w:rsidRPr="00E9633C">
        <w:rPr>
          <w:rFonts w:ascii="Arial" w:hAnsi="Arial" w:cs="Arial"/>
        </w:rPr>
        <w:t xml:space="preserve">. The weighted sum of the 15 scaled features produces an unscaled risk score, which is scaled as follows: </w:t>
      </w:r>
    </w:p>
    <w:p w14:paraId="641BB528" w14:textId="77777777" w:rsidR="00D1786B" w:rsidRPr="00E9633C" w:rsidRDefault="00D1786B" w:rsidP="00D1786B">
      <w:pPr>
        <w:spacing w:line="480" w:lineRule="auto"/>
        <w:ind w:left="720"/>
        <w:rPr>
          <w:rFonts w:ascii="Arial" w:hAnsi="Arial" w:cs="Arial"/>
          <w:shd w:val="clear" w:color="auto" w:fill="FFFFFF"/>
        </w:rPr>
      </w:pPr>
      <w:r w:rsidRPr="00E9633C">
        <w:rPr>
          <w:rFonts w:ascii="Arial" w:hAnsi="Arial" w:cs="Arial"/>
          <w:noProof/>
        </w:rPr>
        <w:drawing>
          <wp:inline distT="0" distB="0" distL="0" distR="0" wp14:anchorId="55644470" wp14:editId="02A2704E">
            <wp:extent cx="2533650" cy="482600"/>
            <wp:effectExtent l="0" t="0" r="0" b="0"/>
            <wp:docPr id="1" name="Picture 1" descr="Embe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482600"/>
                    </a:xfrm>
                    <a:prstGeom prst="rect">
                      <a:avLst/>
                    </a:prstGeom>
                    <a:noFill/>
                    <a:ln>
                      <a:noFill/>
                    </a:ln>
                  </pic:spPr>
                </pic:pic>
              </a:graphicData>
            </a:graphic>
          </wp:inline>
        </w:drawing>
      </w:r>
      <w:r w:rsidRPr="00E9633C">
        <w:rPr>
          <w:rFonts w:ascii="Arial" w:hAnsi="Arial" w:cs="Arial"/>
        </w:rPr>
        <w:br/>
        <w:t>Cutoff values are applied to the</w:t>
      </w:r>
      <w:r w:rsidRPr="00E9633C">
        <w:rPr>
          <w:rFonts w:ascii="Arial" w:hAnsi="Arial" w:cs="Arial"/>
          <w:color w:val="6B6B6B"/>
          <w:shd w:val="clear" w:color="auto" w:fill="FFFFFF"/>
        </w:rPr>
        <w:t xml:space="preserve"> </w:t>
      </w:r>
      <w:r w:rsidRPr="00E9633C">
        <w:rPr>
          <w:rFonts w:ascii="Arial" w:hAnsi="Arial" w:cs="Arial"/>
          <w:shd w:val="clear" w:color="auto" w:fill="FFFFFF"/>
        </w:rPr>
        <w:t xml:space="preserve">scaled risk score to classify patients for risk of progression: Risk class low if scaled score 0 to &lt;5.5, risk class intermediate if scaled score ≥5.5 to &lt;6.4, and risk class high if scaled score ≥6.4 to 10. These cutoffs were selected in the training study </w:t>
      </w:r>
      <w:r w:rsidRPr="00E9633C">
        <w:rPr>
          <w:rFonts w:ascii="Arial" w:hAnsi="Arial" w:cs="Arial"/>
          <w:shd w:val="clear" w:color="auto" w:fill="FFFFFF"/>
        </w:rPr>
        <w:fldChar w:fldCharType="begin">
          <w:fldData xml:space="preserve">PEVuZE5vdGU+PENpdGU+PEF1dGhvcj5Dcml0Y2hsZXktVGhvcm5lPC9BdXRob3I+PFllYXI+MjAx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</w:fldData>
        </w:fldChar>
      </w:r>
      <w:r w:rsidRPr="00E9633C">
        <w:rPr>
          <w:rFonts w:ascii="Arial" w:hAnsi="Arial" w:cs="Arial"/>
          <w:shd w:val="clear" w:color="auto" w:fill="FFFFFF"/>
        </w:rPr>
        <w:instrText xml:space="preserve"> ADDIN EN.CITE </w:instrText>
      </w:r>
      <w:r w:rsidRPr="00E9633C">
        <w:rPr>
          <w:rFonts w:ascii="Arial" w:hAnsi="Arial" w:cs="Arial"/>
          <w:shd w:val="clear" w:color="auto" w:fill="FFFFFF"/>
        </w:rPr>
        <w:fldChar w:fldCharType="begin">
          <w:fldData xml:space="preserve">PEVuZE5vdGU+PENpdGU+PEF1dGhvcj5Dcml0Y2hsZXktVGhvcm5lPC9BdXRob3I+PFllYXI+MjAx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</w:fldData>
        </w:fldChar>
      </w:r>
      <w:r w:rsidRPr="00E9633C">
        <w:rPr>
          <w:rFonts w:ascii="Arial" w:hAnsi="Arial" w:cs="Arial"/>
          <w:shd w:val="clear" w:color="auto" w:fill="FFFFFF"/>
        </w:rPr>
        <w:instrText xml:space="preserve"> ADDIN EN.CITE.DATA </w:instrText>
      </w:r>
      <w:r w:rsidRPr="00E9633C">
        <w:rPr>
          <w:rFonts w:ascii="Arial" w:hAnsi="Arial" w:cs="Arial"/>
          <w:shd w:val="clear" w:color="auto" w:fill="FFFFFF"/>
        </w:rPr>
      </w:r>
      <w:r w:rsidRPr="00E9633C">
        <w:rPr>
          <w:rFonts w:ascii="Arial" w:hAnsi="Arial" w:cs="Arial"/>
          <w:shd w:val="clear" w:color="auto" w:fill="FFFFFF"/>
        </w:rPr>
        <w:fldChar w:fldCharType="end"/>
      </w:r>
      <w:r w:rsidRPr="00E9633C">
        <w:rPr>
          <w:rFonts w:ascii="Arial" w:hAnsi="Arial" w:cs="Arial"/>
          <w:shd w:val="clear" w:color="auto" w:fill="FFFFFF"/>
        </w:rPr>
      </w:r>
      <w:r w:rsidRPr="00E9633C">
        <w:rPr>
          <w:rFonts w:ascii="Arial" w:hAnsi="Arial" w:cs="Arial"/>
          <w:shd w:val="clear" w:color="auto" w:fill="FFFFFF"/>
        </w:rPr>
        <w:fldChar w:fldCharType="separate"/>
      </w:r>
      <w:r w:rsidRPr="00E9633C">
        <w:rPr>
          <w:rFonts w:ascii="Arial" w:hAnsi="Arial" w:cs="Arial"/>
          <w:shd w:val="clear" w:color="auto" w:fill="FFFFFF"/>
        </w:rPr>
        <w:t>(1)</w:t>
      </w:r>
      <w:r w:rsidRPr="00E9633C">
        <w:rPr>
          <w:rFonts w:ascii="Arial" w:hAnsi="Arial" w:cs="Arial"/>
          <w:shd w:val="clear" w:color="auto" w:fill="FFFFFF"/>
        </w:rPr>
        <w:fldChar w:fldCharType="end"/>
      </w:r>
      <w:r w:rsidRPr="00E9633C">
        <w:rPr>
          <w:rFonts w:ascii="Arial" w:hAnsi="Arial" w:cs="Arial"/>
          <w:shd w:val="clear" w:color="auto" w:fill="FFFFFF"/>
        </w:rPr>
        <w:t xml:space="preserve">, and were chosen in a sequential manner. The first cut-point for separating the low risk class was selected to produce a negative predictive value of 95% (unadjusted for disease prevalence) to ensure very low rate of progression to HGD/EAC within 5 years in patients classified as low risk. The second cut-point for stratifying the </w:t>
      </w:r>
      <w:proofErr w:type="gramStart"/>
      <w:r w:rsidRPr="00E9633C">
        <w:rPr>
          <w:rFonts w:ascii="Arial" w:hAnsi="Arial" w:cs="Arial"/>
          <w:shd w:val="clear" w:color="auto" w:fill="FFFFFF"/>
        </w:rPr>
        <w:t>high risk</w:t>
      </w:r>
      <w:proofErr w:type="gramEnd"/>
      <w:r w:rsidRPr="00E9633C">
        <w:rPr>
          <w:rFonts w:ascii="Arial" w:hAnsi="Arial" w:cs="Arial"/>
          <w:shd w:val="clear" w:color="auto" w:fill="FFFFFF"/>
        </w:rPr>
        <w:t xml:space="preserve"> class was selected to produce a positive predictive value of 65% (unadjusted for disease prevalence) with the goal of identifying the majority of the patients who progressed to HGD/EAC within 5 years as high risk. </w:t>
      </w:r>
    </w:p>
    <w:bookmarkEnd w:id="0"/>
    <w:p w14:paraId="1601B758" w14:textId="5F4CB2CB" w:rsidR="00D1786B" w:rsidRPr="00E9633C" w:rsidRDefault="00D1786B" w:rsidP="00D1786B">
      <w:pPr>
        <w:rPr>
          <w:rFonts w:ascii="Arial" w:hAnsi="Arial" w:cs="Arial"/>
        </w:rPr>
      </w:pPr>
    </w:p>
    <w:p w14:paraId="1C73F283" w14:textId="13013125" w:rsidR="001F2210" w:rsidRPr="00E9633C" w:rsidRDefault="001F2210" w:rsidP="001F18A1">
      <w:pPr>
        <w:spacing w:line="480" w:lineRule="auto"/>
        <w:rPr>
          <w:rFonts w:ascii="Arial" w:hAnsi="Arial" w:cs="Arial"/>
          <w:b/>
          <w:bCs/>
        </w:rPr>
      </w:pPr>
      <w:bookmarkStart w:id="1" w:name="_Hlk27392866"/>
      <w:r w:rsidRPr="00E9633C">
        <w:rPr>
          <w:rFonts w:ascii="Arial" w:hAnsi="Arial" w:cs="Arial"/>
          <w:b/>
          <w:bCs/>
        </w:rPr>
        <w:t>Prevalence Adjustments:</w:t>
      </w:r>
    </w:p>
    <w:p w14:paraId="40D39F6D" w14:textId="77777777" w:rsidR="00BD125F" w:rsidRPr="00E9633C" w:rsidRDefault="001F2210" w:rsidP="001F18A1">
      <w:pPr>
        <w:shd w:val="clear" w:color="auto" w:fill="FFFFFF"/>
        <w:spacing w:after="0" w:line="480" w:lineRule="auto"/>
        <w:rPr>
          <w:rFonts w:ascii="Arial" w:eastAsia="Times New Roman" w:hAnsi="Arial" w:cs="Arial"/>
          <w:color w:val="222222"/>
        </w:rPr>
      </w:pPr>
      <w:r w:rsidRPr="00E9633C">
        <w:rPr>
          <w:rFonts w:ascii="Arial" w:hAnsi="Arial" w:cs="Arial"/>
        </w:rPr>
        <w:t xml:space="preserve">Positive predictive values (PPV), negative predictive value (NPV) and proportions of patients scoring low, intermediate and high risk by the risk prediction test were adjusted for prevalence due to the case-control nature of this study. It was estimated that 5.07% of patients with ND, </w:t>
      </w:r>
      <w:r w:rsidRPr="00E9633C">
        <w:rPr>
          <w:rFonts w:ascii="Arial" w:hAnsi="Arial" w:cs="Arial"/>
        </w:rPr>
        <w:lastRenderedPageBreak/>
        <w:t xml:space="preserve">IND or LGD at baseline would progress to HGD/EAC within 5 years in the studied patient population from which the nested case-control set was selected. </w:t>
      </w:r>
      <w:r w:rsidR="00BD125F" w:rsidRPr="00E9633C">
        <w:rPr>
          <w:rFonts w:ascii="Arial" w:eastAsia="Times New Roman" w:hAnsi="Arial" w:cs="Arial"/>
          <w:color w:val="222222"/>
        </w:rPr>
        <w:t>The proportions of patients who progressed by 5 years were taken from the Kaplan-Meier curves for the high, intermediate and low risk groups (0.591, 0.240 and 0.153, respectively), and used to calculate the numbers of progressors and non-progressors in each of the risk groups at 5 years, i.e. 16.0 progressors and 11.0 non-progressors in the high risk group, 6.2 progressors and 19.8 non-progressors in the intermediate risk group, and 32.9 progressors and 182.1 non-progressors in the low risk group at 5 years. There were 55.1 progression events by 5 years, and 212.9 patients who had not progressed by that timepoint, which allows calculation of sensitivity and specificity of the test for 5 year risk prediction; sensitivity=29% and specificity=86%, the proportions of patients scoring low, intermediate and high risk (10%, 10%, and 80%, respectively), and unadjusted PPV=59.1%, and unadjusted NPV=84.7%. At a 5.07% 5-year prevalence of progression to HGD/EAC, there would be an estimated 13.6 progression events by 5 years within a group of 268 patients. Assuming that sensitivity and specificity of the test are not affected by prevalence, the adjusted PPV=23%, adjusted NPV=96.4%, and adjusted populations of patients scoring low, intermediate and high risk are 84.2%, 9.4% and 6.4%, respectively.</w:t>
      </w:r>
    </w:p>
    <w:bookmarkEnd w:id="1"/>
    <w:p w14:paraId="2FC71729" w14:textId="1197EE3E" w:rsidR="001F2210" w:rsidRPr="00E9633C" w:rsidRDefault="001F2210" w:rsidP="001F18A1">
      <w:pPr>
        <w:spacing w:line="480" w:lineRule="auto"/>
        <w:rPr>
          <w:rFonts w:ascii="Arial" w:hAnsi="Arial" w:cs="Arial"/>
        </w:rPr>
      </w:pPr>
    </w:p>
    <w:p w14:paraId="0E188FAE" w14:textId="77777777" w:rsidR="001F2210" w:rsidRPr="00E9633C" w:rsidRDefault="001F2210" w:rsidP="00D1786B"/>
    <w:p w14:paraId="5AE36F74" w14:textId="77777777" w:rsidR="00D1786B" w:rsidRPr="00E9633C" w:rsidRDefault="00D1786B" w:rsidP="00D1786B">
      <w:pPr>
        <w:rPr>
          <w:rFonts w:ascii="Arial" w:hAnsi="Arial" w:cs="Arial"/>
          <w:b/>
          <w:bCs/>
        </w:rPr>
      </w:pPr>
      <w:r w:rsidRPr="00E9633C">
        <w:rPr>
          <w:rFonts w:ascii="Arial" w:hAnsi="Arial" w:cs="Arial"/>
          <w:b/>
          <w:bCs/>
        </w:rPr>
        <w:t>Supplemental References</w:t>
      </w:r>
    </w:p>
    <w:p w14:paraId="62378FBA" w14:textId="77777777" w:rsidR="00D1786B" w:rsidRPr="00E9633C" w:rsidRDefault="00D1786B" w:rsidP="00D1786B">
      <w:pPr>
        <w:spacing w:after="0" w:line="480" w:lineRule="auto"/>
        <w:rPr>
          <w:rFonts w:ascii="Arial" w:hAnsi="Arial" w:cs="Arial"/>
        </w:rPr>
      </w:pPr>
      <w:r w:rsidRPr="00E9633C">
        <w:rPr>
          <w:rFonts w:ascii="Arial" w:hAnsi="Arial"/>
        </w:rPr>
        <w:fldChar w:fldCharType="begin"/>
      </w:r>
      <w:r w:rsidRPr="00E9633C">
        <w:rPr>
          <w:rFonts w:ascii="Arial" w:hAnsi="Arial"/>
        </w:rPr>
        <w:instrText xml:space="preserve"> ADDIN EN.REFLIST </w:instrText>
      </w:r>
      <w:r w:rsidRPr="00E9633C">
        <w:rPr>
          <w:rFonts w:ascii="Arial" w:hAnsi="Arial"/>
        </w:rPr>
        <w:fldChar w:fldCharType="separate"/>
      </w:r>
      <w:r w:rsidRPr="00E9633C">
        <w:rPr>
          <w:rFonts w:ascii="Arial" w:hAnsi="Arial" w:cs="Arial"/>
        </w:rPr>
        <w:t>1.</w:t>
      </w:r>
      <w:r w:rsidRPr="00E9633C">
        <w:rPr>
          <w:rFonts w:ascii="Arial" w:hAnsi="Arial" w:cs="Arial"/>
        </w:rPr>
        <w:tab/>
        <w:t>Critchley-Thorne RJ, Duits LC, Prichard JW, et al. A Tissue Systems Pathology Assay for High-Risk Barrett's Esophagus. Cancer Epidemiol Biomarkers Prev 2016;25:958-68.</w:t>
      </w:r>
    </w:p>
    <w:p w14:paraId="0891C391" w14:textId="77777777" w:rsidR="00D1786B" w:rsidRPr="00E9633C" w:rsidRDefault="00D1786B" w:rsidP="00D1786B">
      <w:pPr>
        <w:spacing w:after="0" w:line="480" w:lineRule="auto"/>
        <w:rPr>
          <w:rFonts w:ascii="Arial" w:hAnsi="Arial" w:cs="Arial"/>
        </w:rPr>
      </w:pPr>
      <w:r w:rsidRPr="00E9633C">
        <w:rPr>
          <w:rFonts w:ascii="Arial" w:hAnsi="Arial" w:cs="Arial"/>
        </w:rPr>
        <w:t>2.</w:t>
      </w:r>
      <w:r w:rsidRPr="00E9633C">
        <w:rPr>
          <w:rFonts w:ascii="Arial" w:hAnsi="Arial" w:cs="Arial"/>
        </w:rPr>
        <w:tab/>
        <w:t>Critchley-Thorne RJ, Davison JM, Prichard JW, et al. A Tissue Systems Pathology Test Detects Abnormalities Associated with Prevalent High-Grade Dysplasia and Esophageal Cancer in Barrett's Esophagus. Cancer Epidemiol Biomarkers Prev 2017;26:240-248.</w:t>
      </w:r>
    </w:p>
    <w:p w14:paraId="5B0841DA" w14:textId="77777777" w:rsidR="00D1786B" w:rsidRPr="00E9633C" w:rsidRDefault="00D1786B" w:rsidP="00D1786B">
      <w:pPr>
        <w:spacing w:after="0" w:line="480" w:lineRule="auto"/>
        <w:rPr>
          <w:rFonts w:ascii="Arial" w:hAnsi="Arial" w:cs="Arial"/>
        </w:rPr>
      </w:pPr>
      <w:r w:rsidRPr="00E9633C">
        <w:rPr>
          <w:rFonts w:ascii="Arial" w:hAnsi="Arial" w:cs="Arial"/>
        </w:rPr>
        <w:t>3.</w:t>
      </w:r>
      <w:r w:rsidRPr="00E9633C">
        <w:rPr>
          <w:rFonts w:ascii="Arial" w:hAnsi="Arial" w:cs="Arial"/>
        </w:rPr>
        <w:tab/>
        <w:t>Prichard JW, Davison JM, Campbell BB, et al. TissueCypher: A Systems Biology Approach to Anatomic Pathology. Journal of Pathology Informatics 2015;6:48.</w:t>
      </w:r>
    </w:p>
    <w:p w14:paraId="66D34087" w14:textId="420378F1" w:rsidR="00D1786B" w:rsidRPr="00E9633C" w:rsidRDefault="00375778" w:rsidP="00D1786B">
      <w:pPr>
        <w:spacing w:after="0" w:line="240" w:lineRule="auto"/>
        <w:ind w:left="720" w:hanging="720"/>
        <w:rPr>
          <w:rFonts w:ascii="Calibri" w:hAnsi="Calibri" w:cs="Calibri"/>
        </w:rPr>
      </w:pPr>
      <w:r w:rsidRPr="00E9633C">
        <w:rPr>
          <w:rFonts w:ascii="Calibri" w:hAnsi="Calibri" w:cs="Calibri"/>
        </w:rPr>
        <w:lastRenderedPageBreak/>
        <w:t xml:space="preserve">  </w:t>
      </w:r>
    </w:p>
    <w:p w14:paraId="515F704E" w14:textId="77777777" w:rsidR="00D1786B" w:rsidRPr="00E9633C" w:rsidRDefault="00D1786B" w:rsidP="00D1786B">
      <w:pPr>
        <w:spacing w:line="480" w:lineRule="auto"/>
      </w:pPr>
      <w:r w:rsidRPr="00E9633C">
        <w:rPr>
          <w:rFonts w:ascii="Arial" w:hAnsi="Arial"/>
        </w:rPr>
        <w:fldChar w:fldCharType="end"/>
      </w:r>
    </w:p>
    <w:p w14:paraId="722B30D9" w14:textId="023A48FC" w:rsidR="000D6593" w:rsidRPr="00E9633C" w:rsidRDefault="00F149AF" w:rsidP="000D6593">
      <w:pPr>
        <w:spacing w:line="480" w:lineRule="auto"/>
        <w:rPr>
          <w:rFonts w:ascii="Arial" w:hAnsi="Arial" w:cs="Arial"/>
          <w:b/>
          <w:bCs/>
          <w:color w:val="000000" w:themeColor="text1"/>
        </w:rPr>
      </w:pPr>
      <w:r w:rsidRPr="00E9633C">
        <w:rPr>
          <w:rFonts w:ascii="Arial" w:hAnsi="Arial" w:cs="Arial"/>
          <w:b/>
          <w:bCs/>
          <w:color w:val="000000" w:themeColor="text1"/>
        </w:rPr>
        <w:t>Figure S1</w:t>
      </w:r>
    </w:p>
    <w:p w14:paraId="7BE46A25" w14:textId="35034AC1" w:rsidR="000D6593" w:rsidRPr="00E9633C" w:rsidRDefault="00F149AF" w:rsidP="00213B6B">
      <w:pPr>
        <w:rPr>
          <w:rFonts w:ascii="Arial" w:hAnsi="Arial" w:cs="Arial"/>
          <w:b/>
        </w:rPr>
      </w:pPr>
      <w:r w:rsidRPr="00E9633C">
        <w:rPr>
          <w:rFonts w:ascii="Arial" w:hAnsi="Arial" w:cs="Arial"/>
          <w:b/>
          <w:noProof/>
        </w:rPr>
        <w:drawing>
          <wp:inline distT="0" distB="0" distL="0" distR="0" wp14:anchorId="5A5791C6" wp14:editId="22F9676D">
            <wp:extent cx="5943600" cy="4692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692015"/>
                    </a:xfrm>
                    <a:prstGeom prst="rect">
                      <a:avLst/>
                    </a:prstGeom>
                  </pic:spPr>
                </pic:pic>
              </a:graphicData>
            </a:graphic>
          </wp:inline>
        </w:drawing>
      </w:r>
    </w:p>
    <w:p w14:paraId="3E94C275" w14:textId="77EBBA46" w:rsidR="00107A43" w:rsidRPr="00E9633C" w:rsidRDefault="00870CD3" w:rsidP="00E9633C">
      <w:pPr>
        <w:spacing w:line="480" w:lineRule="auto"/>
        <w:rPr>
          <w:rFonts w:ascii="Arial" w:hAnsi="Arial" w:cs="Arial"/>
        </w:rPr>
      </w:pPr>
      <w:r w:rsidRPr="00E9633C">
        <w:rPr>
          <w:rFonts w:ascii="Arial" w:hAnsi="Arial" w:cs="Arial"/>
          <w:b/>
        </w:rPr>
        <w:t>Figure S1. Risk Prediction Test Compared to Quantitative Analysis of p53</w:t>
      </w:r>
      <w:r w:rsidRPr="00E9633C">
        <w:rPr>
          <w:rFonts w:ascii="Arial" w:hAnsi="Arial" w:cs="Arial"/>
        </w:rPr>
        <w:t xml:space="preserve">. </w:t>
      </w:r>
      <w:r w:rsidRPr="00E9633C">
        <w:rPr>
          <w:rFonts w:ascii="Arial" w:hAnsi="Arial" w:cs="Arial"/>
          <w:b/>
        </w:rPr>
        <w:t>Panel A:</w:t>
      </w:r>
      <w:r w:rsidRPr="00E9633C">
        <w:rPr>
          <w:rFonts w:ascii="Arial" w:hAnsi="Arial" w:cs="Arial"/>
        </w:rPr>
        <w:t xml:space="preserve"> KM analysis of probability of progression to HGD/EAC in BE patients with expert diagnosis ND, IND or LGD stratified into low-, intermediate-, and high-risk by the risk prediction test (58 IP and 210 NP); </w:t>
      </w:r>
      <w:r w:rsidRPr="00E9633C">
        <w:rPr>
          <w:rFonts w:ascii="Arial" w:hAnsi="Arial" w:cs="Arial"/>
          <w:b/>
        </w:rPr>
        <w:t>Panel B:</w:t>
      </w:r>
      <w:r w:rsidRPr="00E9633C">
        <w:rPr>
          <w:rFonts w:ascii="Arial" w:hAnsi="Arial" w:cs="Arial"/>
        </w:rPr>
        <w:t xml:space="preserve"> KM analysis of probability of progression to HGD/EAC in BE patients stratified into low and high groups according to p53 nuclear sum intensity (cut</w:t>
      </w:r>
      <w:r w:rsidR="00A5145A" w:rsidRPr="00E9633C">
        <w:rPr>
          <w:rFonts w:ascii="Arial" w:hAnsi="Arial" w:cs="Arial"/>
        </w:rPr>
        <w:t>-</w:t>
      </w:r>
      <w:r w:rsidRPr="00E9633C">
        <w:rPr>
          <w:rFonts w:ascii="Arial" w:hAnsi="Arial" w:cs="Arial"/>
        </w:rPr>
        <w:t xml:space="preserve">point was selected to score 27 patients p53-high, i.e. same number as scored high-risk by the risk prediction test); </w:t>
      </w:r>
      <w:r w:rsidRPr="00E9633C">
        <w:rPr>
          <w:rFonts w:ascii="Arial" w:hAnsi="Arial" w:cs="Arial"/>
          <w:b/>
          <w:bCs/>
        </w:rPr>
        <w:t>Panel C:</w:t>
      </w:r>
      <w:r w:rsidRPr="00E9633C">
        <w:rPr>
          <w:rFonts w:ascii="Arial" w:hAnsi="Arial" w:cs="Arial"/>
        </w:rPr>
        <w:t xml:space="preserve"> KM analysis of probability of progression to HGD/EAC in BE patients with expert diagnosis ND </w:t>
      </w:r>
      <w:r w:rsidRPr="00E9633C">
        <w:rPr>
          <w:rFonts w:ascii="Arial" w:hAnsi="Arial" w:cs="Arial"/>
        </w:rPr>
        <w:lastRenderedPageBreak/>
        <w:t xml:space="preserve">stratified into low-, intermediate-, and high-risk by the risk prediction test (43 IP and 184 NP); </w:t>
      </w:r>
      <w:r w:rsidRPr="00E9633C">
        <w:rPr>
          <w:rFonts w:ascii="Arial" w:hAnsi="Arial" w:cs="Arial"/>
          <w:b/>
        </w:rPr>
        <w:t>Panel D:</w:t>
      </w:r>
      <w:r w:rsidRPr="00E9633C">
        <w:rPr>
          <w:rFonts w:ascii="Arial" w:hAnsi="Arial" w:cs="Arial"/>
        </w:rPr>
        <w:t xml:space="preserve"> KM analysis of probability of progression to HGD/EAC in BE patients with expert diagnosis ND stratified into low and high groups according to p53 nuclear sum intensity.</w:t>
      </w:r>
    </w:p>
    <w:p w14:paraId="29561720" w14:textId="66C1FEAA" w:rsidR="000B6D90" w:rsidRPr="00E9633C" w:rsidRDefault="000B6D90">
      <w:pPr>
        <w:rPr>
          <w:rFonts w:ascii="Arial" w:hAnsi="Arial" w:cs="Arial"/>
          <w:sz w:val="18"/>
          <w:szCs w:val="18"/>
        </w:rPr>
      </w:pPr>
    </w:p>
    <w:p w14:paraId="3B53AA02" w14:textId="79D41B53" w:rsidR="000B6D90" w:rsidRPr="00E9633C" w:rsidRDefault="000B6D90">
      <w:pPr>
        <w:rPr>
          <w:rFonts w:ascii="Arial" w:hAnsi="Arial" w:cs="Arial"/>
          <w:sz w:val="18"/>
          <w:szCs w:val="18"/>
        </w:rPr>
      </w:pPr>
    </w:p>
    <w:p w14:paraId="59293550" w14:textId="7227ACB8" w:rsidR="000F5EFE" w:rsidRPr="00E9633C" w:rsidRDefault="000F5EFE">
      <w:pPr>
        <w:rPr>
          <w:rFonts w:ascii="Arial" w:hAnsi="Arial" w:cs="Arial"/>
          <w:b/>
          <w:bCs/>
        </w:rPr>
      </w:pPr>
      <w:r w:rsidRPr="00E9633C">
        <w:rPr>
          <w:rFonts w:ascii="Arial" w:hAnsi="Arial" w:cs="Arial"/>
          <w:b/>
          <w:bCs/>
        </w:rPr>
        <w:t>Figure S2</w:t>
      </w:r>
    </w:p>
    <w:p w14:paraId="2B3299C2" w14:textId="14714543" w:rsidR="0028663D" w:rsidRPr="00E9633C" w:rsidRDefault="0028663D">
      <w:pPr>
        <w:rPr>
          <w:rFonts w:ascii="Arial" w:hAnsi="Arial" w:cs="Arial"/>
          <w:sz w:val="18"/>
          <w:szCs w:val="18"/>
        </w:rPr>
      </w:pPr>
      <w:r w:rsidRPr="00E9633C">
        <w:rPr>
          <w:rFonts w:ascii="Arial" w:hAnsi="Arial" w:cs="Arial"/>
          <w:noProof/>
          <w:sz w:val="18"/>
          <w:szCs w:val="18"/>
        </w:rPr>
        <w:drawing>
          <wp:inline distT="0" distB="0" distL="0" distR="0" wp14:anchorId="587AE585" wp14:editId="78CC2721">
            <wp:extent cx="5943600" cy="3689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S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689350"/>
                    </a:xfrm>
                    <a:prstGeom prst="rect">
                      <a:avLst/>
                    </a:prstGeom>
                  </pic:spPr>
                </pic:pic>
              </a:graphicData>
            </a:graphic>
          </wp:inline>
        </w:drawing>
      </w:r>
    </w:p>
    <w:p w14:paraId="1C1C93DB" w14:textId="3C1C63FD" w:rsidR="0028663D" w:rsidRPr="00E9633C" w:rsidRDefault="0028663D">
      <w:pPr>
        <w:rPr>
          <w:rFonts w:ascii="Arial" w:hAnsi="Arial" w:cs="Arial"/>
          <w:sz w:val="18"/>
          <w:szCs w:val="18"/>
        </w:rPr>
      </w:pPr>
    </w:p>
    <w:p w14:paraId="05FB3157" w14:textId="77777777" w:rsidR="00A16C73" w:rsidRPr="00E9633C" w:rsidRDefault="00A16C73" w:rsidP="00A16C73">
      <w:pPr>
        <w:spacing w:line="480" w:lineRule="auto"/>
        <w:rPr>
          <w:rFonts w:ascii="Arial" w:hAnsi="Arial" w:cs="Arial"/>
        </w:rPr>
      </w:pPr>
      <w:bookmarkStart w:id="2" w:name="_Hlk27387015"/>
      <w:r w:rsidRPr="00E9633C">
        <w:rPr>
          <w:rFonts w:ascii="Arial" w:hAnsi="Arial" w:cs="Arial"/>
          <w:b/>
        </w:rPr>
        <w:t xml:space="preserve">Figure S2. Evaluation of Risk Prediction Test Performance in Multi-Level Cases with Low Risk Results on One Biopsy Level. </w:t>
      </w:r>
      <w:r w:rsidRPr="00E9633C">
        <w:rPr>
          <w:rFonts w:ascii="Arial" w:hAnsi="Arial" w:cs="Arial"/>
          <w:bCs/>
        </w:rPr>
        <w:t xml:space="preserve">One biopsy level was randomly selected from patients with risk prediction test results from multiple, separate biopsy levels. For patients whose randomly-selected biopsy level scored low-risk, the highest scoring additional biopsy level was assessed, and the risk stratification performance of the test was analyzed by </w:t>
      </w:r>
      <w:r w:rsidRPr="00E9633C">
        <w:rPr>
          <w:rFonts w:ascii="Arial" w:hAnsi="Arial" w:cs="Arial"/>
        </w:rPr>
        <w:t xml:space="preserve">KM to assess the probability of progression to HGD/EAC in BE patients scored low-, intermediate-, and high-risk by the test. </w:t>
      </w:r>
      <w:r w:rsidRPr="00E9633C">
        <w:rPr>
          <w:rFonts w:ascii="Arial" w:hAnsi="Arial" w:cs="Arial"/>
          <w:b/>
        </w:rPr>
        <w:t>Panel A:</w:t>
      </w:r>
      <w:r w:rsidRPr="00E9633C">
        <w:rPr>
          <w:rFonts w:ascii="Arial" w:hAnsi="Arial" w:cs="Arial"/>
        </w:rPr>
        <w:t xml:space="preserve"> Results from the first round of random selection of a biopsy level, where </w:t>
      </w:r>
      <w:r w:rsidRPr="00E9633C">
        <w:rPr>
          <w:rFonts w:ascii="Arial" w:hAnsi="Arial" w:cs="Arial"/>
        </w:rPr>
        <w:lastRenderedPageBreak/>
        <w:t xml:space="preserve">patients with a randomly-selected biopsy scoring low-risk are scored based on the highest score from other spatial biopsies taken at the same endoscopy. </w:t>
      </w:r>
      <w:r w:rsidRPr="00E9633C">
        <w:rPr>
          <w:rFonts w:ascii="Arial" w:hAnsi="Arial" w:cs="Arial"/>
          <w:b/>
        </w:rPr>
        <w:t>Panel B:</w:t>
      </w:r>
      <w:r w:rsidRPr="00E9633C">
        <w:rPr>
          <w:rFonts w:ascii="Arial" w:hAnsi="Arial" w:cs="Arial"/>
        </w:rPr>
        <w:t xml:space="preserve"> Results from the second round of random selection using the process described above. n=268; 58 incident progressors and 210 non-progressors in both panels. </w:t>
      </w:r>
    </w:p>
    <w:p w14:paraId="34B06922" w14:textId="5C56B8C4" w:rsidR="000F5EFE" w:rsidRPr="00E9633C" w:rsidRDefault="000F5EFE" w:rsidP="000F5EFE">
      <w:pPr>
        <w:spacing w:line="480" w:lineRule="auto"/>
        <w:rPr>
          <w:rFonts w:ascii="Arial" w:hAnsi="Arial" w:cs="Arial"/>
        </w:rPr>
      </w:pPr>
      <w:r w:rsidRPr="00E9633C">
        <w:rPr>
          <w:rFonts w:ascii="Arial" w:hAnsi="Arial" w:cs="Arial"/>
        </w:rPr>
        <w:t xml:space="preserve"> </w:t>
      </w:r>
      <w:bookmarkEnd w:id="2"/>
    </w:p>
    <w:p w14:paraId="2834B535" w14:textId="091872FF" w:rsidR="000F5EFE" w:rsidRPr="00E9633C" w:rsidRDefault="000F5EFE">
      <w:pPr>
        <w:rPr>
          <w:rFonts w:ascii="Arial" w:hAnsi="Arial" w:cs="Arial"/>
          <w:sz w:val="18"/>
          <w:szCs w:val="18"/>
        </w:rPr>
      </w:pPr>
    </w:p>
    <w:p w14:paraId="0A0051B8" w14:textId="77777777" w:rsidR="000F5EFE" w:rsidRPr="00E9633C" w:rsidRDefault="000F5EFE">
      <w:pPr>
        <w:rPr>
          <w:rFonts w:ascii="Arial" w:hAnsi="Arial" w:cs="Arial"/>
          <w:sz w:val="18"/>
          <w:szCs w:val="18"/>
        </w:rPr>
      </w:pPr>
    </w:p>
    <w:tbl>
      <w:tblPr>
        <w:tblStyle w:val="TableGrid"/>
        <w:tblW w:w="9401" w:type="dxa"/>
        <w:tblLook w:val="04A0" w:firstRow="1" w:lastRow="0" w:firstColumn="1" w:lastColumn="0" w:noHBand="0" w:noVBand="1"/>
      </w:tblPr>
      <w:tblGrid>
        <w:gridCol w:w="4508"/>
        <w:gridCol w:w="2446"/>
        <w:gridCol w:w="2447"/>
      </w:tblGrid>
      <w:tr w:rsidR="00646D6D" w:rsidRPr="00E9633C" w14:paraId="24345082" w14:textId="77777777" w:rsidTr="002B5E87">
        <w:trPr>
          <w:trHeight w:val="235"/>
        </w:trPr>
        <w:tc>
          <w:tcPr>
            <w:tcW w:w="9401" w:type="dxa"/>
            <w:gridSpan w:val="3"/>
            <w:vAlign w:val="center"/>
          </w:tcPr>
          <w:p w14:paraId="07BE223E" w14:textId="6E2A754C" w:rsidR="00646D6D" w:rsidRPr="00E9633C" w:rsidRDefault="00646D6D" w:rsidP="002B5E87">
            <w:pPr>
              <w:rPr>
                <w:rFonts w:ascii="Arial" w:hAnsi="Arial" w:cs="Arial"/>
                <w:b/>
                <w:sz w:val="20"/>
                <w:szCs w:val="20"/>
              </w:rPr>
            </w:pPr>
            <w:r w:rsidRPr="00E9633C">
              <w:rPr>
                <w:rFonts w:ascii="Arial" w:hAnsi="Arial" w:cs="Arial"/>
                <w:b/>
                <w:sz w:val="20"/>
                <w:szCs w:val="20"/>
              </w:rPr>
              <w:t>Table S</w:t>
            </w:r>
            <w:r w:rsidR="00856125" w:rsidRPr="00E9633C">
              <w:rPr>
                <w:rFonts w:ascii="Arial" w:hAnsi="Arial" w:cs="Arial"/>
                <w:b/>
                <w:sz w:val="20"/>
                <w:szCs w:val="20"/>
              </w:rPr>
              <w:t>1</w:t>
            </w:r>
            <w:r w:rsidRPr="00E9633C">
              <w:rPr>
                <w:rFonts w:ascii="Arial" w:hAnsi="Arial" w:cs="Arial"/>
                <w:b/>
                <w:sz w:val="20"/>
                <w:szCs w:val="20"/>
              </w:rPr>
              <w:t>. Predictive Performance of Risk Prediction Test versus Clinical Variables</w:t>
            </w:r>
          </w:p>
        </w:tc>
      </w:tr>
      <w:tr w:rsidR="00646D6D" w:rsidRPr="00E9633C" w14:paraId="7E1D83F4" w14:textId="77777777" w:rsidTr="002B5E87">
        <w:trPr>
          <w:trHeight w:val="258"/>
        </w:trPr>
        <w:tc>
          <w:tcPr>
            <w:tcW w:w="9401" w:type="dxa"/>
            <w:gridSpan w:val="3"/>
            <w:vAlign w:val="center"/>
          </w:tcPr>
          <w:p w14:paraId="0601621C" w14:textId="58D44BF4" w:rsidR="00646D6D" w:rsidRPr="00E9633C" w:rsidRDefault="00EE3101" w:rsidP="005908EB">
            <w:pPr>
              <w:pStyle w:val="ListParagraph"/>
              <w:ind w:left="522"/>
              <w:rPr>
                <w:rFonts w:ascii="Arial" w:hAnsi="Arial" w:cs="Arial"/>
                <w:i/>
                <w:sz w:val="20"/>
                <w:szCs w:val="20"/>
              </w:rPr>
            </w:pPr>
            <w:r w:rsidRPr="00E9633C">
              <w:rPr>
                <w:rFonts w:ascii="Arial" w:hAnsi="Arial" w:cs="Arial"/>
                <w:i/>
                <w:sz w:val="20"/>
                <w:szCs w:val="20"/>
              </w:rPr>
              <w:t>Multivaria</w:t>
            </w:r>
            <w:r w:rsidR="000036E2" w:rsidRPr="00E9633C">
              <w:rPr>
                <w:rFonts w:ascii="Arial" w:hAnsi="Arial" w:cs="Arial"/>
                <w:i/>
                <w:sz w:val="20"/>
                <w:szCs w:val="20"/>
              </w:rPr>
              <w:t>bl</w:t>
            </w:r>
            <w:r w:rsidRPr="00E9633C">
              <w:rPr>
                <w:rFonts w:ascii="Arial" w:hAnsi="Arial" w:cs="Arial"/>
                <w:i/>
                <w:sz w:val="20"/>
                <w:szCs w:val="20"/>
              </w:rPr>
              <w:t xml:space="preserve">e </w:t>
            </w:r>
            <w:r w:rsidR="00646D6D" w:rsidRPr="00E9633C">
              <w:rPr>
                <w:rFonts w:ascii="Arial" w:hAnsi="Arial" w:cs="Arial"/>
                <w:i/>
                <w:sz w:val="20"/>
                <w:szCs w:val="20"/>
              </w:rPr>
              <w:t xml:space="preserve">Analysis of Clinical Variables </w:t>
            </w:r>
            <w:r w:rsidR="00BF6373" w:rsidRPr="00E9633C">
              <w:rPr>
                <w:rFonts w:ascii="Arial" w:hAnsi="Arial" w:cs="Arial"/>
                <w:i/>
                <w:sz w:val="20"/>
                <w:szCs w:val="20"/>
              </w:rPr>
              <w:t>(with diagnosis from expert pathologist)</w:t>
            </w:r>
          </w:p>
        </w:tc>
      </w:tr>
      <w:tr w:rsidR="00646D6D" w:rsidRPr="00E9633C" w14:paraId="00C8E3E3" w14:textId="77777777" w:rsidTr="002B5E87">
        <w:trPr>
          <w:trHeight w:val="258"/>
        </w:trPr>
        <w:tc>
          <w:tcPr>
            <w:tcW w:w="4508" w:type="dxa"/>
            <w:vAlign w:val="center"/>
            <w:hideMark/>
          </w:tcPr>
          <w:p w14:paraId="4D5C1D8A" w14:textId="77777777" w:rsidR="00646D6D" w:rsidRPr="00E9633C" w:rsidRDefault="00646D6D" w:rsidP="002B5E87">
            <w:pPr>
              <w:rPr>
                <w:rFonts w:ascii="Arial" w:hAnsi="Arial" w:cs="Arial"/>
                <w:sz w:val="20"/>
                <w:szCs w:val="20"/>
              </w:rPr>
            </w:pPr>
            <w:r w:rsidRPr="00E9633C">
              <w:rPr>
                <w:rFonts w:ascii="Arial" w:hAnsi="Arial" w:cs="Arial"/>
                <w:b/>
                <w:bCs/>
                <w:sz w:val="20"/>
                <w:szCs w:val="20"/>
              </w:rPr>
              <w:t>Variable</w:t>
            </w:r>
          </w:p>
        </w:tc>
        <w:tc>
          <w:tcPr>
            <w:tcW w:w="2446" w:type="dxa"/>
            <w:vAlign w:val="center"/>
            <w:hideMark/>
          </w:tcPr>
          <w:p w14:paraId="61E61CF5" w14:textId="77777777" w:rsidR="00646D6D" w:rsidRPr="00E9633C" w:rsidRDefault="00646D6D" w:rsidP="002B5E87">
            <w:pPr>
              <w:jc w:val="center"/>
              <w:rPr>
                <w:rFonts w:ascii="Arial" w:hAnsi="Arial" w:cs="Arial"/>
                <w:sz w:val="20"/>
                <w:szCs w:val="20"/>
              </w:rPr>
            </w:pPr>
            <w:r w:rsidRPr="00E9633C">
              <w:rPr>
                <w:rFonts w:ascii="Arial" w:hAnsi="Arial" w:cs="Arial"/>
                <w:b/>
                <w:bCs/>
                <w:sz w:val="20"/>
                <w:szCs w:val="20"/>
              </w:rPr>
              <w:t>HR (95% C.I.)</w:t>
            </w:r>
          </w:p>
        </w:tc>
        <w:tc>
          <w:tcPr>
            <w:tcW w:w="2447" w:type="dxa"/>
            <w:vAlign w:val="center"/>
            <w:hideMark/>
          </w:tcPr>
          <w:p w14:paraId="53F1DD70" w14:textId="77777777" w:rsidR="00646D6D" w:rsidRPr="00E9633C" w:rsidRDefault="00646D6D" w:rsidP="002B5E87">
            <w:pPr>
              <w:jc w:val="center"/>
              <w:rPr>
                <w:rFonts w:ascii="Arial" w:hAnsi="Arial" w:cs="Arial"/>
                <w:sz w:val="20"/>
                <w:szCs w:val="20"/>
              </w:rPr>
            </w:pPr>
            <w:r w:rsidRPr="00E9633C">
              <w:rPr>
                <w:rFonts w:ascii="Arial" w:hAnsi="Arial" w:cs="Arial"/>
                <w:b/>
                <w:bCs/>
                <w:sz w:val="20"/>
                <w:szCs w:val="20"/>
              </w:rPr>
              <w:t>p value</w:t>
            </w:r>
          </w:p>
        </w:tc>
      </w:tr>
      <w:tr w:rsidR="00646D6D" w:rsidRPr="00E9633C" w14:paraId="5521E57D" w14:textId="77777777" w:rsidTr="002B5E87">
        <w:trPr>
          <w:trHeight w:val="258"/>
        </w:trPr>
        <w:tc>
          <w:tcPr>
            <w:tcW w:w="4508" w:type="dxa"/>
            <w:vAlign w:val="center"/>
          </w:tcPr>
          <w:p w14:paraId="35DB38E8" w14:textId="77777777" w:rsidR="00646D6D" w:rsidRPr="00E9633C" w:rsidRDefault="00646D6D" w:rsidP="002B5E87">
            <w:pPr>
              <w:rPr>
                <w:rFonts w:ascii="Arial" w:hAnsi="Arial" w:cs="Arial"/>
                <w:sz w:val="20"/>
                <w:szCs w:val="20"/>
              </w:rPr>
            </w:pPr>
            <w:r w:rsidRPr="00E9633C">
              <w:rPr>
                <w:rFonts w:ascii="Arial" w:hAnsi="Arial" w:cs="Arial"/>
                <w:sz w:val="20"/>
                <w:szCs w:val="20"/>
              </w:rPr>
              <w:t>Age</w:t>
            </w:r>
          </w:p>
        </w:tc>
        <w:tc>
          <w:tcPr>
            <w:tcW w:w="2446" w:type="dxa"/>
            <w:vAlign w:val="center"/>
          </w:tcPr>
          <w:p w14:paraId="3622F406" w14:textId="3625944B" w:rsidR="00646D6D" w:rsidRPr="00E9633C" w:rsidRDefault="00646D6D" w:rsidP="002B5E87">
            <w:pPr>
              <w:jc w:val="center"/>
              <w:rPr>
                <w:rFonts w:ascii="Arial" w:hAnsi="Arial" w:cs="Arial"/>
                <w:sz w:val="20"/>
                <w:szCs w:val="20"/>
              </w:rPr>
            </w:pPr>
            <w:r w:rsidRPr="00E9633C">
              <w:rPr>
                <w:rFonts w:ascii="Arial" w:hAnsi="Arial" w:cs="Arial"/>
                <w:sz w:val="20"/>
                <w:szCs w:val="20"/>
              </w:rPr>
              <w:t>1.03 (1.00,1.05)</w:t>
            </w:r>
          </w:p>
        </w:tc>
        <w:tc>
          <w:tcPr>
            <w:tcW w:w="2447" w:type="dxa"/>
            <w:vAlign w:val="center"/>
          </w:tcPr>
          <w:p w14:paraId="75F86404" w14:textId="5B7D752A" w:rsidR="00646D6D" w:rsidRPr="00E9633C" w:rsidRDefault="00646D6D" w:rsidP="002B5E87">
            <w:pPr>
              <w:jc w:val="center"/>
              <w:rPr>
                <w:rFonts w:ascii="Arial" w:hAnsi="Arial" w:cs="Arial"/>
                <w:sz w:val="20"/>
                <w:szCs w:val="20"/>
              </w:rPr>
            </w:pPr>
            <w:r w:rsidRPr="00E9633C">
              <w:rPr>
                <w:rFonts w:ascii="Arial" w:hAnsi="Arial" w:cs="Arial"/>
                <w:sz w:val="20"/>
                <w:szCs w:val="20"/>
              </w:rPr>
              <w:t>0.0482</w:t>
            </w:r>
          </w:p>
        </w:tc>
      </w:tr>
      <w:tr w:rsidR="00646D6D" w:rsidRPr="00E9633C" w14:paraId="44C2DA0A" w14:textId="77777777" w:rsidTr="002B5E87">
        <w:trPr>
          <w:trHeight w:val="258"/>
        </w:trPr>
        <w:tc>
          <w:tcPr>
            <w:tcW w:w="4508" w:type="dxa"/>
            <w:vAlign w:val="center"/>
          </w:tcPr>
          <w:p w14:paraId="106DC5F4" w14:textId="77777777" w:rsidR="00646D6D" w:rsidRPr="00E9633C" w:rsidRDefault="00646D6D" w:rsidP="002B5E87">
            <w:pPr>
              <w:rPr>
                <w:rFonts w:ascii="Arial" w:hAnsi="Arial" w:cs="Arial"/>
                <w:sz w:val="20"/>
                <w:szCs w:val="20"/>
              </w:rPr>
            </w:pPr>
            <w:r w:rsidRPr="00E9633C">
              <w:rPr>
                <w:rFonts w:ascii="Arial" w:hAnsi="Arial" w:cs="Arial"/>
                <w:sz w:val="20"/>
                <w:szCs w:val="20"/>
              </w:rPr>
              <w:t>Sex (M vs. F)</w:t>
            </w:r>
          </w:p>
        </w:tc>
        <w:tc>
          <w:tcPr>
            <w:tcW w:w="2446" w:type="dxa"/>
            <w:vAlign w:val="center"/>
          </w:tcPr>
          <w:p w14:paraId="5E4FD770" w14:textId="79CAB5E5" w:rsidR="00646D6D" w:rsidRPr="00E9633C" w:rsidRDefault="00646D6D" w:rsidP="002B5E87">
            <w:pPr>
              <w:jc w:val="center"/>
              <w:rPr>
                <w:rFonts w:ascii="Arial" w:hAnsi="Arial" w:cs="Arial"/>
                <w:sz w:val="20"/>
                <w:szCs w:val="20"/>
              </w:rPr>
            </w:pPr>
            <w:r w:rsidRPr="00E9633C">
              <w:rPr>
                <w:rFonts w:ascii="Arial" w:hAnsi="Arial" w:cs="Arial"/>
                <w:sz w:val="20"/>
                <w:szCs w:val="20"/>
              </w:rPr>
              <w:t>3.00 (1.19, 7.58)</w:t>
            </w:r>
          </w:p>
        </w:tc>
        <w:tc>
          <w:tcPr>
            <w:tcW w:w="2447" w:type="dxa"/>
            <w:vAlign w:val="center"/>
          </w:tcPr>
          <w:p w14:paraId="3808CD90" w14:textId="62F23144" w:rsidR="00646D6D" w:rsidRPr="00E9633C" w:rsidRDefault="00646D6D" w:rsidP="002B5E87">
            <w:pPr>
              <w:jc w:val="center"/>
              <w:rPr>
                <w:rFonts w:ascii="Arial" w:hAnsi="Arial" w:cs="Arial"/>
                <w:sz w:val="20"/>
                <w:szCs w:val="20"/>
              </w:rPr>
            </w:pPr>
            <w:r w:rsidRPr="00E9633C">
              <w:rPr>
                <w:rFonts w:ascii="Arial" w:hAnsi="Arial" w:cs="Arial"/>
                <w:sz w:val="20"/>
                <w:szCs w:val="20"/>
              </w:rPr>
              <w:t>0.0204</w:t>
            </w:r>
          </w:p>
        </w:tc>
      </w:tr>
      <w:tr w:rsidR="00646D6D" w:rsidRPr="00E9633C" w14:paraId="46E093F7" w14:textId="77777777" w:rsidTr="002B5E87">
        <w:trPr>
          <w:trHeight w:val="258"/>
        </w:trPr>
        <w:tc>
          <w:tcPr>
            <w:tcW w:w="4508" w:type="dxa"/>
            <w:vAlign w:val="center"/>
          </w:tcPr>
          <w:p w14:paraId="02338B7A" w14:textId="2E2BE553" w:rsidR="00646D6D" w:rsidRPr="00E9633C" w:rsidRDefault="00646D6D" w:rsidP="002B5E87">
            <w:pPr>
              <w:rPr>
                <w:rFonts w:ascii="Arial" w:hAnsi="Arial" w:cs="Arial"/>
                <w:sz w:val="20"/>
                <w:szCs w:val="20"/>
              </w:rPr>
            </w:pPr>
            <w:r w:rsidRPr="00E9633C">
              <w:rPr>
                <w:rFonts w:ascii="Arial" w:hAnsi="Arial" w:cs="Arial"/>
                <w:sz w:val="20"/>
                <w:szCs w:val="20"/>
              </w:rPr>
              <w:t>Expert Dx IND vs. ND</w:t>
            </w:r>
          </w:p>
        </w:tc>
        <w:tc>
          <w:tcPr>
            <w:tcW w:w="2446" w:type="dxa"/>
            <w:vAlign w:val="center"/>
          </w:tcPr>
          <w:p w14:paraId="0E7A72A2" w14:textId="26596C55" w:rsidR="00646D6D" w:rsidRPr="00E9633C" w:rsidRDefault="00646D6D" w:rsidP="002B5E87">
            <w:pPr>
              <w:jc w:val="center"/>
              <w:rPr>
                <w:rFonts w:ascii="Arial" w:hAnsi="Arial" w:cs="Arial"/>
                <w:sz w:val="20"/>
                <w:szCs w:val="20"/>
              </w:rPr>
            </w:pPr>
            <w:r w:rsidRPr="00E9633C">
              <w:rPr>
                <w:rFonts w:ascii="Arial" w:hAnsi="Arial" w:cs="Arial"/>
                <w:sz w:val="20"/>
                <w:szCs w:val="20"/>
              </w:rPr>
              <w:t>1.14 (0.40, 3.21)</w:t>
            </w:r>
          </w:p>
        </w:tc>
        <w:tc>
          <w:tcPr>
            <w:tcW w:w="2447" w:type="dxa"/>
            <w:vAlign w:val="center"/>
          </w:tcPr>
          <w:p w14:paraId="0A8C63E2" w14:textId="0D5EFFCB" w:rsidR="00646D6D" w:rsidRPr="00E9633C" w:rsidRDefault="00646D6D" w:rsidP="002B5E87">
            <w:pPr>
              <w:jc w:val="center"/>
              <w:rPr>
                <w:rFonts w:ascii="Arial" w:hAnsi="Arial" w:cs="Arial"/>
                <w:sz w:val="20"/>
                <w:szCs w:val="20"/>
              </w:rPr>
            </w:pPr>
            <w:r w:rsidRPr="00E9633C">
              <w:rPr>
                <w:rFonts w:ascii="Arial" w:hAnsi="Arial" w:cs="Arial"/>
                <w:sz w:val="20"/>
                <w:szCs w:val="20"/>
              </w:rPr>
              <w:t>0.8046</w:t>
            </w:r>
          </w:p>
        </w:tc>
      </w:tr>
      <w:tr w:rsidR="00646D6D" w:rsidRPr="00E9633C" w14:paraId="00973B9E" w14:textId="77777777" w:rsidTr="002B5E87">
        <w:trPr>
          <w:trHeight w:val="258"/>
        </w:trPr>
        <w:tc>
          <w:tcPr>
            <w:tcW w:w="4508" w:type="dxa"/>
            <w:vAlign w:val="center"/>
          </w:tcPr>
          <w:p w14:paraId="309953C8" w14:textId="663D2159" w:rsidR="00646D6D" w:rsidRPr="00E9633C" w:rsidRDefault="00646D6D" w:rsidP="002B5E87">
            <w:pPr>
              <w:rPr>
                <w:rFonts w:ascii="Arial" w:hAnsi="Arial" w:cs="Arial"/>
                <w:sz w:val="20"/>
                <w:szCs w:val="20"/>
              </w:rPr>
            </w:pPr>
            <w:r w:rsidRPr="00E9633C">
              <w:rPr>
                <w:rFonts w:ascii="Arial" w:hAnsi="Arial" w:cs="Arial"/>
                <w:sz w:val="20"/>
                <w:szCs w:val="20"/>
              </w:rPr>
              <w:t>Expert Dx LGD vs. ND</w:t>
            </w:r>
          </w:p>
        </w:tc>
        <w:tc>
          <w:tcPr>
            <w:tcW w:w="2446" w:type="dxa"/>
            <w:vAlign w:val="center"/>
          </w:tcPr>
          <w:p w14:paraId="052FEC76" w14:textId="704DC124" w:rsidR="00646D6D" w:rsidRPr="00E9633C" w:rsidRDefault="00646D6D" w:rsidP="002B5E87">
            <w:pPr>
              <w:jc w:val="center"/>
              <w:rPr>
                <w:rFonts w:ascii="Arial" w:hAnsi="Arial" w:cs="Arial"/>
                <w:sz w:val="20"/>
                <w:szCs w:val="20"/>
              </w:rPr>
            </w:pPr>
            <w:r w:rsidRPr="00E9633C">
              <w:rPr>
                <w:rFonts w:ascii="Arial" w:hAnsi="Arial" w:cs="Arial"/>
                <w:sz w:val="20"/>
                <w:szCs w:val="20"/>
              </w:rPr>
              <w:t>3.56 (1.75, 7.25)</w:t>
            </w:r>
          </w:p>
        </w:tc>
        <w:tc>
          <w:tcPr>
            <w:tcW w:w="2447" w:type="dxa"/>
            <w:vAlign w:val="center"/>
          </w:tcPr>
          <w:p w14:paraId="1A8F2550" w14:textId="138CA7EB" w:rsidR="00646D6D" w:rsidRPr="00E9633C" w:rsidRDefault="00646D6D" w:rsidP="002B5E87">
            <w:pPr>
              <w:jc w:val="center"/>
              <w:rPr>
                <w:rFonts w:ascii="Arial" w:hAnsi="Arial" w:cs="Arial"/>
                <w:sz w:val="20"/>
                <w:szCs w:val="20"/>
              </w:rPr>
            </w:pPr>
            <w:r w:rsidRPr="00E9633C">
              <w:rPr>
                <w:rFonts w:ascii="Arial" w:hAnsi="Arial" w:cs="Arial"/>
                <w:sz w:val="20"/>
                <w:szCs w:val="20"/>
              </w:rPr>
              <w:t>0.0005</w:t>
            </w:r>
          </w:p>
        </w:tc>
      </w:tr>
      <w:tr w:rsidR="00646D6D" w:rsidRPr="00E9633C" w14:paraId="54D1C70F" w14:textId="77777777" w:rsidTr="002B5E87">
        <w:trPr>
          <w:trHeight w:val="258"/>
        </w:trPr>
        <w:tc>
          <w:tcPr>
            <w:tcW w:w="4508" w:type="dxa"/>
            <w:vAlign w:val="center"/>
          </w:tcPr>
          <w:p w14:paraId="44D6CFCD" w14:textId="77777777" w:rsidR="00646D6D" w:rsidRPr="00E9633C" w:rsidRDefault="00646D6D" w:rsidP="002B5E87">
            <w:pPr>
              <w:rPr>
                <w:rFonts w:ascii="Arial" w:hAnsi="Arial" w:cs="Arial"/>
                <w:sz w:val="20"/>
                <w:szCs w:val="20"/>
              </w:rPr>
            </w:pPr>
            <w:r w:rsidRPr="00E9633C">
              <w:rPr>
                <w:rFonts w:ascii="Arial" w:hAnsi="Arial" w:cs="Arial"/>
                <w:sz w:val="20"/>
                <w:szCs w:val="20"/>
              </w:rPr>
              <w:t>Segment length (L vs. S)</w:t>
            </w:r>
          </w:p>
        </w:tc>
        <w:tc>
          <w:tcPr>
            <w:tcW w:w="2446" w:type="dxa"/>
            <w:vAlign w:val="center"/>
          </w:tcPr>
          <w:p w14:paraId="7FEEB62C" w14:textId="5D4BBF5B" w:rsidR="00646D6D" w:rsidRPr="00E9633C" w:rsidRDefault="00646D6D" w:rsidP="002B5E87">
            <w:pPr>
              <w:jc w:val="center"/>
              <w:rPr>
                <w:rFonts w:ascii="Arial" w:hAnsi="Arial" w:cs="Arial"/>
                <w:sz w:val="20"/>
                <w:szCs w:val="20"/>
              </w:rPr>
            </w:pPr>
            <w:r w:rsidRPr="00E9633C">
              <w:rPr>
                <w:rFonts w:ascii="Arial" w:hAnsi="Arial" w:cs="Arial"/>
                <w:sz w:val="20"/>
                <w:szCs w:val="20"/>
              </w:rPr>
              <w:t>1.80 (1.01, 3.22)</w:t>
            </w:r>
          </w:p>
        </w:tc>
        <w:tc>
          <w:tcPr>
            <w:tcW w:w="2447" w:type="dxa"/>
            <w:vAlign w:val="center"/>
          </w:tcPr>
          <w:p w14:paraId="03CFC554" w14:textId="2EE1D009" w:rsidR="00646D6D" w:rsidRPr="00E9633C" w:rsidRDefault="00646D6D" w:rsidP="002B5E87">
            <w:pPr>
              <w:jc w:val="center"/>
              <w:rPr>
                <w:rFonts w:ascii="Arial" w:hAnsi="Arial" w:cs="Arial"/>
                <w:sz w:val="20"/>
                <w:szCs w:val="20"/>
              </w:rPr>
            </w:pPr>
            <w:r w:rsidRPr="00E9633C">
              <w:rPr>
                <w:rFonts w:ascii="Arial" w:hAnsi="Arial" w:cs="Arial"/>
                <w:sz w:val="20"/>
                <w:szCs w:val="20"/>
              </w:rPr>
              <w:t>0.0470</w:t>
            </w:r>
          </w:p>
        </w:tc>
      </w:tr>
      <w:tr w:rsidR="00646D6D" w:rsidRPr="00E9633C" w14:paraId="1A6481EA" w14:textId="77777777" w:rsidTr="002B5E87">
        <w:trPr>
          <w:trHeight w:val="258"/>
        </w:trPr>
        <w:tc>
          <w:tcPr>
            <w:tcW w:w="4508" w:type="dxa"/>
            <w:vAlign w:val="center"/>
          </w:tcPr>
          <w:p w14:paraId="0ECE7659" w14:textId="77777777" w:rsidR="00646D6D" w:rsidRPr="00E9633C" w:rsidRDefault="00646D6D" w:rsidP="002B5E87">
            <w:pPr>
              <w:rPr>
                <w:rFonts w:ascii="Arial" w:hAnsi="Arial" w:cs="Arial"/>
                <w:sz w:val="20"/>
                <w:szCs w:val="20"/>
              </w:rPr>
            </w:pPr>
            <w:r w:rsidRPr="00E9633C">
              <w:rPr>
                <w:rFonts w:ascii="Arial" w:hAnsi="Arial" w:cs="Arial"/>
                <w:sz w:val="20"/>
                <w:szCs w:val="20"/>
              </w:rPr>
              <w:t>Hiatal hernia (Present vs. Absent)</w:t>
            </w:r>
          </w:p>
        </w:tc>
        <w:tc>
          <w:tcPr>
            <w:tcW w:w="2446" w:type="dxa"/>
            <w:vAlign w:val="center"/>
          </w:tcPr>
          <w:p w14:paraId="219EFD64" w14:textId="77777777" w:rsidR="00646D6D" w:rsidRPr="00E9633C" w:rsidRDefault="00646D6D" w:rsidP="002B5E87">
            <w:pPr>
              <w:jc w:val="center"/>
              <w:rPr>
                <w:rFonts w:ascii="Arial" w:hAnsi="Arial" w:cs="Arial"/>
                <w:sz w:val="20"/>
                <w:szCs w:val="20"/>
              </w:rPr>
            </w:pPr>
            <w:r w:rsidRPr="00E9633C">
              <w:rPr>
                <w:rFonts w:ascii="Arial" w:hAnsi="Arial" w:cs="Arial"/>
                <w:sz w:val="20"/>
                <w:szCs w:val="20"/>
              </w:rPr>
              <w:t>0.87 (0.43, 1.75)</w:t>
            </w:r>
          </w:p>
        </w:tc>
        <w:tc>
          <w:tcPr>
            <w:tcW w:w="2447" w:type="dxa"/>
            <w:vAlign w:val="center"/>
          </w:tcPr>
          <w:p w14:paraId="6B6B9C9F" w14:textId="0118FA3A" w:rsidR="00646D6D" w:rsidRPr="00E9633C" w:rsidRDefault="00646D6D" w:rsidP="002B5E87">
            <w:pPr>
              <w:jc w:val="center"/>
              <w:rPr>
                <w:rFonts w:ascii="Arial" w:hAnsi="Arial" w:cs="Arial"/>
                <w:sz w:val="20"/>
                <w:szCs w:val="20"/>
              </w:rPr>
            </w:pPr>
            <w:r w:rsidRPr="00E9633C">
              <w:rPr>
                <w:rFonts w:ascii="Arial" w:hAnsi="Arial" w:cs="Arial"/>
                <w:sz w:val="20"/>
                <w:szCs w:val="20"/>
              </w:rPr>
              <w:t>0.6907</w:t>
            </w:r>
          </w:p>
        </w:tc>
      </w:tr>
      <w:tr w:rsidR="00646D6D" w:rsidRPr="00E9633C" w14:paraId="40A901D6" w14:textId="77777777" w:rsidTr="002B5E87">
        <w:trPr>
          <w:trHeight w:val="29"/>
        </w:trPr>
        <w:tc>
          <w:tcPr>
            <w:tcW w:w="9401" w:type="dxa"/>
            <w:gridSpan w:val="3"/>
            <w:shd w:val="clear" w:color="auto" w:fill="auto"/>
            <w:vAlign w:val="center"/>
          </w:tcPr>
          <w:p w14:paraId="1CD8B51E" w14:textId="77777777" w:rsidR="00646D6D" w:rsidRPr="00E9633C" w:rsidRDefault="00646D6D" w:rsidP="002B5E87">
            <w:pPr>
              <w:rPr>
                <w:rFonts w:ascii="Arial" w:hAnsi="Arial" w:cs="Arial"/>
                <w:sz w:val="20"/>
                <w:szCs w:val="20"/>
              </w:rPr>
            </w:pPr>
          </w:p>
        </w:tc>
      </w:tr>
      <w:tr w:rsidR="00646D6D" w:rsidRPr="00E9633C" w14:paraId="6DDF5825" w14:textId="77777777" w:rsidTr="002B5E87">
        <w:trPr>
          <w:trHeight w:val="258"/>
        </w:trPr>
        <w:tc>
          <w:tcPr>
            <w:tcW w:w="9401" w:type="dxa"/>
            <w:gridSpan w:val="3"/>
            <w:vAlign w:val="center"/>
          </w:tcPr>
          <w:p w14:paraId="2EB84297" w14:textId="6372B072" w:rsidR="00646D6D" w:rsidRPr="00E9633C" w:rsidRDefault="00EE3101" w:rsidP="005908EB">
            <w:pPr>
              <w:pStyle w:val="ListParagraph"/>
              <w:ind w:left="522"/>
              <w:rPr>
                <w:rFonts w:ascii="Arial" w:hAnsi="Arial" w:cs="Arial"/>
                <w:i/>
                <w:sz w:val="20"/>
                <w:szCs w:val="20"/>
              </w:rPr>
            </w:pPr>
            <w:r w:rsidRPr="00E9633C">
              <w:rPr>
                <w:rFonts w:ascii="Arial" w:hAnsi="Arial" w:cs="Arial"/>
                <w:i/>
                <w:sz w:val="20"/>
                <w:szCs w:val="20"/>
              </w:rPr>
              <w:t>Multivaria</w:t>
            </w:r>
            <w:r w:rsidR="000036E2" w:rsidRPr="00E9633C">
              <w:rPr>
                <w:rFonts w:ascii="Arial" w:hAnsi="Arial" w:cs="Arial"/>
                <w:i/>
                <w:sz w:val="20"/>
                <w:szCs w:val="20"/>
              </w:rPr>
              <w:t>bl</w:t>
            </w:r>
            <w:r w:rsidRPr="00E9633C">
              <w:rPr>
                <w:rFonts w:ascii="Arial" w:hAnsi="Arial" w:cs="Arial"/>
                <w:i/>
                <w:sz w:val="20"/>
                <w:szCs w:val="20"/>
              </w:rPr>
              <w:t>e A</w:t>
            </w:r>
            <w:r w:rsidR="00646D6D" w:rsidRPr="00E9633C">
              <w:rPr>
                <w:rFonts w:ascii="Arial" w:hAnsi="Arial" w:cs="Arial"/>
                <w:i/>
                <w:sz w:val="20"/>
                <w:szCs w:val="20"/>
              </w:rPr>
              <w:t xml:space="preserve">nalysis of Clinical Variables and Risk Classes Produced by the Risk Prediction Test </w:t>
            </w:r>
          </w:p>
        </w:tc>
      </w:tr>
      <w:tr w:rsidR="00646D6D" w:rsidRPr="00E9633C" w14:paraId="6BDC1452" w14:textId="77777777" w:rsidTr="002B5E87">
        <w:trPr>
          <w:trHeight w:val="258"/>
        </w:trPr>
        <w:tc>
          <w:tcPr>
            <w:tcW w:w="4508" w:type="dxa"/>
            <w:vAlign w:val="center"/>
          </w:tcPr>
          <w:p w14:paraId="2C45739C" w14:textId="77777777" w:rsidR="00646D6D" w:rsidRPr="00E9633C" w:rsidRDefault="00646D6D" w:rsidP="002B5E87">
            <w:pPr>
              <w:rPr>
                <w:rFonts w:ascii="Arial" w:hAnsi="Arial" w:cs="Arial"/>
                <w:b/>
                <w:bCs/>
                <w:sz w:val="20"/>
                <w:szCs w:val="20"/>
              </w:rPr>
            </w:pPr>
            <w:r w:rsidRPr="00E9633C">
              <w:rPr>
                <w:rFonts w:ascii="Arial" w:hAnsi="Arial" w:cs="Arial"/>
                <w:b/>
                <w:bCs/>
                <w:sz w:val="20"/>
                <w:szCs w:val="20"/>
              </w:rPr>
              <w:t>Variable</w:t>
            </w:r>
          </w:p>
        </w:tc>
        <w:tc>
          <w:tcPr>
            <w:tcW w:w="2446" w:type="dxa"/>
            <w:vAlign w:val="center"/>
          </w:tcPr>
          <w:p w14:paraId="7F70FE5C" w14:textId="77777777" w:rsidR="00646D6D" w:rsidRPr="00E9633C" w:rsidRDefault="00646D6D" w:rsidP="002B5E87">
            <w:pPr>
              <w:jc w:val="center"/>
              <w:rPr>
                <w:rFonts w:ascii="Arial" w:hAnsi="Arial" w:cs="Arial"/>
                <w:b/>
                <w:bCs/>
                <w:sz w:val="20"/>
                <w:szCs w:val="20"/>
              </w:rPr>
            </w:pPr>
            <w:r w:rsidRPr="00E9633C">
              <w:rPr>
                <w:rFonts w:ascii="Arial" w:hAnsi="Arial" w:cs="Arial"/>
                <w:b/>
                <w:bCs/>
                <w:sz w:val="20"/>
                <w:szCs w:val="20"/>
              </w:rPr>
              <w:t>HR (95% C.I.)</w:t>
            </w:r>
          </w:p>
        </w:tc>
        <w:tc>
          <w:tcPr>
            <w:tcW w:w="2447" w:type="dxa"/>
            <w:vAlign w:val="center"/>
          </w:tcPr>
          <w:p w14:paraId="2CDB15B2" w14:textId="77777777" w:rsidR="00646D6D" w:rsidRPr="00E9633C" w:rsidRDefault="00646D6D" w:rsidP="002B5E87">
            <w:pPr>
              <w:jc w:val="center"/>
              <w:rPr>
                <w:rFonts w:ascii="Arial" w:hAnsi="Arial" w:cs="Arial"/>
                <w:b/>
                <w:bCs/>
                <w:sz w:val="20"/>
                <w:szCs w:val="20"/>
              </w:rPr>
            </w:pPr>
            <w:r w:rsidRPr="00E9633C">
              <w:rPr>
                <w:rFonts w:ascii="Arial" w:hAnsi="Arial" w:cs="Arial"/>
                <w:b/>
                <w:bCs/>
                <w:sz w:val="20"/>
                <w:szCs w:val="20"/>
              </w:rPr>
              <w:t>p value</w:t>
            </w:r>
          </w:p>
        </w:tc>
      </w:tr>
      <w:tr w:rsidR="00646D6D" w:rsidRPr="00E9633C" w14:paraId="474DCB34" w14:textId="77777777" w:rsidTr="002B5E87">
        <w:trPr>
          <w:trHeight w:val="258"/>
        </w:trPr>
        <w:tc>
          <w:tcPr>
            <w:tcW w:w="4508" w:type="dxa"/>
            <w:vAlign w:val="center"/>
          </w:tcPr>
          <w:p w14:paraId="750472A4" w14:textId="77777777" w:rsidR="00646D6D" w:rsidRPr="00E9633C" w:rsidRDefault="00646D6D" w:rsidP="002B5E87">
            <w:pPr>
              <w:rPr>
                <w:rFonts w:ascii="Arial" w:hAnsi="Arial" w:cs="Arial"/>
                <w:sz w:val="20"/>
                <w:szCs w:val="20"/>
              </w:rPr>
            </w:pPr>
            <w:r w:rsidRPr="00E9633C">
              <w:rPr>
                <w:rFonts w:ascii="Arial" w:hAnsi="Arial" w:cs="Arial"/>
                <w:bCs/>
                <w:sz w:val="20"/>
                <w:szCs w:val="20"/>
              </w:rPr>
              <w:t xml:space="preserve">Age </w:t>
            </w:r>
          </w:p>
        </w:tc>
        <w:tc>
          <w:tcPr>
            <w:tcW w:w="2446" w:type="dxa"/>
            <w:vAlign w:val="center"/>
          </w:tcPr>
          <w:p w14:paraId="46AEEA4D" w14:textId="77777777" w:rsidR="00646D6D" w:rsidRPr="00E9633C" w:rsidRDefault="00646D6D" w:rsidP="002B5E87">
            <w:pPr>
              <w:jc w:val="center"/>
              <w:rPr>
                <w:rFonts w:ascii="Arial" w:hAnsi="Arial" w:cs="Arial"/>
                <w:sz w:val="20"/>
                <w:szCs w:val="20"/>
              </w:rPr>
            </w:pPr>
            <w:r w:rsidRPr="00E9633C">
              <w:rPr>
                <w:rFonts w:ascii="Arial" w:hAnsi="Arial" w:cs="Arial"/>
                <w:bCs/>
                <w:sz w:val="20"/>
                <w:szCs w:val="20"/>
              </w:rPr>
              <w:t>1.02 (1.00,1.05)</w:t>
            </w:r>
          </w:p>
        </w:tc>
        <w:tc>
          <w:tcPr>
            <w:tcW w:w="2447" w:type="dxa"/>
            <w:vAlign w:val="center"/>
          </w:tcPr>
          <w:p w14:paraId="3F5F5507" w14:textId="16E1D516" w:rsidR="00646D6D" w:rsidRPr="00E9633C" w:rsidRDefault="00646D6D" w:rsidP="002B5E87">
            <w:pPr>
              <w:jc w:val="center"/>
              <w:rPr>
                <w:rFonts w:ascii="Arial" w:hAnsi="Arial" w:cs="Arial"/>
                <w:sz w:val="20"/>
                <w:szCs w:val="20"/>
              </w:rPr>
            </w:pPr>
            <w:r w:rsidRPr="00E9633C">
              <w:rPr>
                <w:rFonts w:ascii="Arial" w:hAnsi="Arial" w:cs="Arial"/>
                <w:bCs/>
                <w:sz w:val="20"/>
                <w:szCs w:val="20"/>
              </w:rPr>
              <w:t>0.0793</w:t>
            </w:r>
          </w:p>
        </w:tc>
      </w:tr>
      <w:tr w:rsidR="00646D6D" w:rsidRPr="00E9633C" w14:paraId="41576B86" w14:textId="77777777" w:rsidTr="002B5E87">
        <w:trPr>
          <w:trHeight w:val="258"/>
        </w:trPr>
        <w:tc>
          <w:tcPr>
            <w:tcW w:w="4508" w:type="dxa"/>
            <w:vAlign w:val="center"/>
          </w:tcPr>
          <w:p w14:paraId="0E7965AE" w14:textId="77777777" w:rsidR="00646D6D" w:rsidRPr="00E9633C" w:rsidRDefault="00646D6D" w:rsidP="002B5E87">
            <w:pPr>
              <w:rPr>
                <w:rFonts w:ascii="Arial" w:hAnsi="Arial" w:cs="Arial"/>
                <w:sz w:val="20"/>
                <w:szCs w:val="20"/>
              </w:rPr>
            </w:pPr>
            <w:r w:rsidRPr="00E9633C">
              <w:rPr>
                <w:rFonts w:ascii="Arial" w:hAnsi="Arial" w:cs="Arial"/>
                <w:bCs/>
                <w:sz w:val="20"/>
                <w:szCs w:val="20"/>
              </w:rPr>
              <w:t>Sex (M vs. F)</w:t>
            </w:r>
          </w:p>
        </w:tc>
        <w:tc>
          <w:tcPr>
            <w:tcW w:w="2446" w:type="dxa"/>
            <w:vAlign w:val="center"/>
          </w:tcPr>
          <w:p w14:paraId="623E8B3E" w14:textId="309F6A39" w:rsidR="00646D6D" w:rsidRPr="00E9633C" w:rsidRDefault="00646D6D" w:rsidP="002B5E87">
            <w:pPr>
              <w:jc w:val="center"/>
              <w:rPr>
                <w:rFonts w:ascii="Arial" w:hAnsi="Arial" w:cs="Arial"/>
                <w:sz w:val="20"/>
                <w:szCs w:val="20"/>
              </w:rPr>
            </w:pPr>
            <w:r w:rsidRPr="00E9633C">
              <w:rPr>
                <w:rFonts w:ascii="Arial" w:hAnsi="Arial" w:cs="Arial"/>
                <w:bCs/>
                <w:sz w:val="20"/>
                <w:szCs w:val="20"/>
              </w:rPr>
              <w:t>3.04 (1.19, 7.74)</w:t>
            </w:r>
          </w:p>
        </w:tc>
        <w:tc>
          <w:tcPr>
            <w:tcW w:w="2447" w:type="dxa"/>
            <w:vAlign w:val="center"/>
          </w:tcPr>
          <w:p w14:paraId="1470AADC" w14:textId="1D9DD584" w:rsidR="00646D6D" w:rsidRPr="00E9633C" w:rsidRDefault="00646D6D" w:rsidP="002B5E87">
            <w:pPr>
              <w:jc w:val="center"/>
              <w:rPr>
                <w:rFonts w:ascii="Arial" w:hAnsi="Arial" w:cs="Arial"/>
                <w:sz w:val="20"/>
                <w:szCs w:val="20"/>
              </w:rPr>
            </w:pPr>
            <w:r w:rsidRPr="00E9633C">
              <w:rPr>
                <w:rFonts w:ascii="Arial" w:hAnsi="Arial" w:cs="Arial"/>
                <w:bCs/>
                <w:sz w:val="20"/>
                <w:szCs w:val="20"/>
              </w:rPr>
              <w:t>0.0198</w:t>
            </w:r>
          </w:p>
        </w:tc>
      </w:tr>
      <w:tr w:rsidR="00646D6D" w:rsidRPr="00E9633C" w14:paraId="6FC3A0BE" w14:textId="77777777" w:rsidTr="002B5E87">
        <w:trPr>
          <w:trHeight w:val="258"/>
        </w:trPr>
        <w:tc>
          <w:tcPr>
            <w:tcW w:w="4508" w:type="dxa"/>
            <w:vAlign w:val="center"/>
          </w:tcPr>
          <w:p w14:paraId="51C4D6F5" w14:textId="0B51C815" w:rsidR="00646D6D" w:rsidRPr="00E9633C" w:rsidRDefault="00646D6D" w:rsidP="00646D6D">
            <w:pPr>
              <w:rPr>
                <w:rFonts w:ascii="Arial" w:hAnsi="Arial" w:cs="Arial"/>
                <w:sz w:val="20"/>
                <w:szCs w:val="20"/>
              </w:rPr>
            </w:pPr>
            <w:r w:rsidRPr="00E9633C">
              <w:rPr>
                <w:rFonts w:ascii="Arial" w:hAnsi="Arial" w:cs="Arial"/>
                <w:sz w:val="20"/>
                <w:szCs w:val="20"/>
              </w:rPr>
              <w:t>Expert Dx IND vs. ND</w:t>
            </w:r>
          </w:p>
        </w:tc>
        <w:tc>
          <w:tcPr>
            <w:tcW w:w="2446" w:type="dxa"/>
            <w:vAlign w:val="center"/>
          </w:tcPr>
          <w:p w14:paraId="077768B2" w14:textId="2BC3F045" w:rsidR="00646D6D" w:rsidRPr="00E9633C" w:rsidRDefault="00646D6D" w:rsidP="00646D6D">
            <w:pPr>
              <w:jc w:val="center"/>
              <w:rPr>
                <w:rFonts w:ascii="Arial" w:hAnsi="Arial" w:cs="Arial"/>
                <w:sz w:val="20"/>
                <w:szCs w:val="20"/>
              </w:rPr>
            </w:pPr>
            <w:r w:rsidRPr="00E9633C">
              <w:rPr>
                <w:rFonts w:ascii="Arial" w:hAnsi="Arial" w:cs="Arial"/>
                <w:sz w:val="20"/>
                <w:szCs w:val="20"/>
              </w:rPr>
              <w:t>0.93 (0.33, 2.66)</w:t>
            </w:r>
          </w:p>
        </w:tc>
        <w:tc>
          <w:tcPr>
            <w:tcW w:w="2447" w:type="dxa"/>
            <w:vAlign w:val="center"/>
          </w:tcPr>
          <w:p w14:paraId="0AF83987" w14:textId="2C6C7699" w:rsidR="00646D6D" w:rsidRPr="00E9633C" w:rsidRDefault="00646D6D" w:rsidP="00646D6D">
            <w:pPr>
              <w:jc w:val="center"/>
              <w:rPr>
                <w:rFonts w:ascii="Arial" w:hAnsi="Arial" w:cs="Arial"/>
                <w:sz w:val="20"/>
                <w:szCs w:val="20"/>
              </w:rPr>
            </w:pPr>
            <w:r w:rsidRPr="00E9633C">
              <w:rPr>
                <w:rFonts w:ascii="Arial" w:hAnsi="Arial" w:cs="Arial"/>
                <w:sz w:val="20"/>
                <w:szCs w:val="20"/>
              </w:rPr>
              <w:t>0.8959</w:t>
            </w:r>
          </w:p>
        </w:tc>
      </w:tr>
      <w:tr w:rsidR="00646D6D" w:rsidRPr="00E9633C" w14:paraId="39FE9A85" w14:textId="77777777" w:rsidTr="002B5E87">
        <w:trPr>
          <w:trHeight w:val="258"/>
        </w:trPr>
        <w:tc>
          <w:tcPr>
            <w:tcW w:w="4508" w:type="dxa"/>
            <w:vAlign w:val="center"/>
          </w:tcPr>
          <w:p w14:paraId="3EFA9BC6" w14:textId="46739425" w:rsidR="00646D6D" w:rsidRPr="00E9633C" w:rsidRDefault="00646D6D" w:rsidP="00646D6D">
            <w:pPr>
              <w:rPr>
                <w:rFonts w:ascii="Arial" w:hAnsi="Arial" w:cs="Arial"/>
                <w:sz w:val="20"/>
                <w:szCs w:val="20"/>
              </w:rPr>
            </w:pPr>
            <w:r w:rsidRPr="00E9633C">
              <w:rPr>
                <w:rFonts w:ascii="Arial" w:hAnsi="Arial" w:cs="Arial"/>
                <w:sz w:val="20"/>
                <w:szCs w:val="20"/>
              </w:rPr>
              <w:t>Expert Dx LGD vs. ND</w:t>
            </w:r>
          </w:p>
        </w:tc>
        <w:tc>
          <w:tcPr>
            <w:tcW w:w="2446" w:type="dxa"/>
            <w:vAlign w:val="center"/>
          </w:tcPr>
          <w:p w14:paraId="2F36D36C" w14:textId="242EFF35" w:rsidR="00646D6D" w:rsidRPr="00E9633C" w:rsidRDefault="00646D6D" w:rsidP="00646D6D">
            <w:pPr>
              <w:jc w:val="center"/>
              <w:rPr>
                <w:rFonts w:ascii="Arial" w:hAnsi="Arial" w:cs="Arial"/>
                <w:sz w:val="20"/>
                <w:szCs w:val="20"/>
              </w:rPr>
            </w:pPr>
            <w:r w:rsidRPr="00E9633C">
              <w:rPr>
                <w:rFonts w:ascii="Arial" w:hAnsi="Arial" w:cs="Arial"/>
                <w:sz w:val="20"/>
                <w:szCs w:val="20"/>
              </w:rPr>
              <w:t>1.52 (0.62, 3.76)</w:t>
            </w:r>
          </w:p>
        </w:tc>
        <w:tc>
          <w:tcPr>
            <w:tcW w:w="2447" w:type="dxa"/>
            <w:vAlign w:val="center"/>
          </w:tcPr>
          <w:p w14:paraId="65599D90" w14:textId="7524356C" w:rsidR="00646D6D" w:rsidRPr="00E9633C" w:rsidRDefault="00646D6D" w:rsidP="00646D6D">
            <w:pPr>
              <w:jc w:val="center"/>
              <w:rPr>
                <w:rFonts w:ascii="Arial" w:hAnsi="Arial" w:cs="Arial"/>
                <w:sz w:val="20"/>
                <w:szCs w:val="20"/>
              </w:rPr>
            </w:pPr>
            <w:r w:rsidRPr="00E9633C">
              <w:rPr>
                <w:rFonts w:ascii="Arial" w:hAnsi="Arial" w:cs="Arial"/>
                <w:sz w:val="20"/>
                <w:szCs w:val="20"/>
              </w:rPr>
              <w:t>0.3636</w:t>
            </w:r>
          </w:p>
        </w:tc>
      </w:tr>
      <w:tr w:rsidR="00646D6D" w:rsidRPr="00E9633C" w14:paraId="33F43C93" w14:textId="77777777" w:rsidTr="002B5E87">
        <w:trPr>
          <w:trHeight w:val="258"/>
        </w:trPr>
        <w:tc>
          <w:tcPr>
            <w:tcW w:w="4508" w:type="dxa"/>
            <w:vAlign w:val="center"/>
          </w:tcPr>
          <w:p w14:paraId="777AA7CC" w14:textId="77777777" w:rsidR="00646D6D" w:rsidRPr="00E9633C" w:rsidRDefault="00646D6D" w:rsidP="002B5E87">
            <w:pPr>
              <w:rPr>
                <w:rFonts w:ascii="Arial" w:hAnsi="Arial" w:cs="Arial"/>
                <w:sz w:val="20"/>
                <w:szCs w:val="20"/>
              </w:rPr>
            </w:pPr>
            <w:r w:rsidRPr="00E9633C">
              <w:rPr>
                <w:rFonts w:ascii="Arial" w:hAnsi="Arial" w:cs="Arial"/>
                <w:sz w:val="20"/>
                <w:szCs w:val="20"/>
              </w:rPr>
              <w:t>Segment length (L vs. S)</w:t>
            </w:r>
          </w:p>
        </w:tc>
        <w:tc>
          <w:tcPr>
            <w:tcW w:w="2446" w:type="dxa"/>
            <w:vAlign w:val="center"/>
          </w:tcPr>
          <w:p w14:paraId="378421E4" w14:textId="219C5897" w:rsidR="00646D6D" w:rsidRPr="00E9633C" w:rsidRDefault="00646D6D" w:rsidP="002B5E87">
            <w:pPr>
              <w:jc w:val="center"/>
              <w:rPr>
                <w:rFonts w:ascii="Arial" w:hAnsi="Arial" w:cs="Arial"/>
                <w:sz w:val="20"/>
                <w:szCs w:val="20"/>
              </w:rPr>
            </w:pPr>
            <w:r w:rsidRPr="00E9633C">
              <w:rPr>
                <w:rFonts w:ascii="Arial" w:hAnsi="Arial" w:cs="Arial"/>
                <w:sz w:val="20"/>
                <w:szCs w:val="20"/>
              </w:rPr>
              <w:t>1.64 (0.91, 2.97)</w:t>
            </w:r>
          </w:p>
        </w:tc>
        <w:tc>
          <w:tcPr>
            <w:tcW w:w="2447" w:type="dxa"/>
            <w:vAlign w:val="center"/>
          </w:tcPr>
          <w:p w14:paraId="6314E724" w14:textId="729792BC" w:rsidR="00646D6D" w:rsidRPr="00E9633C" w:rsidRDefault="00646D6D" w:rsidP="002B5E87">
            <w:pPr>
              <w:jc w:val="center"/>
              <w:rPr>
                <w:rFonts w:ascii="Arial" w:hAnsi="Arial" w:cs="Arial"/>
                <w:sz w:val="20"/>
                <w:szCs w:val="20"/>
              </w:rPr>
            </w:pPr>
            <w:r w:rsidRPr="00E9633C">
              <w:rPr>
                <w:rFonts w:ascii="Arial" w:hAnsi="Arial" w:cs="Arial"/>
                <w:sz w:val="20"/>
                <w:szCs w:val="20"/>
              </w:rPr>
              <w:t>0.0981</w:t>
            </w:r>
          </w:p>
        </w:tc>
      </w:tr>
      <w:tr w:rsidR="00646D6D" w:rsidRPr="00E9633C" w14:paraId="74D98F6F" w14:textId="77777777" w:rsidTr="002B5E87">
        <w:trPr>
          <w:trHeight w:val="258"/>
        </w:trPr>
        <w:tc>
          <w:tcPr>
            <w:tcW w:w="4508" w:type="dxa"/>
            <w:vAlign w:val="center"/>
          </w:tcPr>
          <w:p w14:paraId="3BC4ADD7" w14:textId="77777777" w:rsidR="00646D6D" w:rsidRPr="00E9633C" w:rsidRDefault="00646D6D" w:rsidP="002B5E87">
            <w:pPr>
              <w:rPr>
                <w:rFonts w:ascii="Arial" w:hAnsi="Arial" w:cs="Arial"/>
                <w:sz w:val="20"/>
                <w:szCs w:val="20"/>
              </w:rPr>
            </w:pPr>
            <w:r w:rsidRPr="00E9633C">
              <w:rPr>
                <w:rFonts w:ascii="Arial" w:hAnsi="Arial" w:cs="Arial"/>
                <w:sz w:val="20"/>
                <w:szCs w:val="20"/>
              </w:rPr>
              <w:t>Hiatal hernia (Present vs. Absent)</w:t>
            </w:r>
          </w:p>
        </w:tc>
        <w:tc>
          <w:tcPr>
            <w:tcW w:w="2446" w:type="dxa"/>
            <w:vAlign w:val="center"/>
          </w:tcPr>
          <w:p w14:paraId="034DF42A" w14:textId="629D611A" w:rsidR="00646D6D" w:rsidRPr="00E9633C" w:rsidRDefault="00646D6D" w:rsidP="002B5E87">
            <w:pPr>
              <w:jc w:val="center"/>
              <w:rPr>
                <w:rFonts w:ascii="Arial" w:hAnsi="Arial" w:cs="Arial"/>
                <w:sz w:val="20"/>
                <w:szCs w:val="20"/>
              </w:rPr>
            </w:pPr>
            <w:r w:rsidRPr="00E9633C">
              <w:rPr>
                <w:rFonts w:ascii="Arial" w:hAnsi="Arial" w:cs="Arial"/>
                <w:sz w:val="20"/>
                <w:szCs w:val="20"/>
              </w:rPr>
              <w:t>0.79 (0.39, 1.61)</w:t>
            </w:r>
          </w:p>
        </w:tc>
        <w:tc>
          <w:tcPr>
            <w:tcW w:w="2447" w:type="dxa"/>
            <w:vAlign w:val="center"/>
          </w:tcPr>
          <w:p w14:paraId="609CA7AD" w14:textId="302EE86F" w:rsidR="00646D6D" w:rsidRPr="00E9633C" w:rsidRDefault="00646D6D" w:rsidP="002B5E87">
            <w:pPr>
              <w:jc w:val="center"/>
              <w:rPr>
                <w:rFonts w:ascii="Arial" w:hAnsi="Arial" w:cs="Arial"/>
                <w:sz w:val="20"/>
                <w:szCs w:val="20"/>
              </w:rPr>
            </w:pPr>
            <w:r w:rsidRPr="00E9633C">
              <w:rPr>
                <w:rFonts w:ascii="Arial" w:hAnsi="Arial" w:cs="Arial"/>
                <w:sz w:val="20"/>
                <w:szCs w:val="20"/>
              </w:rPr>
              <w:t>0.5161</w:t>
            </w:r>
          </w:p>
        </w:tc>
      </w:tr>
      <w:tr w:rsidR="00646D6D" w:rsidRPr="00E9633C" w14:paraId="2916EEE9" w14:textId="77777777" w:rsidTr="002B5E87">
        <w:trPr>
          <w:trHeight w:val="258"/>
        </w:trPr>
        <w:tc>
          <w:tcPr>
            <w:tcW w:w="4508" w:type="dxa"/>
            <w:vAlign w:val="center"/>
          </w:tcPr>
          <w:p w14:paraId="59608245" w14:textId="77777777" w:rsidR="00646D6D" w:rsidRPr="00E9633C" w:rsidRDefault="00646D6D" w:rsidP="002B5E87">
            <w:pPr>
              <w:rPr>
                <w:rFonts w:ascii="Arial" w:hAnsi="Arial" w:cs="Arial"/>
                <w:sz w:val="20"/>
                <w:szCs w:val="20"/>
              </w:rPr>
            </w:pPr>
            <w:r w:rsidRPr="00E9633C">
              <w:rPr>
                <w:rFonts w:ascii="Arial" w:hAnsi="Arial" w:cs="Arial"/>
                <w:sz w:val="20"/>
                <w:szCs w:val="20"/>
              </w:rPr>
              <w:t>Predicted Risk Classes: Int-Risk vs. Low-Risk</w:t>
            </w:r>
          </w:p>
        </w:tc>
        <w:tc>
          <w:tcPr>
            <w:tcW w:w="2446" w:type="dxa"/>
            <w:vAlign w:val="center"/>
          </w:tcPr>
          <w:p w14:paraId="66726F19" w14:textId="34B23DF9" w:rsidR="00646D6D" w:rsidRPr="00E9633C" w:rsidRDefault="00646D6D" w:rsidP="002B5E87">
            <w:pPr>
              <w:jc w:val="center"/>
              <w:rPr>
                <w:rFonts w:ascii="Arial" w:hAnsi="Arial" w:cs="Arial"/>
                <w:sz w:val="20"/>
                <w:szCs w:val="20"/>
              </w:rPr>
            </w:pPr>
            <w:r w:rsidRPr="00E9633C">
              <w:rPr>
                <w:rFonts w:ascii="Arial" w:hAnsi="Arial" w:cs="Arial"/>
                <w:sz w:val="20"/>
                <w:szCs w:val="20"/>
              </w:rPr>
              <w:t>1.58 (0.71, 3.52)</w:t>
            </w:r>
          </w:p>
        </w:tc>
        <w:tc>
          <w:tcPr>
            <w:tcW w:w="2447" w:type="dxa"/>
            <w:vAlign w:val="center"/>
          </w:tcPr>
          <w:p w14:paraId="4F1D10B6" w14:textId="53ECE6FE" w:rsidR="00646D6D" w:rsidRPr="00E9633C" w:rsidRDefault="00646D6D" w:rsidP="002B5E87">
            <w:pPr>
              <w:jc w:val="center"/>
              <w:rPr>
                <w:rFonts w:ascii="Arial" w:hAnsi="Arial" w:cs="Arial"/>
                <w:sz w:val="20"/>
                <w:szCs w:val="20"/>
              </w:rPr>
            </w:pPr>
            <w:r w:rsidRPr="00E9633C">
              <w:rPr>
                <w:rFonts w:ascii="Arial" w:hAnsi="Arial" w:cs="Arial"/>
                <w:sz w:val="20"/>
                <w:szCs w:val="20"/>
              </w:rPr>
              <w:t>0.2597</w:t>
            </w:r>
          </w:p>
        </w:tc>
      </w:tr>
      <w:tr w:rsidR="00646D6D" w:rsidRPr="00E9633C" w14:paraId="7AF0E16B" w14:textId="77777777" w:rsidTr="002B5E87">
        <w:trPr>
          <w:trHeight w:val="258"/>
        </w:trPr>
        <w:tc>
          <w:tcPr>
            <w:tcW w:w="4508" w:type="dxa"/>
            <w:vAlign w:val="center"/>
          </w:tcPr>
          <w:p w14:paraId="6FD81D7C" w14:textId="77777777" w:rsidR="00646D6D" w:rsidRPr="00E9633C" w:rsidRDefault="00646D6D" w:rsidP="002B5E87">
            <w:pPr>
              <w:rPr>
                <w:rFonts w:ascii="Arial" w:hAnsi="Arial" w:cs="Arial"/>
                <w:sz w:val="20"/>
                <w:szCs w:val="20"/>
              </w:rPr>
            </w:pPr>
            <w:r w:rsidRPr="00E9633C">
              <w:rPr>
                <w:rFonts w:ascii="Arial" w:hAnsi="Arial" w:cs="Arial"/>
                <w:bCs/>
                <w:sz w:val="20"/>
                <w:szCs w:val="20"/>
              </w:rPr>
              <w:t>Predicted Risk Classes: High-Risk vs. Low-Risk</w:t>
            </w:r>
          </w:p>
        </w:tc>
        <w:tc>
          <w:tcPr>
            <w:tcW w:w="2446" w:type="dxa"/>
            <w:vAlign w:val="center"/>
          </w:tcPr>
          <w:p w14:paraId="50F00AC4" w14:textId="5B765F14" w:rsidR="00646D6D" w:rsidRPr="00E9633C" w:rsidRDefault="00646D6D" w:rsidP="002B5E87">
            <w:pPr>
              <w:jc w:val="center"/>
              <w:rPr>
                <w:rFonts w:ascii="Arial" w:hAnsi="Arial" w:cs="Arial"/>
                <w:sz w:val="20"/>
                <w:szCs w:val="20"/>
              </w:rPr>
            </w:pPr>
            <w:r w:rsidRPr="00E9633C">
              <w:rPr>
                <w:rFonts w:ascii="Arial" w:hAnsi="Arial" w:cs="Arial"/>
                <w:bCs/>
                <w:sz w:val="20"/>
                <w:szCs w:val="20"/>
              </w:rPr>
              <w:t>3.74 (1.64, 8.54)</w:t>
            </w:r>
          </w:p>
        </w:tc>
        <w:tc>
          <w:tcPr>
            <w:tcW w:w="2447" w:type="dxa"/>
            <w:vAlign w:val="center"/>
          </w:tcPr>
          <w:p w14:paraId="23D9F0A0" w14:textId="6C1254CA" w:rsidR="00646D6D" w:rsidRPr="00E9633C" w:rsidRDefault="00646D6D" w:rsidP="002B5E87">
            <w:pPr>
              <w:jc w:val="center"/>
              <w:rPr>
                <w:rFonts w:ascii="Arial" w:hAnsi="Arial" w:cs="Arial"/>
                <w:sz w:val="20"/>
                <w:szCs w:val="20"/>
              </w:rPr>
            </w:pPr>
            <w:r w:rsidRPr="00E9633C">
              <w:rPr>
                <w:rFonts w:ascii="Arial" w:hAnsi="Arial" w:cs="Arial"/>
                <w:bCs/>
                <w:sz w:val="20"/>
                <w:szCs w:val="20"/>
              </w:rPr>
              <w:t>0.0017</w:t>
            </w:r>
          </w:p>
        </w:tc>
      </w:tr>
      <w:tr w:rsidR="00646D6D" w:rsidRPr="00E9633C" w14:paraId="007A554A" w14:textId="77777777" w:rsidTr="002B5E87">
        <w:trPr>
          <w:trHeight w:val="258"/>
        </w:trPr>
        <w:tc>
          <w:tcPr>
            <w:tcW w:w="9401" w:type="dxa"/>
            <w:gridSpan w:val="3"/>
            <w:vAlign w:val="center"/>
          </w:tcPr>
          <w:p w14:paraId="0604C807" w14:textId="41E7F954" w:rsidR="00646D6D" w:rsidRPr="00E9633C" w:rsidRDefault="00646D6D" w:rsidP="002B5E87">
            <w:pPr>
              <w:rPr>
                <w:rFonts w:ascii="Arial" w:hAnsi="Arial" w:cs="Arial"/>
                <w:bCs/>
                <w:sz w:val="20"/>
                <w:szCs w:val="20"/>
              </w:rPr>
            </w:pPr>
            <w:r w:rsidRPr="00E9633C">
              <w:rPr>
                <w:rFonts w:ascii="Arial" w:hAnsi="Arial" w:cs="Arial"/>
                <w:bCs/>
                <w:sz w:val="18"/>
                <w:szCs w:val="18"/>
              </w:rPr>
              <w:t>Note: Multivaria</w:t>
            </w:r>
            <w:r w:rsidR="000036E2" w:rsidRPr="00E9633C">
              <w:rPr>
                <w:rFonts w:ascii="Arial" w:hAnsi="Arial" w:cs="Arial"/>
                <w:bCs/>
                <w:sz w:val="18"/>
                <w:szCs w:val="18"/>
              </w:rPr>
              <w:t>bl</w:t>
            </w:r>
            <w:r w:rsidRPr="00E9633C">
              <w:rPr>
                <w:rFonts w:ascii="Arial" w:hAnsi="Arial" w:cs="Arial"/>
                <w:bCs/>
                <w:sz w:val="18"/>
                <w:szCs w:val="18"/>
              </w:rPr>
              <w:t>e Cox models were run in which progression to HGD/EAC was evaluated first in relation to clinical variables alone, then in relation to the risk classes predicted by the test and clinical variables, as described in Materials and Methods.</w:t>
            </w:r>
          </w:p>
        </w:tc>
      </w:tr>
    </w:tbl>
    <w:p w14:paraId="783C9A17" w14:textId="00793FFA" w:rsidR="00646D6D" w:rsidRPr="00E9633C" w:rsidRDefault="00646D6D">
      <w:pPr>
        <w:rPr>
          <w:rFonts w:ascii="Arial" w:hAnsi="Arial" w:cs="Arial"/>
          <w:sz w:val="18"/>
          <w:szCs w:val="18"/>
        </w:rPr>
      </w:pPr>
    </w:p>
    <w:p w14:paraId="4A248E22" w14:textId="28BDB679" w:rsidR="003D62E5" w:rsidRPr="00E9633C" w:rsidRDefault="003D62E5">
      <w:pPr>
        <w:rPr>
          <w:rFonts w:ascii="Arial" w:hAnsi="Arial" w:cs="Arial"/>
          <w:sz w:val="18"/>
          <w:szCs w:val="18"/>
        </w:rPr>
      </w:pPr>
    </w:p>
    <w:p w14:paraId="110E074B" w14:textId="623A78B9" w:rsidR="00504480" w:rsidRPr="00E9633C" w:rsidRDefault="00504480">
      <w:pPr>
        <w:rPr>
          <w:rFonts w:ascii="Arial" w:hAnsi="Arial" w:cs="Arial"/>
          <w:sz w:val="18"/>
          <w:szCs w:val="18"/>
        </w:rPr>
      </w:pPr>
    </w:p>
    <w:p w14:paraId="78363F0C" w14:textId="541DBA80" w:rsidR="00504480" w:rsidRPr="00E9633C" w:rsidRDefault="00504480">
      <w:pPr>
        <w:rPr>
          <w:rFonts w:ascii="Arial" w:hAnsi="Arial" w:cs="Arial"/>
          <w:sz w:val="18"/>
          <w:szCs w:val="18"/>
        </w:rPr>
      </w:pPr>
    </w:p>
    <w:p w14:paraId="1388A62E" w14:textId="7C5BF8D7" w:rsidR="00504480" w:rsidRPr="00E9633C" w:rsidRDefault="00504480">
      <w:pPr>
        <w:rPr>
          <w:rFonts w:ascii="Arial" w:hAnsi="Arial" w:cs="Arial"/>
          <w:sz w:val="18"/>
          <w:szCs w:val="18"/>
        </w:rPr>
      </w:pPr>
    </w:p>
    <w:p w14:paraId="6F6650E8" w14:textId="433AB769" w:rsidR="00504480" w:rsidRPr="00E9633C" w:rsidRDefault="00504480">
      <w:pPr>
        <w:rPr>
          <w:rFonts w:ascii="Arial" w:hAnsi="Arial" w:cs="Arial"/>
          <w:sz w:val="18"/>
          <w:szCs w:val="18"/>
        </w:rPr>
      </w:pPr>
    </w:p>
    <w:p w14:paraId="3E9B1CF9" w14:textId="5FB35086" w:rsidR="00504480" w:rsidRPr="00E9633C" w:rsidRDefault="00504480">
      <w:pPr>
        <w:rPr>
          <w:rFonts w:ascii="Arial" w:hAnsi="Arial" w:cs="Arial"/>
          <w:sz w:val="18"/>
          <w:szCs w:val="18"/>
        </w:rPr>
      </w:pPr>
    </w:p>
    <w:p w14:paraId="6706BA03" w14:textId="081AEC1F" w:rsidR="000B6D90" w:rsidRPr="00E9633C" w:rsidRDefault="000B6D90">
      <w:pPr>
        <w:rPr>
          <w:rFonts w:ascii="Arial" w:hAnsi="Arial" w:cs="Arial"/>
          <w:sz w:val="18"/>
          <w:szCs w:val="18"/>
        </w:rPr>
      </w:pPr>
    </w:p>
    <w:p w14:paraId="3E6DC43A" w14:textId="77777777" w:rsidR="003D62E5" w:rsidRPr="00E9633C" w:rsidRDefault="003D62E5">
      <w:pPr>
        <w:rPr>
          <w:rFonts w:ascii="Arial" w:hAnsi="Arial" w:cs="Arial"/>
          <w:sz w:val="18"/>
          <w:szCs w:val="18"/>
        </w:rPr>
      </w:pPr>
      <w:bookmarkStart w:id="3" w:name="_GoBack"/>
      <w:bookmarkEnd w:id="3"/>
    </w:p>
    <w:tbl>
      <w:tblPr>
        <w:tblStyle w:val="TableGrid"/>
        <w:tblpPr w:leftFromText="180" w:rightFromText="180" w:vertAnchor="text" w:horzAnchor="margin" w:tblpY="305"/>
        <w:tblW w:w="9401" w:type="dxa"/>
        <w:tblLook w:val="04A0" w:firstRow="1" w:lastRow="0" w:firstColumn="1" w:lastColumn="0" w:noHBand="0" w:noVBand="1"/>
      </w:tblPr>
      <w:tblGrid>
        <w:gridCol w:w="4508"/>
        <w:gridCol w:w="3317"/>
        <w:gridCol w:w="1576"/>
      </w:tblGrid>
      <w:tr w:rsidR="003D62E5" w:rsidRPr="00E9633C" w14:paraId="062C12C2" w14:textId="77777777" w:rsidTr="003D62E5">
        <w:trPr>
          <w:trHeight w:val="235"/>
        </w:trPr>
        <w:tc>
          <w:tcPr>
            <w:tcW w:w="9401" w:type="dxa"/>
            <w:gridSpan w:val="3"/>
            <w:vAlign w:val="center"/>
          </w:tcPr>
          <w:p w14:paraId="2B3AB485" w14:textId="77777777" w:rsidR="003D62E5" w:rsidRPr="00E9633C" w:rsidRDefault="003D62E5" w:rsidP="003D62E5">
            <w:pPr>
              <w:rPr>
                <w:rFonts w:ascii="Arial" w:hAnsi="Arial" w:cs="Arial"/>
                <w:b/>
                <w:sz w:val="20"/>
                <w:szCs w:val="20"/>
              </w:rPr>
            </w:pPr>
            <w:r w:rsidRPr="00E9633C">
              <w:rPr>
                <w:rFonts w:ascii="Arial" w:hAnsi="Arial" w:cs="Arial"/>
                <w:b/>
                <w:sz w:val="20"/>
                <w:szCs w:val="20"/>
              </w:rPr>
              <w:t>Table S2. Predictive Performance of Risk Prediction Test versus Clinical Variables and p53</w:t>
            </w:r>
          </w:p>
        </w:tc>
      </w:tr>
      <w:tr w:rsidR="00D8299C" w:rsidRPr="00E9633C" w14:paraId="7AE4E457" w14:textId="77777777" w:rsidTr="00182A6D">
        <w:trPr>
          <w:trHeight w:val="258"/>
        </w:trPr>
        <w:tc>
          <w:tcPr>
            <w:tcW w:w="9401" w:type="dxa"/>
            <w:gridSpan w:val="3"/>
            <w:vAlign w:val="center"/>
          </w:tcPr>
          <w:p w14:paraId="1127B1B4" w14:textId="7B54E547" w:rsidR="00D8299C" w:rsidRPr="00E9633C" w:rsidRDefault="00D8299C" w:rsidP="003D62E5">
            <w:pPr>
              <w:jc w:val="center"/>
              <w:rPr>
                <w:rFonts w:ascii="Arial" w:hAnsi="Arial" w:cs="Arial"/>
                <w:i/>
                <w:iCs/>
                <w:sz w:val="20"/>
                <w:szCs w:val="20"/>
              </w:rPr>
            </w:pPr>
            <w:r w:rsidRPr="00E9633C">
              <w:rPr>
                <w:rFonts w:ascii="Arial" w:hAnsi="Arial" w:cs="Arial"/>
                <w:i/>
                <w:iCs/>
                <w:sz w:val="20"/>
                <w:szCs w:val="20"/>
              </w:rPr>
              <w:t>Multivaria</w:t>
            </w:r>
            <w:r w:rsidR="000036E2" w:rsidRPr="00E9633C">
              <w:rPr>
                <w:rFonts w:ascii="Arial" w:hAnsi="Arial" w:cs="Arial"/>
                <w:i/>
                <w:iCs/>
                <w:sz w:val="20"/>
                <w:szCs w:val="20"/>
              </w:rPr>
              <w:t>bl</w:t>
            </w:r>
            <w:r w:rsidRPr="00E9633C">
              <w:rPr>
                <w:rFonts w:ascii="Arial" w:hAnsi="Arial" w:cs="Arial"/>
                <w:i/>
                <w:iCs/>
                <w:sz w:val="20"/>
                <w:szCs w:val="20"/>
              </w:rPr>
              <w:t xml:space="preserve">e Analysis of Clinical Variables, p53 (continuous variable) </w:t>
            </w:r>
          </w:p>
          <w:p w14:paraId="059687D0" w14:textId="631AAB3A" w:rsidR="00D8299C" w:rsidRPr="00E9633C" w:rsidRDefault="00D8299C" w:rsidP="003D62E5">
            <w:pPr>
              <w:jc w:val="center"/>
              <w:rPr>
                <w:rFonts w:ascii="Arial" w:hAnsi="Arial" w:cs="Arial"/>
                <w:i/>
                <w:iCs/>
                <w:sz w:val="20"/>
                <w:szCs w:val="20"/>
              </w:rPr>
            </w:pPr>
            <w:r w:rsidRPr="00E9633C">
              <w:rPr>
                <w:rFonts w:ascii="Arial" w:hAnsi="Arial" w:cs="Arial"/>
                <w:i/>
                <w:iCs/>
                <w:sz w:val="20"/>
                <w:szCs w:val="20"/>
              </w:rPr>
              <w:t>and Risk Classes Produced by the Risk Prediction Test</w:t>
            </w:r>
          </w:p>
        </w:tc>
      </w:tr>
      <w:tr w:rsidR="003D62E5" w:rsidRPr="00E9633C" w14:paraId="022B4158" w14:textId="77777777" w:rsidTr="003D62E5">
        <w:trPr>
          <w:trHeight w:val="258"/>
        </w:trPr>
        <w:tc>
          <w:tcPr>
            <w:tcW w:w="4508" w:type="dxa"/>
            <w:vAlign w:val="center"/>
            <w:hideMark/>
          </w:tcPr>
          <w:p w14:paraId="63D8580B" w14:textId="77777777" w:rsidR="003D62E5" w:rsidRPr="00E9633C" w:rsidRDefault="003D62E5" w:rsidP="003D62E5">
            <w:pPr>
              <w:rPr>
                <w:rFonts w:ascii="Arial" w:hAnsi="Arial" w:cs="Arial"/>
                <w:sz w:val="20"/>
                <w:szCs w:val="20"/>
              </w:rPr>
            </w:pPr>
            <w:r w:rsidRPr="00E9633C">
              <w:rPr>
                <w:rFonts w:ascii="Arial" w:hAnsi="Arial" w:cs="Arial"/>
                <w:b/>
                <w:bCs/>
                <w:sz w:val="20"/>
                <w:szCs w:val="20"/>
              </w:rPr>
              <w:t>Variable</w:t>
            </w:r>
          </w:p>
        </w:tc>
        <w:tc>
          <w:tcPr>
            <w:tcW w:w="3317" w:type="dxa"/>
            <w:vAlign w:val="center"/>
            <w:hideMark/>
          </w:tcPr>
          <w:p w14:paraId="7DB68758" w14:textId="77777777" w:rsidR="003D62E5" w:rsidRPr="00E9633C" w:rsidRDefault="003D62E5" w:rsidP="003D62E5">
            <w:pPr>
              <w:jc w:val="center"/>
              <w:rPr>
                <w:rFonts w:ascii="Arial" w:hAnsi="Arial" w:cs="Arial"/>
                <w:sz w:val="20"/>
                <w:szCs w:val="20"/>
              </w:rPr>
            </w:pPr>
            <w:r w:rsidRPr="00E9633C">
              <w:rPr>
                <w:rFonts w:ascii="Arial" w:hAnsi="Arial" w:cs="Arial"/>
                <w:b/>
                <w:bCs/>
                <w:sz w:val="20"/>
                <w:szCs w:val="20"/>
              </w:rPr>
              <w:t>HR (95% C.I.)</w:t>
            </w:r>
          </w:p>
        </w:tc>
        <w:tc>
          <w:tcPr>
            <w:tcW w:w="1576" w:type="dxa"/>
            <w:vAlign w:val="center"/>
            <w:hideMark/>
          </w:tcPr>
          <w:p w14:paraId="5E7323A4" w14:textId="77777777" w:rsidR="003D62E5" w:rsidRPr="00E9633C" w:rsidRDefault="003D62E5" w:rsidP="003D62E5">
            <w:pPr>
              <w:jc w:val="center"/>
              <w:rPr>
                <w:rFonts w:ascii="Arial" w:hAnsi="Arial" w:cs="Arial"/>
                <w:sz w:val="20"/>
                <w:szCs w:val="20"/>
              </w:rPr>
            </w:pPr>
            <w:r w:rsidRPr="00E9633C">
              <w:rPr>
                <w:rFonts w:ascii="Arial" w:hAnsi="Arial" w:cs="Arial"/>
                <w:b/>
                <w:bCs/>
                <w:sz w:val="20"/>
                <w:szCs w:val="20"/>
              </w:rPr>
              <w:t>p value</w:t>
            </w:r>
          </w:p>
        </w:tc>
      </w:tr>
      <w:tr w:rsidR="003D62E5" w:rsidRPr="00E9633C" w14:paraId="0E0B4BDC" w14:textId="77777777" w:rsidTr="003D62E5">
        <w:trPr>
          <w:trHeight w:val="258"/>
        </w:trPr>
        <w:tc>
          <w:tcPr>
            <w:tcW w:w="4508" w:type="dxa"/>
            <w:vAlign w:val="center"/>
          </w:tcPr>
          <w:p w14:paraId="50767C9F" w14:textId="77777777" w:rsidR="003D62E5" w:rsidRPr="00E9633C" w:rsidRDefault="003D62E5" w:rsidP="003D62E5">
            <w:pPr>
              <w:rPr>
                <w:rFonts w:ascii="Arial" w:hAnsi="Arial" w:cs="Arial"/>
                <w:sz w:val="20"/>
                <w:szCs w:val="20"/>
              </w:rPr>
            </w:pPr>
            <w:r w:rsidRPr="00E9633C">
              <w:rPr>
                <w:rFonts w:ascii="Arial" w:hAnsi="Arial" w:cs="Arial"/>
                <w:sz w:val="20"/>
                <w:szCs w:val="20"/>
              </w:rPr>
              <w:t>Age</w:t>
            </w:r>
          </w:p>
        </w:tc>
        <w:tc>
          <w:tcPr>
            <w:tcW w:w="3317" w:type="dxa"/>
            <w:vAlign w:val="bottom"/>
          </w:tcPr>
          <w:p w14:paraId="6C97CDAE" w14:textId="77777777" w:rsidR="003D62E5" w:rsidRPr="00E9633C" w:rsidRDefault="003D62E5" w:rsidP="003D62E5">
            <w:pPr>
              <w:jc w:val="center"/>
              <w:rPr>
                <w:rFonts w:ascii="Arial" w:hAnsi="Arial" w:cs="Arial"/>
                <w:sz w:val="20"/>
                <w:szCs w:val="20"/>
              </w:rPr>
            </w:pPr>
            <w:r w:rsidRPr="00E9633C">
              <w:rPr>
                <w:rFonts w:ascii="Arial" w:hAnsi="Arial" w:cs="Arial"/>
                <w:color w:val="000000"/>
                <w:sz w:val="20"/>
                <w:szCs w:val="20"/>
              </w:rPr>
              <w:t>1.0249 (0.9987, 1.052)</w:t>
            </w:r>
          </w:p>
        </w:tc>
        <w:tc>
          <w:tcPr>
            <w:tcW w:w="1576" w:type="dxa"/>
            <w:vAlign w:val="bottom"/>
          </w:tcPr>
          <w:p w14:paraId="16BA8EF7" w14:textId="77777777" w:rsidR="003D62E5" w:rsidRPr="00E9633C" w:rsidRDefault="003D62E5" w:rsidP="003D62E5">
            <w:pPr>
              <w:jc w:val="center"/>
              <w:rPr>
                <w:rFonts w:ascii="Arial" w:hAnsi="Arial" w:cs="Arial"/>
                <w:sz w:val="20"/>
                <w:szCs w:val="20"/>
              </w:rPr>
            </w:pPr>
            <w:r w:rsidRPr="00E9633C">
              <w:rPr>
                <w:rFonts w:ascii="Arial" w:hAnsi="Arial" w:cs="Arial"/>
                <w:color w:val="000000"/>
                <w:sz w:val="20"/>
                <w:szCs w:val="20"/>
              </w:rPr>
              <w:t>0.0622</w:t>
            </w:r>
          </w:p>
        </w:tc>
      </w:tr>
      <w:tr w:rsidR="003D62E5" w:rsidRPr="00E9633C" w14:paraId="656F8553" w14:textId="77777777" w:rsidTr="003D62E5">
        <w:trPr>
          <w:trHeight w:val="258"/>
        </w:trPr>
        <w:tc>
          <w:tcPr>
            <w:tcW w:w="4508" w:type="dxa"/>
            <w:vAlign w:val="center"/>
          </w:tcPr>
          <w:p w14:paraId="6269FE40" w14:textId="77777777" w:rsidR="003D62E5" w:rsidRPr="00E9633C" w:rsidRDefault="003D62E5" w:rsidP="003D62E5">
            <w:pPr>
              <w:rPr>
                <w:rFonts w:ascii="Arial" w:hAnsi="Arial" w:cs="Arial"/>
                <w:sz w:val="20"/>
                <w:szCs w:val="20"/>
              </w:rPr>
            </w:pPr>
            <w:r w:rsidRPr="00E9633C">
              <w:rPr>
                <w:rFonts w:ascii="Arial" w:hAnsi="Arial" w:cs="Arial"/>
                <w:sz w:val="20"/>
                <w:szCs w:val="20"/>
              </w:rPr>
              <w:t>Sex (M vs. F)</w:t>
            </w:r>
          </w:p>
        </w:tc>
        <w:tc>
          <w:tcPr>
            <w:tcW w:w="3317" w:type="dxa"/>
            <w:vAlign w:val="bottom"/>
          </w:tcPr>
          <w:p w14:paraId="174BDA75" w14:textId="77777777" w:rsidR="003D62E5" w:rsidRPr="00E9633C" w:rsidRDefault="003D62E5" w:rsidP="003D62E5">
            <w:pPr>
              <w:jc w:val="center"/>
              <w:rPr>
                <w:rFonts w:ascii="Arial" w:hAnsi="Arial" w:cs="Arial"/>
                <w:sz w:val="20"/>
                <w:szCs w:val="20"/>
              </w:rPr>
            </w:pPr>
            <w:r w:rsidRPr="00E9633C">
              <w:rPr>
                <w:rFonts w:ascii="Arial" w:hAnsi="Arial" w:cs="Arial"/>
                <w:color w:val="000000"/>
                <w:sz w:val="20"/>
                <w:szCs w:val="20"/>
              </w:rPr>
              <w:t>3.1711 (1.241, 8.104)</w:t>
            </w:r>
          </w:p>
        </w:tc>
        <w:tc>
          <w:tcPr>
            <w:tcW w:w="1576" w:type="dxa"/>
            <w:vAlign w:val="bottom"/>
          </w:tcPr>
          <w:p w14:paraId="540881FC" w14:textId="77777777" w:rsidR="003D62E5" w:rsidRPr="00E9633C" w:rsidRDefault="003D62E5" w:rsidP="003D62E5">
            <w:pPr>
              <w:jc w:val="center"/>
              <w:rPr>
                <w:rFonts w:ascii="Arial" w:hAnsi="Arial" w:cs="Arial"/>
                <w:sz w:val="20"/>
                <w:szCs w:val="20"/>
              </w:rPr>
            </w:pPr>
            <w:r w:rsidRPr="00E9633C">
              <w:rPr>
                <w:rFonts w:ascii="Arial" w:hAnsi="Arial" w:cs="Arial"/>
                <w:color w:val="000000"/>
                <w:sz w:val="20"/>
                <w:szCs w:val="20"/>
              </w:rPr>
              <w:t>0.0159</w:t>
            </w:r>
          </w:p>
        </w:tc>
      </w:tr>
      <w:tr w:rsidR="003D62E5" w:rsidRPr="00E9633C" w14:paraId="582FF966" w14:textId="77777777" w:rsidTr="003D62E5">
        <w:trPr>
          <w:trHeight w:val="258"/>
        </w:trPr>
        <w:tc>
          <w:tcPr>
            <w:tcW w:w="4508" w:type="dxa"/>
            <w:vAlign w:val="center"/>
          </w:tcPr>
          <w:p w14:paraId="025AA6C2" w14:textId="77777777" w:rsidR="003D62E5" w:rsidRPr="00E9633C" w:rsidRDefault="003D62E5" w:rsidP="003D62E5">
            <w:pPr>
              <w:rPr>
                <w:rFonts w:ascii="Arial" w:hAnsi="Arial" w:cs="Arial"/>
                <w:sz w:val="20"/>
                <w:szCs w:val="20"/>
              </w:rPr>
            </w:pPr>
            <w:r w:rsidRPr="00E9633C">
              <w:rPr>
                <w:rFonts w:ascii="Arial" w:hAnsi="Arial" w:cs="Arial"/>
                <w:sz w:val="20"/>
                <w:szCs w:val="20"/>
              </w:rPr>
              <w:t>Segment length (S vs. L)</w:t>
            </w:r>
          </w:p>
        </w:tc>
        <w:tc>
          <w:tcPr>
            <w:tcW w:w="3317" w:type="dxa"/>
            <w:vAlign w:val="bottom"/>
          </w:tcPr>
          <w:p w14:paraId="6ABC1FA4" w14:textId="77777777" w:rsidR="003D62E5" w:rsidRPr="00E9633C" w:rsidRDefault="003D62E5" w:rsidP="003D62E5">
            <w:pPr>
              <w:jc w:val="center"/>
              <w:rPr>
                <w:rFonts w:ascii="Arial" w:hAnsi="Arial" w:cs="Arial"/>
                <w:sz w:val="20"/>
                <w:szCs w:val="20"/>
              </w:rPr>
            </w:pPr>
            <w:r w:rsidRPr="00E9633C">
              <w:rPr>
                <w:rFonts w:ascii="Arial" w:hAnsi="Arial" w:cs="Arial"/>
                <w:color w:val="000000"/>
                <w:sz w:val="20"/>
                <w:szCs w:val="20"/>
              </w:rPr>
              <w:t>0.6109 (0.3364, 1.109)</w:t>
            </w:r>
          </w:p>
        </w:tc>
        <w:tc>
          <w:tcPr>
            <w:tcW w:w="1576" w:type="dxa"/>
            <w:vAlign w:val="bottom"/>
          </w:tcPr>
          <w:p w14:paraId="4E16B524" w14:textId="77777777" w:rsidR="003D62E5" w:rsidRPr="00E9633C" w:rsidRDefault="003D62E5" w:rsidP="003D62E5">
            <w:pPr>
              <w:jc w:val="center"/>
              <w:rPr>
                <w:rFonts w:ascii="Arial" w:hAnsi="Arial" w:cs="Arial"/>
                <w:sz w:val="20"/>
                <w:szCs w:val="20"/>
              </w:rPr>
            </w:pPr>
            <w:r w:rsidRPr="00E9633C">
              <w:rPr>
                <w:rFonts w:ascii="Arial" w:hAnsi="Arial" w:cs="Arial"/>
                <w:color w:val="000000"/>
                <w:sz w:val="20"/>
                <w:szCs w:val="20"/>
              </w:rPr>
              <w:t>0.1055</w:t>
            </w:r>
          </w:p>
        </w:tc>
      </w:tr>
      <w:tr w:rsidR="003D62E5" w:rsidRPr="00E9633C" w14:paraId="29B29974" w14:textId="77777777" w:rsidTr="003D62E5">
        <w:trPr>
          <w:trHeight w:val="258"/>
        </w:trPr>
        <w:tc>
          <w:tcPr>
            <w:tcW w:w="4508" w:type="dxa"/>
            <w:vAlign w:val="center"/>
          </w:tcPr>
          <w:p w14:paraId="437F974B" w14:textId="77777777" w:rsidR="003D62E5" w:rsidRPr="00E9633C" w:rsidRDefault="003D62E5" w:rsidP="003D62E5">
            <w:pPr>
              <w:rPr>
                <w:rFonts w:ascii="Arial" w:hAnsi="Arial" w:cs="Arial"/>
                <w:sz w:val="20"/>
                <w:szCs w:val="20"/>
              </w:rPr>
            </w:pPr>
            <w:r w:rsidRPr="00E9633C">
              <w:rPr>
                <w:rFonts w:ascii="Arial" w:hAnsi="Arial" w:cs="Arial"/>
                <w:sz w:val="20"/>
                <w:szCs w:val="20"/>
              </w:rPr>
              <w:t>Hiatal hernia (Present vs. Absent)</w:t>
            </w:r>
          </w:p>
        </w:tc>
        <w:tc>
          <w:tcPr>
            <w:tcW w:w="3317" w:type="dxa"/>
            <w:vAlign w:val="bottom"/>
          </w:tcPr>
          <w:p w14:paraId="10DBFEE7" w14:textId="77777777" w:rsidR="003D62E5" w:rsidRPr="00E9633C" w:rsidRDefault="003D62E5" w:rsidP="003D62E5">
            <w:pPr>
              <w:jc w:val="center"/>
              <w:rPr>
                <w:rFonts w:ascii="Arial" w:hAnsi="Arial" w:cs="Arial"/>
                <w:sz w:val="20"/>
                <w:szCs w:val="20"/>
              </w:rPr>
            </w:pPr>
            <w:r w:rsidRPr="00E9633C">
              <w:rPr>
                <w:rFonts w:ascii="Arial" w:hAnsi="Arial" w:cs="Arial"/>
                <w:color w:val="000000"/>
                <w:sz w:val="20"/>
                <w:szCs w:val="20"/>
              </w:rPr>
              <w:t>0.7824 (0.3848, 1.591)</w:t>
            </w:r>
          </w:p>
        </w:tc>
        <w:tc>
          <w:tcPr>
            <w:tcW w:w="1576" w:type="dxa"/>
            <w:vAlign w:val="bottom"/>
          </w:tcPr>
          <w:p w14:paraId="62CE918C" w14:textId="77777777" w:rsidR="003D62E5" w:rsidRPr="00E9633C" w:rsidRDefault="003D62E5" w:rsidP="003D62E5">
            <w:pPr>
              <w:jc w:val="center"/>
              <w:rPr>
                <w:rFonts w:ascii="Arial" w:hAnsi="Arial" w:cs="Arial"/>
                <w:sz w:val="20"/>
                <w:szCs w:val="20"/>
              </w:rPr>
            </w:pPr>
            <w:r w:rsidRPr="00E9633C">
              <w:rPr>
                <w:rFonts w:ascii="Arial" w:hAnsi="Arial" w:cs="Arial"/>
                <w:color w:val="000000"/>
                <w:sz w:val="20"/>
                <w:szCs w:val="20"/>
              </w:rPr>
              <w:t>0.4978</w:t>
            </w:r>
          </w:p>
        </w:tc>
      </w:tr>
      <w:tr w:rsidR="003D62E5" w:rsidRPr="00E9633C" w14:paraId="0A49E6CF" w14:textId="77777777" w:rsidTr="003D62E5">
        <w:trPr>
          <w:trHeight w:val="258"/>
        </w:trPr>
        <w:tc>
          <w:tcPr>
            <w:tcW w:w="4508" w:type="dxa"/>
            <w:vAlign w:val="center"/>
          </w:tcPr>
          <w:p w14:paraId="43B5B8B4" w14:textId="7744FD7E" w:rsidR="003D62E5" w:rsidRPr="00E9633C" w:rsidRDefault="003D62E5" w:rsidP="003D62E5">
            <w:pPr>
              <w:rPr>
                <w:rFonts w:ascii="Arial" w:hAnsi="Arial" w:cs="Arial"/>
                <w:sz w:val="20"/>
                <w:szCs w:val="20"/>
              </w:rPr>
            </w:pPr>
            <w:r w:rsidRPr="00E9633C">
              <w:rPr>
                <w:rFonts w:ascii="Arial" w:hAnsi="Arial" w:cs="Arial"/>
                <w:sz w:val="20"/>
                <w:szCs w:val="20"/>
              </w:rPr>
              <w:t>p53 sum intensity in nuclei</w:t>
            </w:r>
            <w:r w:rsidR="00D8299C" w:rsidRPr="00E9633C">
              <w:rPr>
                <w:rFonts w:ascii="Arial" w:hAnsi="Arial" w:cs="Arial"/>
                <w:sz w:val="20"/>
                <w:szCs w:val="20"/>
                <w:vertAlign w:val="superscript"/>
              </w:rPr>
              <w:t>1</w:t>
            </w:r>
          </w:p>
        </w:tc>
        <w:tc>
          <w:tcPr>
            <w:tcW w:w="3317" w:type="dxa"/>
            <w:vAlign w:val="bottom"/>
          </w:tcPr>
          <w:p w14:paraId="2D7BA8C2" w14:textId="77777777" w:rsidR="003D62E5" w:rsidRPr="00E9633C" w:rsidRDefault="003D62E5" w:rsidP="003D62E5">
            <w:pPr>
              <w:jc w:val="center"/>
              <w:rPr>
                <w:rFonts w:ascii="Arial" w:hAnsi="Arial" w:cs="Arial"/>
                <w:sz w:val="20"/>
                <w:szCs w:val="20"/>
              </w:rPr>
            </w:pPr>
            <w:r w:rsidRPr="00E9633C">
              <w:rPr>
                <w:rFonts w:ascii="Arial" w:hAnsi="Arial" w:cs="Arial"/>
                <w:color w:val="000000"/>
                <w:sz w:val="20"/>
                <w:szCs w:val="20"/>
              </w:rPr>
              <w:t>2.5425 (</w:t>
            </w:r>
            <w:r w:rsidRPr="00E9633C">
              <w:rPr>
                <w:rFonts w:ascii="Arial" w:eastAsia="Times New Roman" w:hAnsi="Arial" w:cs="Arial"/>
                <w:color w:val="000000"/>
                <w:sz w:val="20"/>
                <w:szCs w:val="20"/>
              </w:rPr>
              <w:t>2.3510E-05</w:t>
            </w:r>
            <w:r w:rsidRPr="00E9633C">
              <w:rPr>
                <w:rFonts w:ascii="Arial" w:hAnsi="Arial" w:cs="Arial"/>
                <w:color w:val="000000"/>
                <w:sz w:val="20"/>
                <w:szCs w:val="20"/>
              </w:rPr>
              <w:t xml:space="preserve">, </w:t>
            </w:r>
            <w:r w:rsidRPr="00E9633C">
              <w:rPr>
                <w:rFonts w:ascii="Arial" w:eastAsia="Times New Roman" w:hAnsi="Arial" w:cs="Arial"/>
                <w:color w:val="000000"/>
                <w:sz w:val="20"/>
                <w:szCs w:val="20"/>
              </w:rPr>
              <w:t>2.7490E+05</w:t>
            </w:r>
            <w:r w:rsidRPr="00E9633C">
              <w:rPr>
                <w:rFonts w:ascii="Arial" w:hAnsi="Arial" w:cs="Arial"/>
                <w:color w:val="000000"/>
                <w:sz w:val="20"/>
                <w:szCs w:val="20"/>
              </w:rPr>
              <w:t>)</w:t>
            </w:r>
          </w:p>
        </w:tc>
        <w:tc>
          <w:tcPr>
            <w:tcW w:w="1576" w:type="dxa"/>
            <w:vAlign w:val="bottom"/>
          </w:tcPr>
          <w:p w14:paraId="7C05EC5F" w14:textId="77777777" w:rsidR="003D62E5" w:rsidRPr="00E9633C" w:rsidRDefault="003D62E5" w:rsidP="003D62E5">
            <w:pPr>
              <w:jc w:val="center"/>
              <w:rPr>
                <w:rFonts w:ascii="Arial" w:hAnsi="Arial" w:cs="Arial"/>
                <w:sz w:val="20"/>
                <w:szCs w:val="20"/>
              </w:rPr>
            </w:pPr>
            <w:r w:rsidRPr="00E9633C">
              <w:rPr>
                <w:rFonts w:ascii="Arial" w:hAnsi="Arial" w:cs="Arial"/>
                <w:color w:val="000000"/>
                <w:sz w:val="20"/>
                <w:szCs w:val="20"/>
              </w:rPr>
              <w:t>0.8746</w:t>
            </w:r>
          </w:p>
        </w:tc>
      </w:tr>
      <w:tr w:rsidR="003D62E5" w:rsidRPr="00E9633C" w14:paraId="3400EBE9" w14:textId="77777777" w:rsidTr="003D62E5">
        <w:trPr>
          <w:trHeight w:val="29"/>
        </w:trPr>
        <w:tc>
          <w:tcPr>
            <w:tcW w:w="4508" w:type="dxa"/>
            <w:shd w:val="clear" w:color="auto" w:fill="auto"/>
            <w:vAlign w:val="center"/>
          </w:tcPr>
          <w:p w14:paraId="5028550F" w14:textId="77777777" w:rsidR="003D62E5" w:rsidRPr="00E9633C" w:rsidRDefault="003D62E5" w:rsidP="003D62E5">
            <w:pPr>
              <w:rPr>
                <w:rFonts w:ascii="Arial" w:hAnsi="Arial" w:cs="Arial"/>
                <w:sz w:val="20"/>
                <w:szCs w:val="20"/>
              </w:rPr>
            </w:pPr>
            <w:r w:rsidRPr="00E9633C">
              <w:rPr>
                <w:rFonts w:ascii="Arial" w:hAnsi="Arial" w:cs="Arial"/>
                <w:sz w:val="20"/>
                <w:szCs w:val="20"/>
              </w:rPr>
              <w:t>Predicted Risk Classes: Int-Risk vs. Low-Risk</w:t>
            </w:r>
          </w:p>
        </w:tc>
        <w:tc>
          <w:tcPr>
            <w:tcW w:w="3317" w:type="dxa"/>
            <w:shd w:val="clear" w:color="auto" w:fill="auto"/>
            <w:vAlign w:val="bottom"/>
          </w:tcPr>
          <w:p w14:paraId="365413B1" w14:textId="77777777" w:rsidR="003D62E5" w:rsidRPr="00E9633C" w:rsidRDefault="003D62E5" w:rsidP="003D62E5">
            <w:pPr>
              <w:jc w:val="center"/>
              <w:rPr>
                <w:rFonts w:ascii="Arial" w:hAnsi="Arial" w:cs="Arial"/>
                <w:sz w:val="20"/>
                <w:szCs w:val="20"/>
              </w:rPr>
            </w:pPr>
            <w:r w:rsidRPr="00E9633C">
              <w:rPr>
                <w:rFonts w:ascii="Arial" w:hAnsi="Arial" w:cs="Arial"/>
                <w:color w:val="000000"/>
                <w:sz w:val="20"/>
                <w:szCs w:val="20"/>
              </w:rPr>
              <w:t>1.6125 (0.7293, 3.565)</w:t>
            </w:r>
          </w:p>
        </w:tc>
        <w:tc>
          <w:tcPr>
            <w:tcW w:w="1576" w:type="dxa"/>
            <w:shd w:val="clear" w:color="auto" w:fill="auto"/>
            <w:vAlign w:val="bottom"/>
          </w:tcPr>
          <w:p w14:paraId="52842EB6" w14:textId="77777777" w:rsidR="003D62E5" w:rsidRPr="00E9633C" w:rsidRDefault="003D62E5" w:rsidP="003D62E5">
            <w:pPr>
              <w:jc w:val="center"/>
              <w:rPr>
                <w:rFonts w:ascii="Arial" w:hAnsi="Arial" w:cs="Arial"/>
                <w:sz w:val="20"/>
                <w:szCs w:val="20"/>
              </w:rPr>
            </w:pPr>
            <w:r w:rsidRPr="00E9633C">
              <w:rPr>
                <w:rFonts w:ascii="Arial" w:hAnsi="Arial" w:cs="Arial"/>
                <w:color w:val="000000"/>
                <w:sz w:val="20"/>
                <w:szCs w:val="20"/>
              </w:rPr>
              <w:t>0.2379</w:t>
            </w:r>
          </w:p>
        </w:tc>
      </w:tr>
      <w:tr w:rsidR="003D62E5" w:rsidRPr="00E9633C" w14:paraId="324F0DD6" w14:textId="77777777" w:rsidTr="003D62E5">
        <w:trPr>
          <w:trHeight w:val="29"/>
        </w:trPr>
        <w:tc>
          <w:tcPr>
            <w:tcW w:w="4508" w:type="dxa"/>
            <w:shd w:val="clear" w:color="auto" w:fill="auto"/>
            <w:vAlign w:val="center"/>
          </w:tcPr>
          <w:p w14:paraId="226723C9" w14:textId="77777777" w:rsidR="003D62E5" w:rsidRPr="00E9633C" w:rsidRDefault="003D62E5" w:rsidP="003D62E5">
            <w:pPr>
              <w:rPr>
                <w:rFonts w:ascii="Arial" w:hAnsi="Arial" w:cs="Arial"/>
                <w:sz w:val="20"/>
                <w:szCs w:val="20"/>
              </w:rPr>
            </w:pPr>
            <w:r w:rsidRPr="00E9633C">
              <w:rPr>
                <w:rFonts w:ascii="Arial" w:hAnsi="Arial" w:cs="Arial"/>
                <w:bCs/>
                <w:sz w:val="20"/>
                <w:szCs w:val="20"/>
              </w:rPr>
              <w:t>Predicted Risk Classes: High-Risk vs. Low-Risk</w:t>
            </w:r>
          </w:p>
        </w:tc>
        <w:tc>
          <w:tcPr>
            <w:tcW w:w="3317" w:type="dxa"/>
            <w:shd w:val="clear" w:color="auto" w:fill="auto"/>
            <w:vAlign w:val="bottom"/>
          </w:tcPr>
          <w:p w14:paraId="69D49D33" w14:textId="77777777" w:rsidR="003D62E5" w:rsidRPr="00E9633C" w:rsidRDefault="003D62E5" w:rsidP="003D62E5">
            <w:pPr>
              <w:jc w:val="center"/>
              <w:rPr>
                <w:rFonts w:ascii="Arial" w:hAnsi="Arial" w:cs="Arial"/>
                <w:sz w:val="20"/>
                <w:szCs w:val="20"/>
              </w:rPr>
            </w:pPr>
            <w:r w:rsidRPr="00E9633C">
              <w:rPr>
                <w:rFonts w:ascii="Arial" w:hAnsi="Arial" w:cs="Arial"/>
                <w:color w:val="000000"/>
                <w:sz w:val="20"/>
                <w:szCs w:val="20"/>
              </w:rPr>
              <w:t>4.6255 (2.418, 8.85)</w:t>
            </w:r>
          </w:p>
        </w:tc>
        <w:tc>
          <w:tcPr>
            <w:tcW w:w="1576" w:type="dxa"/>
            <w:shd w:val="clear" w:color="auto" w:fill="auto"/>
            <w:vAlign w:val="bottom"/>
          </w:tcPr>
          <w:p w14:paraId="1C9F9CCC" w14:textId="77777777" w:rsidR="003D62E5" w:rsidRPr="00E9633C" w:rsidRDefault="003D62E5" w:rsidP="003D62E5">
            <w:pPr>
              <w:jc w:val="center"/>
              <w:rPr>
                <w:rFonts w:ascii="Arial" w:hAnsi="Arial" w:cs="Arial"/>
                <w:sz w:val="20"/>
                <w:szCs w:val="20"/>
              </w:rPr>
            </w:pPr>
            <w:r w:rsidRPr="00E9633C">
              <w:rPr>
                <w:rFonts w:ascii="Arial" w:hAnsi="Arial" w:cs="Arial"/>
                <w:color w:val="000000"/>
                <w:sz w:val="20"/>
                <w:szCs w:val="20"/>
              </w:rPr>
              <w:t>&lt;0.0001</w:t>
            </w:r>
          </w:p>
        </w:tc>
      </w:tr>
      <w:tr w:rsidR="00D8299C" w:rsidRPr="00E9633C" w14:paraId="75DDA00C" w14:textId="77777777" w:rsidTr="007E1F7C">
        <w:trPr>
          <w:trHeight w:val="29"/>
        </w:trPr>
        <w:tc>
          <w:tcPr>
            <w:tcW w:w="9401" w:type="dxa"/>
            <w:gridSpan w:val="3"/>
            <w:shd w:val="clear" w:color="auto" w:fill="auto"/>
            <w:vAlign w:val="center"/>
          </w:tcPr>
          <w:p w14:paraId="0DD3151D" w14:textId="77777777" w:rsidR="00D8299C" w:rsidRPr="00E9633C" w:rsidRDefault="00D8299C" w:rsidP="003D62E5">
            <w:pPr>
              <w:jc w:val="center"/>
              <w:rPr>
                <w:rFonts w:ascii="Arial" w:hAnsi="Arial" w:cs="Arial"/>
                <w:color w:val="000000"/>
                <w:sz w:val="20"/>
                <w:szCs w:val="20"/>
              </w:rPr>
            </w:pPr>
          </w:p>
        </w:tc>
      </w:tr>
      <w:tr w:rsidR="00D8299C" w:rsidRPr="00E9633C" w14:paraId="4D89B0A4" w14:textId="77777777" w:rsidTr="00BC5209">
        <w:trPr>
          <w:trHeight w:val="29"/>
        </w:trPr>
        <w:tc>
          <w:tcPr>
            <w:tcW w:w="9401" w:type="dxa"/>
            <w:gridSpan w:val="3"/>
            <w:shd w:val="clear" w:color="auto" w:fill="auto"/>
            <w:vAlign w:val="center"/>
          </w:tcPr>
          <w:p w14:paraId="31C4AE90" w14:textId="02ECC5DD" w:rsidR="00D8299C" w:rsidRPr="00E9633C" w:rsidRDefault="00D8299C" w:rsidP="00D8299C">
            <w:pPr>
              <w:jc w:val="center"/>
              <w:rPr>
                <w:rFonts w:ascii="Arial" w:hAnsi="Arial" w:cs="Arial"/>
                <w:i/>
                <w:iCs/>
                <w:sz w:val="20"/>
                <w:szCs w:val="20"/>
              </w:rPr>
            </w:pPr>
            <w:r w:rsidRPr="00E9633C">
              <w:rPr>
                <w:rFonts w:ascii="Arial" w:hAnsi="Arial" w:cs="Arial"/>
                <w:i/>
                <w:iCs/>
                <w:sz w:val="20"/>
                <w:szCs w:val="20"/>
              </w:rPr>
              <w:t>Multivaria</w:t>
            </w:r>
            <w:r w:rsidR="000036E2" w:rsidRPr="00E9633C">
              <w:rPr>
                <w:rFonts w:ascii="Arial" w:hAnsi="Arial" w:cs="Arial"/>
                <w:i/>
                <w:iCs/>
                <w:sz w:val="20"/>
                <w:szCs w:val="20"/>
              </w:rPr>
              <w:t>bl</w:t>
            </w:r>
            <w:r w:rsidRPr="00E9633C">
              <w:rPr>
                <w:rFonts w:ascii="Arial" w:hAnsi="Arial" w:cs="Arial"/>
                <w:i/>
                <w:iCs/>
                <w:sz w:val="20"/>
                <w:szCs w:val="20"/>
              </w:rPr>
              <w:t xml:space="preserve">e Analysis of Clinical Variables, p53 (categorical variable) </w:t>
            </w:r>
          </w:p>
          <w:p w14:paraId="0D6A9959" w14:textId="6169A2E0" w:rsidR="00D8299C" w:rsidRPr="00E9633C" w:rsidRDefault="00D8299C" w:rsidP="00D8299C">
            <w:pPr>
              <w:jc w:val="center"/>
              <w:rPr>
                <w:rFonts w:ascii="Arial" w:hAnsi="Arial" w:cs="Arial"/>
                <w:color w:val="000000"/>
                <w:sz w:val="20"/>
                <w:szCs w:val="20"/>
              </w:rPr>
            </w:pPr>
            <w:r w:rsidRPr="00E9633C">
              <w:rPr>
                <w:rFonts w:ascii="Arial" w:hAnsi="Arial" w:cs="Arial"/>
                <w:i/>
                <w:iCs/>
                <w:sz w:val="20"/>
                <w:szCs w:val="20"/>
              </w:rPr>
              <w:t>and Risk Classes Produced by the Risk Prediction Test</w:t>
            </w:r>
          </w:p>
        </w:tc>
      </w:tr>
      <w:tr w:rsidR="00D8299C" w:rsidRPr="00E9633C" w14:paraId="78D1B2DC" w14:textId="77777777" w:rsidTr="000B5A2A">
        <w:trPr>
          <w:trHeight w:val="29"/>
        </w:trPr>
        <w:tc>
          <w:tcPr>
            <w:tcW w:w="4508" w:type="dxa"/>
            <w:shd w:val="clear" w:color="auto" w:fill="auto"/>
            <w:vAlign w:val="center"/>
          </w:tcPr>
          <w:p w14:paraId="685FA233" w14:textId="41058138" w:rsidR="00D8299C" w:rsidRPr="00E9633C" w:rsidRDefault="00D8299C" w:rsidP="00D8299C">
            <w:pPr>
              <w:rPr>
                <w:rFonts w:ascii="Arial" w:hAnsi="Arial" w:cs="Arial"/>
                <w:bCs/>
                <w:sz w:val="20"/>
                <w:szCs w:val="20"/>
              </w:rPr>
            </w:pPr>
            <w:r w:rsidRPr="00E9633C">
              <w:rPr>
                <w:rFonts w:ascii="Arial" w:hAnsi="Arial" w:cs="Arial"/>
                <w:b/>
                <w:bCs/>
                <w:sz w:val="20"/>
                <w:szCs w:val="20"/>
              </w:rPr>
              <w:t>Variable</w:t>
            </w:r>
          </w:p>
        </w:tc>
        <w:tc>
          <w:tcPr>
            <w:tcW w:w="3317" w:type="dxa"/>
            <w:shd w:val="clear" w:color="auto" w:fill="auto"/>
            <w:vAlign w:val="center"/>
          </w:tcPr>
          <w:p w14:paraId="37DE6E2C" w14:textId="0B3B2022" w:rsidR="00D8299C" w:rsidRPr="00E9633C" w:rsidRDefault="00D8299C" w:rsidP="00D8299C">
            <w:pPr>
              <w:jc w:val="center"/>
              <w:rPr>
                <w:rFonts w:ascii="Arial" w:hAnsi="Arial" w:cs="Arial"/>
                <w:color w:val="000000"/>
                <w:sz w:val="20"/>
                <w:szCs w:val="20"/>
              </w:rPr>
            </w:pPr>
            <w:r w:rsidRPr="00E9633C">
              <w:rPr>
                <w:rFonts w:ascii="Arial" w:hAnsi="Arial" w:cs="Arial"/>
                <w:b/>
                <w:bCs/>
                <w:sz w:val="20"/>
                <w:szCs w:val="20"/>
              </w:rPr>
              <w:t>HR (95% C.I.)</w:t>
            </w:r>
          </w:p>
        </w:tc>
        <w:tc>
          <w:tcPr>
            <w:tcW w:w="1576" w:type="dxa"/>
            <w:shd w:val="clear" w:color="auto" w:fill="auto"/>
            <w:vAlign w:val="center"/>
          </w:tcPr>
          <w:p w14:paraId="6B355A2F" w14:textId="764C6335" w:rsidR="00D8299C" w:rsidRPr="00E9633C" w:rsidRDefault="00D8299C" w:rsidP="00D8299C">
            <w:pPr>
              <w:jc w:val="center"/>
              <w:rPr>
                <w:rFonts w:ascii="Arial" w:hAnsi="Arial" w:cs="Arial"/>
                <w:color w:val="000000"/>
                <w:sz w:val="20"/>
                <w:szCs w:val="20"/>
              </w:rPr>
            </w:pPr>
            <w:r w:rsidRPr="00E9633C">
              <w:rPr>
                <w:rFonts w:ascii="Arial" w:hAnsi="Arial" w:cs="Arial"/>
                <w:b/>
                <w:bCs/>
                <w:sz w:val="20"/>
                <w:szCs w:val="20"/>
              </w:rPr>
              <w:t>p value</w:t>
            </w:r>
          </w:p>
        </w:tc>
      </w:tr>
      <w:tr w:rsidR="000B5A2A" w:rsidRPr="00E9633C" w14:paraId="05F0FBD4" w14:textId="77777777" w:rsidTr="003D62E5">
        <w:trPr>
          <w:trHeight w:val="29"/>
        </w:trPr>
        <w:tc>
          <w:tcPr>
            <w:tcW w:w="4508" w:type="dxa"/>
            <w:shd w:val="clear" w:color="auto" w:fill="auto"/>
            <w:vAlign w:val="center"/>
          </w:tcPr>
          <w:p w14:paraId="7008E043" w14:textId="5D497478" w:rsidR="000B5A2A" w:rsidRPr="00E9633C" w:rsidRDefault="000B5A2A" w:rsidP="000B5A2A">
            <w:pPr>
              <w:rPr>
                <w:rFonts w:ascii="Arial" w:hAnsi="Arial" w:cs="Arial"/>
                <w:bCs/>
                <w:sz w:val="20"/>
                <w:szCs w:val="20"/>
              </w:rPr>
            </w:pPr>
            <w:r w:rsidRPr="00E9633C">
              <w:rPr>
                <w:rFonts w:ascii="Arial" w:hAnsi="Arial" w:cs="Arial"/>
                <w:sz w:val="20"/>
                <w:szCs w:val="20"/>
              </w:rPr>
              <w:t>Age</w:t>
            </w:r>
          </w:p>
        </w:tc>
        <w:tc>
          <w:tcPr>
            <w:tcW w:w="3317" w:type="dxa"/>
            <w:shd w:val="clear" w:color="auto" w:fill="auto"/>
            <w:vAlign w:val="bottom"/>
          </w:tcPr>
          <w:p w14:paraId="1F904FF2" w14:textId="7720DF85" w:rsidR="000B5A2A" w:rsidRPr="00E9633C" w:rsidRDefault="000B5A2A" w:rsidP="000B5A2A">
            <w:pPr>
              <w:jc w:val="center"/>
              <w:rPr>
                <w:rFonts w:ascii="Arial" w:hAnsi="Arial" w:cs="Arial"/>
                <w:color w:val="000000"/>
                <w:sz w:val="20"/>
                <w:szCs w:val="20"/>
              </w:rPr>
            </w:pPr>
            <w:proofErr w:type="gramStart"/>
            <w:r w:rsidRPr="00E9633C">
              <w:rPr>
                <w:rFonts w:ascii="Arial" w:eastAsia="Times New Roman" w:hAnsi="Arial" w:cs="Arial"/>
                <w:color w:val="000000"/>
                <w:sz w:val="20"/>
                <w:szCs w:val="20"/>
              </w:rPr>
              <w:t>1.0267  (</w:t>
            </w:r>
            <w:proofErr w:type="gramEnd"/>
            <w:r w:rsidRPr="00E9633C">
              <w:rPr>
                <w:rFonts w:ascii="Arial" w:eastAsia="Times New Roman" w:hAnsi="Arial" w:cs="Arial"/>
                <w:color w:val="000000"/>
                <w:sz w:val="20"/>
                <w:szCs w:val="20"/>
              </w:rPr>
              <w:t>1.0009 ,  1.053)</w:t>
            </w:r>
          </w:p>
        </w:tc>
        <w:tc>
          <w:tcPr>
            <w:tcW w:w="1576" w:type="dxa"/>
            <w:shd w:val="clear" w:color="auto" w:fill="auto"/>
            <w:vAlign w:val="bottom"/>
          </w:tcPr>
          <w:p w14:paraId="7E57B613" w14:textId="32331952" w:rsidR="000B5A2A" w:rsidRPr="00E9633C" w:rsidRDefault="000B5A2A" w:rsidP="000B5A2A">
            <w:pPr>
              <w:jc w:val="center"/>
              <w:rPr>
                <w:rFonts w:ascii="Arial" w:hAnsi="Arial" w:cs="Arial"/>
                <w:color w:val="000000"/>
                <w:sz w:val="20"/>
                <w:szCs w:val="20"/>
              </w:rPr>
            </w:pPr>
            <w:r w:rsidRPr="00E9633C">
              <w:rPr>
                <w:rFonts w:ascii="Arial" w:hAnsi="Arial" w:cs="Arial"/>
                <w:color w:val="000000"/>
                <w:sz w:val="20"/>
                <w:szCs w:val="20"/>
              </w:rPr>
              <w:t>0.0428</w:t>
            </w:r>
          </w:p>
        </w:tc>
      </w:tr>
      <w:tr w:rsidR="000B5A2A" w:rsidRPr="00E9633C" w14:paraId="1E1A6489" w14:textId="77777777" w:rsidTr="003D62E5">
        <w:trPr>
          <w:trHeight w:val="29"/>
        </w:trPr>
        <w:tc>
          <w:tcPr>
            <w:tcW w:w="4508" w:type="dxa"/>
            <w:shd w:val="clear" w:color="auto" w:fill="auto"/>
            <w:vAlign w:val="center"/>
          </w:tcPr>
          <w:p w14:paraId="196FB907" w14:textId="6F0541E3" w:rsidR="000B5A2A" w:rsidRPr="00E9633C" w:rsidRDefault="000B5A2A" w:rsidP="000B5A2A">
            <w:pPr>
              <w:rPr>
                <w:rFonts w:ascii="Arial" w:hAnsi="Arial" w:cs="Arial"/>
                <w:bCs/>
                <w:sz w:val="20"/>
                <w:szCs w:val="20"/>
              </w:rPr>
            </w:pPr>
            <w:r w:rsidRPr="00E9633C">
              <w:rPr>
                <w:rFonts w:ascii="Arial" w:hAnsi="Arial" w:cs="Arial"/>
                <w:sz w:val="20"/>
                <w:szCs w:val="20"/>
              </w:rPr>
              <w:t>Sex (M vs. F)</w:t>
            </w:r>
          </w:p>
        </w:tc>
        <w:tc>
          <w:tcPr>
            <w:tcW w:w="3317" w:type="dxa"/>
            <w:shd w:val="clear" w:color="auto" w:fill="auto"/>
            <w:vAlign w:val="bottom"/>
          </w:tcPr>
          <w:p w14:paraId="6E1A0F3E" w14:textId="432BE53B" w:rsidR="000B5A2A" w:rsidRPr="00E9633C" w:rsidRDefault="000B5A2A" w:rsidP="000B5A2A">
            <w:pPr>
              <w:jc w:val="center"/>
              <w:rPr>
                <w:rFonts w:ascii="Arial" w:hAnsi="Arial" w:cs="Arial"/>
                <w:color w:val="000000"/>
                <w:sz w:val="20"/>
                <w:szCs w:val="20"/>
              </w:rPr>
            </w:pPr>
            <w:r w:rsidRPr="00E9633C">
              <w:rPr>
                <w:rFonts w:ascii="Arial" w:eastAsia="Times New Roman" w:hAnsi="Arial" w:cs="Arial"/>
                <w:color w:val="000000"/>
                <w:sz w:val="20"/>
                <w:szCs w:val="20"/>
              </w:rPr>
              <w:t> </w:t>
            </w:r>
            <w:proofErr w:type="gramStart"/>
            <w:r w:rsidRPr="00E9633C">
              <w:rPr>
                <w:rFonts w:ascii="Arial" w:eastAsia="Times New Roman" w:hAnsi="Arial" w:cs="Arial"/>
                <w:color w:val="000000"/>
                <w:sz w:val="20"/>
                <w:szCs w:val="20"/>
              </w:rPr>
              <w:t>3.5223  (</w:t>
            </w:r>
            <w:proofErr w:type="gramEnd"/>
            <w:r w:rsidRPr="00E9633C">
              <w:rPr>
                <w:rFonts w:ascii="Arial" w:eastAsia="Times New Roman" w:hAnsi="Arial" w:cs="Arial"/>
                <w:color w:val="000000"/>
                <w:sz w:val="20"/>
                <w:szCs w:val="20"/>
              </w:rPr>
              <w:t>1.3704 ,  9.053)</w:t>
            </w:r>
          </w:p>
        </w:tc>
        <w:tc>
          <w:tcPr>
            <w:tcW w:w="1576" w:type="dxa"/>
            <w:shd w:val="clear" w:color="auto" w:fill="auto"/>
            <w:vAlign w:val="bottom"/>
          </w:tcPr>
          <w:p w14:paraId="78C7A539" w14:textId="7914E9C5" w:rsidR="000B5A2A" w:rsidRPr="00E9633C" w:rsidRDefault="000B5A2A" w:rsidP="000B5A2A">
            <w:pPr>
              <w:jc w:val="center"/>
              <w:rPr>
                <w:rFonts w:ascii="Arial" w:hAnsi="Arial" w:cs="Arial"/>
                <w:color w:val="000000"/>
                <w:sz w:val="20"/>
                <w:szCs w:val="20"/>
              </w:rPr>
            </w:pPr>
            <w:r w:rsidRPr="00E9633C">
              <w:rPr>
                <w:rFonts w:ascii="Arial" w:hAnsi="Arial" w:cs="Arial"/>
                <w:color w:val="000000"/>
                <w:sz w:val="20"/>
                <w:szCs w:val="20"/>
              </w:rPr>
              <w:t>0.00895</w:t>
            </w:r>
          </w:p>
        </w:tc>
      </w:tr>
      <w:tr w:rsidR="000B5A2A" w:rsidRPr="00E9633C" w14:paraId="5114ED67" w14:textId="77777777" w:rsidTr="003D62E5">
        <w:trPr>
          <w:trHeight w:val="29"/>
        </w:trPr>
        <w:tc>
          <w:tcPr>
            <w:tcW w:w="4508" w:type="dxa"/>
            <w:shd w:val="clear" w:color="auto" w:fill="auto"/>
            <w:vAlign w:val="center"/>
          </w:tcPr>
          <w:p w14:paraId="14B9CBBE" w14:textId="50DD4740" w:rsidR="000B5A2A" w:rsidRPr="00E9633C" w:rsidRDefault="000B5A2A" w:rsidP="000B5A2A">
            <w:pPr>
              <w:rPr>
                <w:rFonts w:ascii="Arial" w:hAnsi="Arial" w:cs="Arial"/>
                <w:bCs/>
                <w:sz w:val="20"/>
                <w:szCs w:val="20"/>
              </w:rPr>
            </w:pPr>
            <w:r w:rsidRPr="00E9633C">
              <w:rPr>
                <w:rFonts w:ascii="Arial" w:hAnsi="Arial" w:cs="Arial"/>
                <w:sz w:val="20"/>
                <w:szCs w:val="20"/>
              </w:rPr>
              <w:t>Segment length (S vs. L)</w:t>
            </w:r>
          </w:p>
        </w:tc>
        <w:tc>
          <w:tcPr>
            <w:tcW w:w="3317" w:type="dxa"/>
            <w:shd w:val="clear" w:color="auto" w:fill="auto"/>
            <w:vAlign w:val="bottom"/>
          </w:tcPr>
          <w:p w14:paraId="36C9E80E" w14:textId="0605E247" w:rsidR="000B5A2A" w:rsidRPr="00E9633C" w:rsidRDefault="000B5A2A" w:rsidP="000B5A2A">
            <w:pPr>
              <w:jc w:val="center"/>
              <w:rPr>
                <w:rFonts w:ascii="Arial" w:hAnsi="Arial" w:cs="Arial"/>
                <w:color w:val="000000"/>
                <w:sz w:val="20"/>
                <w:szCs w:val="20"/>
              </w:rPr>
            </w:pPr>
            <w:r w:rsidRPr="00E9633C">
              <w:rPr>
                <w:rFonts w:ascii="Arial" w:eastAsia="Times New Roman" w:hAnsi="Arial" w:cs="Arial"/>
                <w:color w:val="000000"/>
                <w:sz w:val="20"/>
                <w:szCs w:val="20"/>
              </w:rPr>
              <w:t> </w:t>
            </w:r>
            <w:proofErr w:type="gramStart"/>
            <w:r w:rsidRPr="00E9633C">
              <w:rPr>
                <w:rFonts w:ascii="Arial" w:eastAsia="Times New Roman" w:hAnsi="Arial" w:cs="Arial"/>
                <w:color w:val="000000"/>
                <w:sz w:val="20"/>
                <w:szCs w:val="20"/>
              </w:rPr>
              <w:t>0.5608  (</w:t>
            </w:r>
            <w:proofErr w:type="gramEnd"/>
            <w:r w:rsidRPr="00E9633C">
              <w:rPr>
                <w:rFonts w:ascii="Arial" w:eastAsia="Times New Roman" w:hAnsi="Arial" w:cs="Arial"/>
                <w:color w:val="000000"/>
                <w:sz w:val="20"/>
                <w:szCs w:val="20"/>
              </w:rPr>
              <w:t>0.3076 ,  1.022)</w:t>
            </w:r>
          </w:p>
        </w:tc>
        <w:tc>
          <w:tcPr>
            <w:tcW w:w="1576" w:type="dxa"/>
            <w:shd w:val="clear" w:color="auto" w:fill="auto"/>
            <w:vAlign w:val="bottom"/>
          </w:tcPr>
          <w:p w14:paraId="7AD8251E" w14:textId="1FE1EF4D" w:rsidR="000B5A2A" w:rsidRPr="00E9633C" w:rsidRDefault="000B5A2A" w:rsidP="000B5A2A">
            <w:pPr>
              <w:jc w:val="center"/>
              <w:rPr>
                <w:rFonts w:ascii="Arial" w:hAnsi="Arial" w:cs="Arial"/>
                <w:color w:val="000000"/>
                <w:sz w:val="20"/>
                <w:szCs w:val="20"/>
              </w:rPr>
            </w:pPr>
            <w:r w:rsidRPr="00E9633C">
              <w:rPr>
                <w:rFonts w:ascii="Arial" w:hAnsi="Arial" w:cs="Arial"/>
                <w:color w:val="000000"/>
                <w:sz w:val="20"/>
                <w:szCs w:val="20"/>
              </w:rPr>
              <w:t>0.05899</w:t>
            </w:r>
          </w:p>
        </w:tc>
      </w:tr>
      <w:tr w:rsidR="000B5A2A" w:rsidRPr="00E9633C" w14:paraId="1AA0549D" w14:textId="77777777" w:rsidTr="003D62E5">
        <w:trPr>
          <w:trHeight w:val="29"/>
        </w:trPr>
        <w:tc>
          <w:tcPr>
            <w:tcW w:w="4508" w:type="dxa"/>
            <w:shd w:val="clear" w:color="auto" w:fill="auto"/>
            <w:vAlign w:val="center"/>
          </w:tcPr>
          <w:p w14:paraId="53F4D0D8" w14:textId="3E4E99F1" w:rsidR="000B5A2A" w:rsidRPr="00E9633C" w:rsidRDefault="000B5A2A" w:rsidP="000B5A2A">
            <w:pPr>
              <w:rPr>
                <w:rFonts w:ascii="Arial" w:hAnsi="Arial" w:cs="Arial"/>
                <w:bCs/>
                <w:sz w:val="20"/>
                <w:szCs w:val="20"/>
              </w:rPr>
            </w:pPr>
            <w:r w:rsidRPr="00E9633C">
              <w:rPr>
                <w:rFonts w:ascii="Arial" w:hAnsi="Arial" w:cs="Arial"/>
                <w:sz w:val="20"/>
                <w:szCs w:val="20"/>
              </w:rPr>
              <w:t>Hiatal hernia (Present vs. Absent)</w:t>
            </w:r>
          </w:p>
        </w:tc>
        <w:tc>
          <w:tcPr>
            <w:tcW w:w="3317" w:type="dxa"/>
            <w:shd w:val="clear" w:color="auto" w:fill="auto"/>
            <w:vAlign w:val="bottom"/>
          </w:tcPr>
          <w:p w14:paraId="71FCC3CF" w14:textId="2AC6691A" w:rsidR="000B5A2A" w:rsidRPr="00E9633C" w:rsidRDefault="000B5A2A" w:rsidP="000B5A2A">
            <w:pPr>
              <w:jc w:val="center"/>
              <w:rPr>
                <w:rFonts w:ascii="Arial" w:hAnsi="Arial" w:cs="Arial"/>
                <w:color w:val="000000"/>
                <w:sz w:val="20"/>
                <w:szCs w:val="20"/>
              </w:rPr>
            </w:pPr>
            <w:proofErr w:type="gramStart"/>
            <w:r w:rsidRPr="00E9633C">
              <w:rPr>
                <w:rFonts w:ascii="Arial" w:eastAsia="Times New Roman" w:hAnsi="Arial" w:cs="Arial"/>
                <w:color w:val="000000"/>
                <w:sz w:val="20"/>
                <w:szCs w:val="20"/>
              </w:rPr>
              <w:t>0.7746  (</w:t>
            </w:r>
            <w:proofErr w:type="gramEnd"/>
            <w:r w:rsidRPr="00E9633C">
              <w:rPr>
                <w:rFonts w:ascii="Arial" w:eastAsia="Times New Roman" w:hAnsi="Arial" w:cs="Arial"/>
                <w:color w:val="000000"/>
                <w:sz w:val="20"/>
                <w:szCs w:val="20"/>
              </w:rPr>
              <w:t>0.3811 ,  1.574)</w:t>
            </w:r>
          </w:p>
        </w:tc>
        <w:tc>
          <w:tcPr>
            <w:tcW w:w="1576" w:type="dxa"/>
            <w:shd w:val="clear" w:color="auto" w:fill="auto"/>
            <w:vAlign w:val="bottom"/>
          </w:tcPr>
          <w:p w14:paraId="08F0D822" w14:textId="354D20DF" w:rsidR="000B5A2A" w:rsidRPr="00E9633C" w:rsidRDefault="000B5A2A" w:rsidP="000B5A2A">
            <w:pPr>
              <w:jc w:val="center"/>
              <w:rPr>
                <w:rFonts w:ascii="Arial" w:hAnsi="Arial" w:cs="Arial"/>
                <w:color w:val="000000"/>
                <w:sz w:val="20"/>
                <w:szCs w:val="20"/>
              </w:rPr>
            </w:pPr>
            <w:r w:rsidRPr="00E9633C">
              <w:rPr>
                <w:rFonts w:ascii="Arial" w:hAnsi="Arial" w:cs="Arial"/>
                <w:color w:val="000000"/>
                <w:sz w:val="20"/>
                <w:szCs w:val="20"/>
              </w:rPr>
              <w:t>0.48031 </w:t>
            </w:r>
          </w:p>
        </w:tc>
      </w:tr>
      <w:tr w:rsidR="000B5A2A" w:rsidRPr="00E9633C" w14:paraId="09BB78A6" w14:textId="77777777" w:rsidTr="003D62E5">
        <w:trPr>
          <w:trHeight w:val="29"/>
        </w:trPr>
        <w:tc>
          <w:tcPr>
            <w:tcW w:w="4508" w:type="dxa"/>
            <w:shd w:val="clear" w:color="auto" w:fill="auto"/>
            <w:vAlign w:val="center"/>
          </w:tcPr>
          <w:p w14:paraId="69B26D6E" w14:textId="48233109" w:rsidR="000B5A2A" w:rsidRPr="00E9633C" w:rsidRDefault="000B5A2A" w:rsidP="000B5A2A">
            <w:pPr>
              <w:rPr>
                <w:rFonts w:ascii="Arial" w:hAnsi="Arial" w:cs="Arial"/>
                <w:bCs/>
                <w:sz w:val="20"/>
                <w:szCs w:val="20"/>
              </w:rPr>
            </w:pPr>
            <w:r w:rsidRPr="00E9633C">
              <w:rPr>
                <w:rFonts w:ascii="Arial" w:hAnsi="Arial" w:cs="Arial"/>
                <w:sz w:val="20"/>
                <w:szCs w:val="20"/>
              </w:rPr>
              <w:t>p53 sum intensity in nuclei</w:t>
            </w:r>
            <w:r w:rsidRPr="00E9633C">
              <w:rPr>
                <w:rFonts w:ascii="Arial" w:hAnsi="Arial" w:cs="Arial"/>
                <w:sz w:val="20"/>
                <w:szCs w:val="20"/>
                <w:vertAlign w:val="superscript"/>
              </w:rPr>
              <w:t>2</w:t>
            </w:r>
          </w:p>
        </w:tc>
        <w:tc>
          <w:tcPr>
            <w:tcW w:w="3317" w:type="dxa"/>
            <w:shd w:val="clear" w:color="auto" w:fill="auto"/>
            <w:vAlign w:val="bottom"/>
          </w:tcPr>
          <w:p w14:paraId="7D1CFB4F" w14:textId="18BAE3D6" w:rsidR="000B5A2A" w:rsidRPr="00E9633C" w:rsidRDefault="000B5A2A" w:rsidP="000B5A2A">
            <w:pPr>
              <w:jc w:val="center"/>
              <w:rPr>
                <w:rFonts w:ascii="Arial" w:hAnsi="Arial" w:cs="Arial"/>
                <w:color w:val="000000"/>
                <w:sz w:val="20"/>
                <w:szCs w:val="20"/>
              </w:rPr>
            </w:pPr>
            <w:proofErr w:type="gramStart"/>
            <w:r w:rsidRPr="00E9633C">
              <w:rPr>
                <w:rFonts w:ascii="Arial" w:eastAsia="Times New Roman" w:hAnsi="Arial" w:cs="Arial"/>
                <w:color w:val="000000"/>
                <w:sz w:val="20"/>
                <w:szCs w:val="20"/>
              </w:rPr>
              <w:t>2.1749  (</w:t>
            </w:r>
            <w:proofErr w:type="gramEnd"/>
            <w:r w:rsidRPr="00E9633C">
              <w:rPr>
                <w:rFonts w:ascii="Arial" w:eastAsia="Times New Roman" w:hAnsi="Arial" w:cs="Arial"/>
                <w:color w:val="000000"/>
                <w:sz w:val="20"/>
                <w:szCs w:val="20"/>
              </w:rPr>
              <w:t>0.9931 ,  4.763)</w:t>
            </w:r>
          </w:p>
        </w:tc>
        <w:tc>
          <w:tcPr>
            <w:tcW w:w="1576" w:type="dxa"/>
            <w:shd w:val="clear" w:color="auto" w:fill="auto"/>
            <w:vAlign w:val="bottom"/>
          </w:tcPr>
          <w:p w14:paraId="5BE20A8C" w14:textId="7EEFA2A7" w:rsidR="000B5A2A" w:rsidRPr="00E9633C" w:rsidRDefault="000B5A2A" w:rsidP="000B5A2A">
            <w:pPr>
              <w:jc w:val="center"/>
              <w:rPr>
                <w:rFonts w:ascii="Arial" w:hAnsi="Arial" w:cs="Arial"/>
                <w:color w:val="000000"/>
                <w:sz w:val="20"/>
                <w:szCs w:val="20"/>
              </w:rPr>
            </w:pPr>
            <w:r w:rsidRPr="00E9633C">
              <w:rPr>
                <w:rFonts w:ascii="Arial" w:hAnsi="Arial" w:cs="Arial"/>
                <w:color w:val="000000"/>
                <w:sz w:val="20"/>
                <w:szCs w:val="20"/>
              </w:rPr>
              <w:t>0.05207</w:t>
            </w:r>
          </w:p>
        </w:tc>
      </w:tr>
      <w:tr w:rsidR="000B5A2A" w:rsidRPr="00E9633C" w14:paraId="05C7264B" w14:textId="77777777" w:rsidTr="003D62E5">
        <w:trPr>
          <w:trHeight w:val="29"/>
        </w:trPr>
        <w:tc>
          <w:tcPr>
            <w:tcW w:w="4508" w:type="dxa"/>
            <w:shd w:val="clear" w:color="auto" w:fill="auto"/>
            <w:vAlign w:val="center"/>
          </w:tcPr>
          <w:p w14:paraId="0E878979" w14:textId="08ABC323" w:rsidR="000B5A2A" w:rsidRPr="00E9633C" w:rsidRDefault="000B5A2A" w:rsidP="000B5A2A">
            <w:pPr>
              <w:rPr>
                <w:rFonts w:ascii="Arial" w:hAnsi="Arial" w:cs="Arial"/>
                <w:bCs/>
                <w:sz w:val="20"/>
                <w:szCs w:val="20"/>
              </w:rPr>
            </w:pPr>
            <w:r w:rsidRPr="00E9633C">
              <w:rPr>
                <w:rFonts w:ascii="Arial" w:hAnsi="Arial" w:cs="Arial"/>
                <w:sz w:val="20"/>
                <w:szCs w:val="20"/>
              </w:rPr>
              <w:t>Predicted Risk Classes: Int-Risk vs. Low-Risk</w:t>
            </w:r>
          </w:p>
        </w:tc>
        <w:tc>
          <w:tcPr>
            <w:tcW w:w="3317" w:type="dxa"/>
            <w:shd w:val="clear" w:color="auto" w:fill="auto"/>
            <w:vAlign w:val="bottom"/>
          </w:tcPr>
          <w:p w14:paraId="00B192B8" w14:textId="54C356F7" w:rsidR="000B5A2A" w:rsidRPr="00E9633C" w:rsidRDefault="000B5A2A" w:rsidP="000B5A2A">
            <w:pPr>
              <w:jc w:val="center"/>
              <w:rPr>
                <w:rFonts w:ascii="Arial" w:hAnsi="Arial" w:cs="Arial"/>
                <w:color w:val="000000"/>
                <w:sz w:val="20"/>
                <w:szCs w:val="20"/>
              </w:rPr>
            </w:pPr>
            <w:r w:rsidRPr="00E9633C">
              <w:rPr>
                <w:rFonts w:ascii="Arial" w:eastAsia="Times New Roman" w:hAnsi="Arial" w:cs="Arial"/>
                <w:color w:val="000000"/>
                <w:sz w:val="20"/>
                <w:szCs w:val="20"/>
              </w:rPr>
              <w:t> </w:t>
            </w:r>
            <w:proofErr w:type="gramStart"/>
            <w:r w:rsidRPr="00E9633C">
              <w:rPr>
                <w:rFonts w:ascii="Arial" w:eastAsia="Times New Roman" w:hAnsi="Arial" w:cs="Arial"/>
                <w:color w:val="000000"/>
                <w:sz w:val="20"/>
                <w:szCs w:val="20"/>
              </w:rPr>
              <w:t>1.5974  (</w:t>
            </w:r>
            <w:proofErr w:type="gramEnd"/>
            <w:r w:rsidRPr="00E9633C">
              <w:rPr>
                <w:rFonts w:ascii="Arial" w:eastAsia="Times New Roman" w:hAnsi="Arial" w:cs="Arial"/>
                <w:color w:val="000000"/>
                <w:sz w:val="20"/>
                <w:szCs w:val="20"/>
              </w:rPr>
              <w:t>0.7210 ,  3.539)</w:t>
            </w:r>
          </w:p>
        </w:tc>
        <w:tc>
          <w:tcPr>
            <w:tcW w:w="1576" w:type="dxa"/>
            <w:shd w:val="clear" w:color="auto" w:fill="auto"/>
            <w:vAlign w:val="bottom"/>
          </w:tcPr>
          <w:p w14:paraId="37565351" w14:textId="11A245BE" w:rsidR="000B5A2A" w:rsidRPr="00E9633C" w:rsidRDefault="000B5A2A" w:rsidP="000B5A2A">
            <w:pPr>
              <w:jc w:val="center"/>
              <w:rPr>
                <w:rFonts w:ascii="Arial" w:hAnsi="Arial" w:cs="Arial"/>
                <w:color w:val="000000"/>
                <w:sz w:val="20"/>
                <w:szCs w:val="20"/>
              </w:rPr>
            </w:pPr>
            <w:r w:rsidRPr="00E9633C">
              <w:rPr>
                <w:rFonts w:ascii="Arial" w:hAnsi="Arial" w:cs="Arial"/>
                <w:color w:val="000000"/>
                <w:sz w:val="20"/>
                <w:szCs w:val="20"/>
              </w:rPr>
              <w:t>0.24854 </w:t>
            </w:r>
          </w:p>
        </w:tc>
      </w:tr>
      <w:tr w:rsidR="000B5A2A" w:rsidRPr="00E9633C" w14:paraId="4785379D" w14:textId="77777777" w:rsidTr="003D62E5">
        <w:trPr>
          <w:trHeight w:val="29"/>
        </w:trPr>
        <w:tc>
          <w:tcPr>
            <w:tcW w:w="4508" w:type="dxa"/>
            <w:shd w:val="clear" w:color="auto" w:fill="auto"/>
            <w:vAlign w:val="center"/>
          </w:tcPr>
          <w:p w14:paraId="2D92EC33" w14:textId="7D3618E4" w:rsidR="000B5A2A" w:rsidRPr="00E9633C" w:rsidRDefault="000B5A2A" w:rsidP="000B5A2A">
            <w:pPr>
              <w:rPr>
                <w:rFonts w:ascii="Arial" w:hAnsi="Arial" w:cs="Arial"/>
                <w:bCs/>
                <w:sz w:val="20"/>
                <w:szCs w:val="20"/>
              </w:rPr>
            </w:pPr>
            <w:r w:rsidRPr="00E9633C">
              <w:rPr>
                <w:rFonts w:ascii="Arial" w:hAnsi="Arial" w:cs="Arial"/>
                <w:bCs/>
                <w:sz w:val="20"/>
                <w:szCs w:val="20"/>
              </w:rPr>
              <w:t>Predicted Risk Classes: High-Risk vs. Low-Risk</w:t>
            </w:r>
          </w:p>
        </w:tc>
        <w:tc>
          <w:tcPr>
            <w:tcW w:w="3317" w:type="dxa"/>
            <w:shd w:val="clear" w:color="auto" w:fill="auto"/>
            <w:vAlign w:val="bottom"/>
          </w:tcPr>
          <w:p w14:paraId="787C3DE3" w14:textId="548DD7CF" w:rsidR="000B5A2A" w:rsidRPr="00E9633C" w:rsidRDefault="000B5A2A" w:rsidP="000B5A2A">
            <w:pPr>
              <w:jc w:val="center"/>
              <w:rPr>
                <w:rFonts w:ascii="Arial" w:hAnsi="Arial" w:cs="Arial"/>
                <w:color w:val="000000"/>
                <w:sz w:val="20"/>
                <w:szCs w:val="20"/>
              </w:rPr>
            </w:pPr>
            <w:proofErr w:type="gramStart"/>
            <w:r w:rsidRPr="00E9633C">
              <w:rPr>
                <w:rFonts w:ascii="Arial" w:eastAsia="Times New Roman" w:hAnsi="Arial" w:cs="Arial"/>
                <w:color w:val="000000"/>
                <w:sz w:val="20"/>
                <w:szCs w:val="20"/>
              </w:rPr>
              <w:t>4.4284  (</w:t>
            </w:r>
            <w:proofErr w:type="gramEnd"/>
            <w:r w:rsidRPr="00E9633C">
              <w:rPr>
                <w:rFonts w:ascii="Arial" w:eastAsia="Times New Roman" w:hAnsi="Arial" w:cs="Arial"/>
                <w:color w:val="000000"/>
                <w:sz w:val="20"/>
                <w:szCs w:val="20"/>
              </w:rPr>
              <w:t>2.3191 ,  8.456)</w:t>
            </w:r>
          </w:p>
        </w:tc>
        <w:tc>
          <w:tcPr>
            <w:tcW w:w="1576" w:type="dxa"/>
            <w:shd w:val="clear" w:color="auto" w:fill="auto"/>
            <w:vAlign w:val="bottom"/>
          </w:tcPr>
          <w:p w14:paraId="515F13BE" w14:textId="7021CD9B" w:rsidR="000B5A2A" w:rsidRPr="00E9633C" w:rsidRDefault="000B5A2A" w:rsidP="000B5A2A">
            <w:pPr>
              <w:jc w:val="center"/>
              <w:rPr>
                <w:rFonts w:ascii="Arial" w:hAnsi="Arial" w:cs="Arial"/>
                <w:color w:val="000000"/>
                <w:sz w:val="20"/>
                <w:szCs w:val="20"/>
              </w:rPr>
            </w:pPr>
            <w:r w:rsidRPr="00E9633C">
              <w:rPr>
                <w:rFonts w:ascii="Arial" w:hAnsi="Arial" w:cs="Arial"/>
                <w:color w:val="000000"/>
                <w:sz w:val="20"/>
                <w:szCs w:val="20"/>
              </w:rPr>
              <w:t>&lt;0.0001</w:t>
            </w:r>
          </w:p>
        </w:tc>
      </w:tr>
      <w:tr w:rsidR="000B5A2A" w:rsidRPr="00E9633C" w14:paraId="4AA945BB" w14:textId="77777777" w:rsidTr="003D62E5">
        <w:trPr>
          <w:trHeight w:val="29"/>
        </w:trPr>
        <w:tc>
          <w:tcPr>
            <w:tcW w:w="4508" w:type="dxa"/>
            <w:shd w:val="clear" w:color="auto" w:fill="auto"/>
            <w:vAlign w:val="center"/>
          </w:tcPr>
          <w:p w14:paraId="39A73A0E" w14:textId="77777777" w:rsidR="000B5A2A" w:rsidRPr="00E9633C" w:rsidRDefault="000B5A2A" w:rsidP="000B5A2A">
            <w:pPr>
              <w:rPr>
                <w:rFonts w:ascii="Arial" w:hAnsi="Arial" w:cs="Arial"/>
                <w:bCs/>
                <w:sz w:val="20"/>
                <w:szCs w:val="20"/>
              </w:rPr>
            </w:pPr>
          </w:p>
        </w:tc>
        <w:tc>
          <w:tcPr>
            <w:tcW w:w="3317" w:type="dxa"/>
            <w:shd w:val="clear" w:color="auto" w:fill="auto"/>
            <w:vAlign w:val="bottom"/>
          </w:tcPr>
          <w:p w14:paraId="5F6AFB7B" w14:textId="77777777" w:rsidR="000B5A2A" w:rsidRPr="00E9633C" w:rsidRDefault="000B5A2A" w:rsidP="000B5A2A">
            <w:pPr>
              <w:jc w:val="center"/>
              <w:rPr>
                <w:rFonts w:ascii="Arial" w:hAnsi="Arial" w:cs="Arial"/>
                <w:color w:val="000000"/>
                <w:sz w:val="20"/>
                <w:szCs w:val="20"/>
              </w:rPr>
            </w:pPr>
          </w:p>
        </w:tc>
        <w:tc>
          <w:tcPr>
            <w:tcW w:w="1576" w:type="dxa"/>
            <w:shd w:val="clear" w:color="auto" w:fill="auto"/>
            <w:vAlign w:val="bottom"/>
          </w:tcPr>
          <w:p w14:paraId="263E9A11" w14:textId="77777777" w:rsidR="000B5A2A" w:rsidRPr="00E9633C" w:rsidRDefault="000B5A2A" w:rsidP="000B5A2A">
            <w:pPr>
              <w:jc w:val="center"/>
              <w:rPr>
                <w:rFonts w:ascii="Arial" w:hAnsi="Arial" w:cs="Arial"/>
                <w:color w:val="000000"/>
                <w:sz w:val="20"/>
                <w:szCs w:val="20"/>
              </w:rPr>
            </w:pPr>
          </w:p>
        </w:tc>
      </w:tr>
      <w:tr w:rsidR="000B5A2A" w:rsidRPr="00E9633C" w14:paraId="30C7EA6E" w14:textId="77777777" w:rsidTr="003D62E5">
        <w:trPr>
          <w:trHeight w:val="258"/>
        </w:trPr>
        <w:tc>
          <w:tcPr>
            <w:tcW w:w="9401" w:type="dxa"/>
            <w:gridSpan w:val="3"/>
            <w:vAlign w:val="center"/>
          </w:tcPr>
          <w:p w14:paraId="1DD28869" w14:textId="506F6682" w:rsidR="000B5A2A" w:rsidRPr="00E9633C" w:rsidRDefault="000B5A2A" w:rsidP="000B5A2A">
            <w:pPr>
              <w:rPr>
                <w:rFonts w:ascii="Arial" w:hAnsi="Arial" w:cs="Arial"/>
                <w:bCs/>
                <w:sz w:val="20"/>
                <w:szCs w:val="20"/>
              </w:rPr>
            </w:pPr>
            <w:r w:rsidRPr="00E9633C">
              <w:rPr>
                <w:rFonts w:ascii="Arial" w:hAnsi="Arial" w:cs="Arial"/>
                <w:bCs/>
                <w:sz w:val="18"/>
                <w:szCs w:val="18"/>
              </w:rPr>
              <w:t>Note: Multivaria</w:t>
            </w:r>
            <w:r w:rsidR="000036E2" w:rsidRPr="00E9633C">
              <w:rPr>
                <w:rFonts w:ascii="Arial" w:hAnsi="Arial" w:cs="Arial"/>
                <w:bCs/>
                <w:sz w:val="18"/>
                <w:szCs w:val="18"/>
              </w:rPr>
              <w:t>bl</w:t>
            </w:r>
            <w:r w:rsidRPr="00E9633C">
              <w:rPr>
                <w:rFonts w:ascii="Arial" w:hAnsi="Arial" w:cs="Arial"/>
                <w:bCs/>
                <w:sz w:val="18"/>
                <w:szCs w:val="18"/>
              </w:rPr>
              <w:t xml:space="preserve">e Cox models were run in which progression to HGD/EAC was evaluated first in relation to clinical variables alone, then in relation to the risk classes predicted by the test and clinical variables, as described in Materials and Methods. p53 sum intensity in nuclei was calculated by the TissueCypher Image Analysis Platform. </w:t>
            </w:r>
            <w:r w:rsidRPr="00E9633C">
              <w:rPr>
                <w:rFonts w:ascii="Arial" w:hAnsi="Arial" w:cs="Arial"/>
                <w:bCs/>
                <w:sz w:val="18"/>
                <w:szCs w:val="18"/>
                <w:vertAlign w:val="superscript"/>
              </w:rPr>
              <w:t>1</w:t>
            </w:r>
            <w:r w:rsidRPr="00E9633C">
              <w:rPr>
                <w:rFonts w:ascii="Arial" w:hAnsi="Arial" w:cs="Arial"/>
                <w:bCs/>
                <w:sz w:val="18"/>
                <w:szCs w:val="18"/>
              </w:rPr>
              <w:t xml:space="preserve">p53 feature assessed as a continuous variable; </w:t>
            </w:r>
            <w:r w:rsidRPr="00E9633C">
              <w:rPr>
                <w:rFonts w:ascii="Arial" w:hAnsi="Arial" w:cs="Arial"/>
                <w:bCs/>
                <w:sz w:val="18"/>
                <w:szCs w:val="18"/>
                <w:vertAlign w:val="superscript"/>
              </w:rPr>
              <w:t>2</w:t>
            </w:r>
            <w:r w:rsidRPr="00E9633C">
              <w:rPr>
                <w:rFonts w:ascii="Arial" w:hAnsi="Arial" w:cs="Arial"/>
                <w:bCs/>
                <w:sz w:val="18"/>
                <w:szCs w:val="18"/>
              </w:rPr>
              <w:t xml:space="preserve">p53 feature assessed as a categorical variable. </w:t>
            </w:r>
          </w:p>
        </w:tc>
      </w:tr>
    </w:tbl>
    <w:p w14:paraId="663CBF19" w14:textId="437C0AFB" w:rsidR="00EE3101" w:rsidRPr="00E9633C" w:rsidRDefault="00EE3101">
      <w:pPr>
        <w:rPr>
          <w:rFonts w:ascii="Arial" w:hAnsi="Arial" w:cs="Arial"/>
          <w:sz w:val="18"/>
          <w:szCs w:val="18"/>
        </w:rPr>
      </w:pPr>
    </w:p>
    <w:p w14:paraId="08BE246A" w14:textId="0187B933" w:rsidR="00EE3101" w:rsidRPr="00E9633C" w:rsidRDefault="00EE3101">
      <w:pPr>
        <w:rPr>
          <w:rFonts w:ascii="Arial" w:hAnsi="Arial" w:cs="Arial"/>
          <w:sz w:val="18"/>
          <w:szCs w:val="18"/>
        </w:rPr>
      </w:pPr>
    </w:p>
    <w:p w14:paraId="6FB8D80E" w14:textId="77777777" w:rsidR="00EE3101" w:rsidRPr="00E9633C" w:rsidRDefault="00EE3101">
      <w:pPr>
        <w:rPr>
          <w:rFonts w:ascii="Arial" w:hAnsi="Arial" w:cs="Arial"/>
          <w:sz w:val="18"/>
          <w:szCs w:val="18"/>
        </w:rPr>
      </w:pPr>
    </w:p>
    <w:tbl>
      <w:tblPr>
        <w:tblStyle w:val="TableGrid"/>
        <w:tblpPr w:leftFromText="180" w:rightFromText="180" w:vertAnchor="text" w:horzAnchor="margin" w:tblpY="28"/>
        <w:tblW w:w="9424" w:type="dxa"/>
        <w:tblLook w:val="04A0" w:firstRow="1" w:lastRow="0" w:firstColumn="1" w:lastColumn="0" w:noHBand="0" w:noVBand="1"/>
      </w:tblPr>
      <w:tblGrid>
        <w:gridCol w:w="3140"/>
        <w:gridCol w:w="3141"/>
        <w:gridCol w:w="3143"/>
      </w:tblGrid>
      <w:tr w:rsidR="00805CFC" w:rsidRPr="00E9633C" w14:paraId="7BCBA99E" w14:textId="77777777" w:rsidTr="00805CFC">
        <w:trPr>
          <w:trHeight w:val="233"/>
        </w:trPr>
        <w:tc>
          <w:tcPr>
            <w:tcW w:w="9424" w:type="dxa"/>
            <w:gridSpan w:val="3"/>
            <w:vAlign w:val="center"/>
          </w:tcPr>
          <w:p w14:paraId="7EFE45E0" w14:textId="358C4C20" w:rsidR="00805CFC" w:rsidRPr="00E9633C" w:rsidRDefault="00805CFC" w:rsidP="00805CFC">
            <w:pPr>
              <w:rPr>
                <w:rFonts w:ascii="Arial" w:hAnsi="Arial" w:cs="Arial"/>
                <w:b/>
                <w:sz w:val="20"/>
                <w:szCs w:val="20"/>
              </w:rPr>
            </w:pPr>
            <w:r w:rsidRPr="00E9633C">
              <w:rPr>
                <w:rFonts w:ascii="Arial" w:hAnsi="Arial" w:cs="Arial"/>
                <w:b/>
                <w:sz w:val="20"/>
                <w:szCs w:val="20"/>
              </w:rPr>
              <w:t xml:space="preserve">Table </w:t>
            </w:r>
            <w:r w:rsidR="003D62E5" w:rsidRPr="00E9633C">
              <w:rPr>
                <w:rFonts w:ascii="Arial" w:hAnsi="Arial" w:cs="Arial"/>
                <w:b/>
                <w:sz w:val="20"/>
                <w:szCs w:val="20"/>
              </w:rPr>
              <w:t>S3</w:t>
            </w:r>
            <w:r w:rsidRPr="00E9633C">
              <w:rPr>
                <w:rFonts w:ascii="Arial" w:hAnsi="Arial" w:cs="Arial"/>
                <w:b/>
                <w:sz w:val="20"/>
                <w:szCs w:val="20"/>
              </w:rPr>
              <w:t xml:space="preserve">. Predictive Performance of Continuous Risk Score versus GI </w:t>
            </w:r>
            <w:r w:rsidR="005908EB" w:rsidRPr="00E9633C">
              <w:rPr>
                <w:rFonts w:ascii="Arial" w:hAnsi="Arial" w:cs="Arial"/>
                <w:b/>
                <w:sz w:val="20"/>
                <w:szCs w:val="20"/>
              </w:rPr>
              <w:t>S</w:t>
            </w:r>
            <w:r w:rsidRPr="00E9633C">
              <w:rPr>
                <w:rFonts w:ascii="Arial" w:hAnsi="Arial" w:cs="Arial"/>
                <w:b/>
                <w:sz w:val="20"/>
                <w:szCs w:val="20"/>
              </w:rPr>
              <w:t>ubspecialist/</w:t>
            </w:r>
            <w:r w:rsidR="005908EB" w:rsidRPr="00E9633C">
              <w:rPr>
                <w:rFonts w:ascii="Arial" w:hAnsi="Arial" w:cs="Arial"/>
                <w:b/>
                <w:sz w:val="20"/>
                <w:szCs w:val="20"/>
              </w:rPr>
              <w:t>E</w:t>
            </w:r>
            <w:r w:rsidRPr="00E9633C">
              <w:rPr>
                <w:rFonts w:ascii="Arial" w:hAnsi="Arial" w:cs="Arial"/>
                <w:b/>
                <w:sz w:val="20"/>
                <w:szCs w:val="20"/>
              </w:rPr>
              <w:t xml:space="preserve">xpert </w:t>
            </w:r>
            <w:r w:rsidR="005908EB" w:rsidRPr="00E9633C">
              <w:rPr>
                <w:rFonts w:ascii="Arial" w:hAnsi="Arial" w:cs="Arial"/>
                <w:b/>
                <w:sz w:val="20"/>
                <w:szCs w:val="20"/>
              </w:rPr>
              <w:t>P</w:t>
            </w:r>
            <w:r w:rsidRPr="00E9633C">
              <w:rPr>
                <w:rFonts w:ascii="Arial" w:hAnsi="Arial" w:cs="Arial"/>
                <w:b/>
                <w:sz w:val="20"/>
                <w:szCs w:val="20"/>
              </w:rPr>
              <w:t xml:space="preserve">athologist </w:t>
            </w:r>
            <w:r w:rsidR="005908EB" w:rsidRPr="00E9633C">
              <w:rPr>
                <w:rFonts w:ascii="Arial" w:hAnsi="Arial" w:cs="Arial"/>
                <w:b/>
                <w:sz w:val="20"/>
                <w:szCs w:val="20"/>
              </w:rPr>
              <w:t>R</w:t>
            </w:r>
            <w:r w:rsidRPr="00E9633C">
              <w:rPr>
                <w:rFonts w:ascii="Arial" w:hAnsi="Arial" w:cs="Arial"/>
                <w:b/>
                <w:sz w:val="20"/>
                <w:szCs w:val="20"/>
              </w:rPr>
              <w:t xml:space="preserve">eview </w:t>
            </w:r>
            <w:r w:rsidR="005908EB" w:rsidRPr="00E9633C">
              <w:rPr>
                <w:rFonts w:ascii="Arial" w:hAnsi="Arial" w:cs="Arial"/>
                <w:b/>
                <w:sz w:val="20"/>
                <w:szCs w:val="20"/>
              </w:rPr>
              <w:t>D</w:t>
            </w:r>
            <w:r w:rsidRPr="00E9633C">
              <w:rPr>
                <w:rFonts w:ascii="Arial" w:hAnsi="Arial" w:cs="Arial"/>
                <w:b/>
                <w:sz w:val="20"/>
                <w:szCs w:val="20"/>
              </w:rPr>
              <w:t>iagnosis</w:t>
            </w:r>
          </w:p>
        </w:tc>
      </w:tr>
      <w:tr w:rsidR="00805CFC" w:rsidRPr="00E9633C" w14:paraId="0E0838C0" w14:textId="77777777" w:rsidTr="00805CFC">
        <w:trPr>
          <w:trHeight w:val="282"/>
        </w:trPr>
        <w:tc>
          <w:tcPr>
            <w:tcW w:w="9424" w:type="dxa"/>
            <w:gridSpan w:val="3"/>
            <w:vAlign w:val="center"/>
          </w:tcPr>
          <w:p w14:paraId="4F370D5B" w14:textId="5CBC5E0C" w:rsidR="00805CFC" w:rsidRPr="00E9633C" w:rsidRDefault="00EE3101" w:rsidP="005908EB">
            <w:pPr>
              <w:pStyle w:val="ListParagraph"/>
              <w:ind w:left="522"/>
              <w:rPr>
                <w:rFonts w:ascii="Arial" w:hAnsi="Arial" w:cs="Arial"/>
                <w:i/>
                <w:sz w:val="20"/>
                <w:szCs w:val="20"/>
              </w:rPr>
            </w:pPr>
            <w:r w:rsidRPr="00E9633C">
              <w:rPr>
                <w:rFonts w:ascii="Arial" w:hAnsi="Arial" w:cs="Arial"/>
                <w:i/>
                <w:sz w:val="20"/>
                <w:szCs w:val="20"/>
              </w:rPr>
              <w:t>Multivaria</w:t>
            </w:r>
            <w:r w:rsidR="000036E2" w:rsidRPr="00E9633C">
              <w:rPr>
                <w:rFonts w:ascii="Arial" w:hAnsi="Arial" w:cs="Arial"/>
                <w:i/>
                <w:sz w:val="20"/>
                <w:szCs w:val="20"/>
              </w:rPr>
              <w:t>bl</w:t>
            </w:r>
            <w:r w:rsidRPr="00E9633C">
              <w:rPr>
                <w:rFonts w:ascii="Arial" w:hAnsi="Arial" w:cs="Arial"/>
                <w:i/>
                <w:sz w:val="20"/>
                <w:szCs w:val="20"/>
              </w:rPr>
              <w:t xml:space="preserve">e </w:t>
            </w:r>
            <w:r w:rsidR="00805CFC" w:rsidRPr="00E9633C">
              <w:rPr>
                <w:rFonts w:ascii="Arial" w:hAnsi="Arial" w:cs="Arial"/>
                <w:i/>
                <w:sz w:val="20"/>
                <w:szCs w:val="20"/>
              </w:rPr>
              <w:t>Analysis of Subspecialist Dx</w:t>
            </w:r>
          </w:p>
        </w:tc>
      </w:tr>
      <w:tr w:rsidR="00805CFC" w:rsidRPr="00E9633C" w14:paraId="1E5AB171" w14:textId="77777777" w:rsidTr="00805CFC">
        <w:trPr>
          <w:trHeight w:val="282"/>
        </w:trPr>
        <w:tc>
          <w:tcPr>
            <w:tcW w:w="3140" w:type="dxa"/>
            <w:vAlign w:val="center"/>
            <w:hideMark/>
          </w:tcPr>
          <w:p w14:paraId="6C75C54F" w14:textId="77777777" w:rsidR="00805CFC" w:rsidRPr="00E9633C" w:rsidRDefault="00805CFC" w:rsidP="00805CFC">
            <w:pPr>
              <w:rPr>
                <w:rFonts w:ascii="Arial" w:hAnsi="Arial" w:cs="Arial"/>
                <w:sz w:val="20"/>
                <w:szCs w:val="20"/>
              </w:rPr>
            </w:pPr>
            <w:r w:rsidRPr="00E9633C">
              <w:rPr>
                <w:rFonts w:ascii="Arial" w:hAnsi="Arial" w:cs="Arial"/>
                <w:b/>
                <w:bCs/>
                <w:sz w:val="20"/>
                <w:szCs w:val="20"/>
              </w:rPr>
              <w:t>Variable</w:t>
            </w:r>
          </w:p>
        </w:tc>
        <w:tc>
          <w:tcPr>
            <w:tcW w:w="3141" w:type="dxa"/>
            <w:vAlign w:val="center"/>
            <w:hideMark/>
          </w:tcPr>
          <w:p w14:paraId="7D1F644D" w14:textId="77777777" w:rsidR="00805CFC" w:rsidRPr="00E9633C" w:rsidRDefault="00805CFC" w:rsidP="00805CFC">
            <w:pPr>
              <w:jc w:val="center"/>
              <w:rPr>
                <w:rFonts w:ascii="Arial" w:hAnsi="Arial" w:cs="Arial"/>
                <w:sz w:val="20"/>
                <w:szCs w:val="20"/>
              </w:rPr>
            </w:pPr>
            <w:r w:rsidRPr="00E9633C">
              <w:rPr>
                <w:rFonts w:ascii="Arial" w:hAnsi="Arial" w:cs="Arial"/>
                <w:b/>
                <w:bCs/>
                <w:sz w:val="20"/>
                <w:szCs w:val="20"/>
              </w:rPr>
              <w:t>HR (95% C.I.)</w:t>
            </w:r>
          </w:p>
        </w:tc>
        <w:tc>
          <w:tcPr>
            <w:tcW w:w="3143" w:type="dxa"/>
            <w:vAlign w:val="center"/>
            <w:hideMark/>
          </w:tcPr>
          <w:p w14:paraId="3857E0E0" w14:textId="77777777" w:rsidR="00805CFC" w:rsidRPr="00E9633C" w:rsidRDefault="00805CFC" w:rsidP="00805CFC">
            <w:pPr>
              <w:jc w:val="center"/>
              <w:rPr>
                <w:rFonts w:ascii="Arial" w:hAnsi="Arial" w:cs="Arial"/>
                <w:sz w:val="20"/>
                <w:szCs w:val="20"/>
              </w:rPr>
            </w:pPr>
            <w:r w:rsidRPr="00E9633C">
              <w:rPr>
                <w:rFonts w:ascii="Arial" w:hAnsi="Arial" w:cs="Arial"/>
                <w:b/>
                <w:bCs/>
                <w:sz w:val="20"/>
                <w:szCs w:val="20"/>
              </w:rPr>
              <w:t>p value</w:t>
            </w:r>
          </w:p>
        </w:tc>
      </w:tr>
      <w:tr w:rsidR="00805CFC" w:rsidRPr="00E9633C" w14:paraId="3275F0AB" w14:textId="77777777" w:rsidTr="00805CFC">
        <w:trPr>
          <w:trHeight w:val="282"/>
        </w:trPr>
        <w:tc>
          <w:tcPr>
            <w:tcW w:w="3140" w:type="dxa"/>
            <w:vAlign w:val="center"/>
            <w:hideMark/>
          </w:tcPr>
          <w:p w14:paraId="1855FB25" w14:textId="77777777" w:rsidR="00805CFC" w:rsidRPr="00E9633C" w:rsidRDefault="00805CFC" w:rsidP="00805CFC">
            <w:pPr>
              <w:rPr>
                <w:rFonts w:ascii="Arial" w:hAnsi="Arial" w:cs="Arial"/>
                <w:sz w:val="20"/>
                <w:szCs w:val="20"/>
              </w:rPr>
            </w:pPr>
            <w:r w:rsidRPr="00E9633C">
              <w:rPr>
                <w:rFonts w:ascii="Arial" w:hAnsi="Arial" w:cs="Arial"/>
                <w:sz w:val="20"/>
                <w:szCs w:val="20"/>
              </w:rPr>
              <w:t>Expert IND vs. ND</w:t>
            </w:r>
          </w:p>
        </w:tc>
        <w:tc>
          <w:tcPr>
            <w:tcW w:w="3141" w:type="dxa"/>
            <w:vAlign w:val="center"/>
            <w:hideMark/>
          </w:tcPr>
          <w:p w14:paraId="35906BAC" w14:textId="77777777" w:rsidR="00805CFC" w:rsidRPr="00E9633C" w:rsidRDefault="00805CFC" w:rsidP="00805CFC">
            <w:pPr>
              <w:jc w:val="center"/>
              <w:rPr>
                <w:rFonts w:ascii="Arial" w:hAnsi="Arial" w:cs="Arial"/>
                <w:sz w:val="20"/>
                <w:szCs w:val="20"/>
              </w:rPr>
            </w:pPr>
            <w:r w:rsidRPr="00E9633C">
              <w:rPr>
                <w:rFonts w:ascii="Arial" w:hAnsi="Arial" w:cs="Arial"/>
                <w:sz w:val="20"/>
                <w:szCs w:val="20"/>
              </w:rPr>
              <w:t>1.20 (0.47, 3.02)</w:t>
            </w:r>
          </w:p>
        </w:tc>
        <w:tc>
          <w:tcPr>
            <w:tcW w:w="3143" w:type="dxa"/>
            <w:vAlign w:val="center"/>
            <w:hideMark/>
          </w:tcPr>
          <w:p w14:paraId="007F65ED" w14:textId="77777777" w:rsidR="00805CFC" w:rsidRPr="00E9633C" w:rsidRDefault="00805CFC" w:rsidP="00805CFC">
            <w:pPr>
              <w:jc w:val="center"/>
              <w:rPr>
                <w:rFonts w:ascii="Arial" w:hAnsi="Arial" w:cs="Arial"/>
                <w:sz w:val="20"/>
                <w:szCs w:val="20"/>
              </w:rPr>
            </w:pPr>
            <w:r w:rsidRPr="00E9633C">
              <w:rPr>
                <w:rFonts w:ascii="Arial" w:hAnsi="Arial" w:cs="Arial"/>
                <w:sz w:val="20"/>
                <w:szCs w:val="20"/>
              </w:rPr>
              <w:t>0.7034</w:t>
            </w:r>
          </w:p>
        </w:tc>
      </w:tr>
      <w:tr w:rsidR="00805CFC" w:rsidRPr="00E9633C" w14:paraId="5221FDA8" w14:textId="77777777" w:rsidTr="00805CFC">
        <w:trPr>
          <w:trHeight w:val="282"/>
        </w:trPr>
        <w:tc>
          <w:tcPr>
            <w:tcW w:w="3140" w:type="dxa"/>
            <w:vAlign w:val="center"/>
            <w:hideMark/>
          </w:tcPr>
          <w:p w14:paraId="719E931B" w14:textId="77777777" w:rsidR="00805CFC" w:rsidRPr="00E9633C" w:rsidRDefault="00805CFC" w:rsidP="00805CFC">
            <w:pPr>
              <w:rPr>
                <w:rFonts w:ascii="Arial" w:hAnsi="Arial" w:cs="Arial"/>
                <w:sz w:val="20"/>
                <w:szCs w:val="20"/>
              </w:rPr>
            </w:pPr>
            <w:r w:rsidRPr="00E9633C">
              <w:rPr>
                <w:rFonts w:ascii="Arial" w:hAnsi="Arial" w:cs="Arial"/>
                <w:sz w:val="20"/>
                <w:szCs w:val="20"/>
              </w:rPr>
              <w:t>Expert LGD vs. ND</w:t>
            </w:r>
          </w:p>
        </w:tc>
        <w:tc>
          <w:tcPr>
            <w:tcW w:w="3141" w:type="dxa"/>
            <w:vAlign w:val="center"/>
            <w:hideMark/>
          </w:tcPr>
          <w:p w14:paraId="6B7E66FC" w14:textId="77777777" w:rsidR="00805CFC" w:rsidRPr="00E9633C" w:rsidRDefault="00805CFC" w:rsidP="00805CFC">
            <w:pPr>
              <w:jc w:val="center"/>
              <w:rPr>
                <w:rFonts w:ascii="Arial" w:hAnsi="Arial" w:cs="Arial"/>
                <w:sz w:val="20"/>
                <w:szCs w:val="20"/>
              </w:rPr>
            </w:pPr>
            <w:r w:rsidRPr="00E9633C">
              <w:rPr>
                <w:rFonts w:ascii="Arial" w:hAnsi="Arial" w:cs="Arial"/>
                <w:sz w:val="20"/>
                <w:szCs w:val="20"/>
              </w:rPr>
              <w:t>3.79 (1.90, 7.56)</w:t>
            </w:r>
          </w:p>
        </w:tc>
        <w:tc>
          <w:tcPr>
            <w:tcW w:w="3143" w:type="dxa"/>
            <w:vAlign w:val="center"/>
            <w:hideMark/>
          </w:tcPr>
          <w:p w14:paraId="6B41B0A1" w14:textId="77777777" w:rsidR="00805CFC" w:rsidRPr="00E9633C" w:rsidRDefault="00805CFC" w:rsidP="00805CFC">
            <w:pPr>
              <w:jc w:val="center"/>
              <w:rPr>
                <w:rFonts w:ascii="Arial" w:hAnsi="Arial" w:cs="Arial"/>
                <w:sz w:val="20"/>
                <w:szCs w:val="20"/>
              </w:rPr>
            </w:pPr>
            <w:r w:rsidRPr="00E9633C">
              <w:rPr>
                <w:rFonts w:ascii="Arial" w:hAnsi="Arial" w:cs="Arial"/>
                <w:sz w:val="20"/>
                <w:szCs w:val="20"/>
              </w:rPr>
              <w:t>0.0002</w:t>
            </w:r>
          </w:p>
        </w:tc>
      </w:tr>
      <w:tr w:rsidR="00805CFC" w:rsidRPr="00E9633C" w14:paraId="781B247C" w14:textId="77777777" w:rsidTr="00805CFC">
        <w:trPr>
          <w:trHeight w:val="31"/>
        </w:trPr>
        <w:tc>
          <w:tcPr>
            <w:tcW w:w="9424" w:type="dxa"/>
            <w:gridSpan w:val="3"/>
            <w:vAlign w:val="center"/>
          </w:tcPr>
          <w:p w14:paraId="7D0D08E5" w14:textId="77777777" w:rsidR="00805CFC" w:rsidRPr="00E9633C" w:rsidRDefault="00805CFC" w:rsidP="00805CFC">
            <w:pPr>
              <w:rPr>
                <w:rFonts w:ascii="Arial" w:hAnsi="Arial" w:cs="Arial"/>
                <w:sz w:val="20"/>
                <w:szCs w:val="20"/>
              </w:rPr>
            </w:pPr>
          </w:p>
        </w:tc>
      </w:tr>
      <w:tr w:rsidR="00805CFC" w:rsidRPr="00E9633C" w14:paraId="5931C6C1" w14:textId="77777777" w:rsidTr="00805CFC">
        <w:trPr>
          <w:trHeight w:val="282"/>
        </w:trPr>
        <w:tc>
          <w:tcPr>
            <w:tcW w:w="9424" w:type="dxa"/>
            <w:gridSpan w:val="3"/>
            <w:vAlign w:val="center"/>
          </w:tcPr>
          <w:p w14:paraId="4453AD72" w14:textId="4170D484" w:rsidR="00805CFC" w:rsidRPr="00E9633C" w:rsidRDefault="00EE3101" w:rsidP="005908EB">
            <w:pPr>
              <w:pStyle w:val="ListParagraph"/>
              <w:ind w:left="522"/>
              <w:rPr>
                <w:rFonts w:ascii="Arial" w:hAnsi="Arial" w:cs="Arial"/>
                <w:i/>
                <w:sz w:val="20"/>
                <w:szCs w:val="20"/>
              </w:rPr>
            </w:pPr>
            <w:r w:rsidRPr="00E9633C">
              <w:rPr>
                <w:rFonts w:ascii="Arial" w:hAnsi="Arial" w:cs="Arial"/>
                <w:i/>
                <w:sz w:val="20"/>
                <w:szCs w:val="20"/>
              </w:rPr>
              <w:t>Multivaria</w:t>
            </w:r>
            <w:r w:rsidR="00854ADA" w:rsidRPr="00E9633C">
              <w:rPr>
                <w:rFonts w:ascii="Arial" w:hAnsi="Arial" w:cs="Arial"/>
                <w:i/>
                <w:sz w:val="20"/>
                <w:szCs w:val="20"/>
              </w:rPr>
              <w:t>bl</w:t>
            </w:r>
            <w:r w:rsidRPr="00E9633C">
              <w:rPr>
                <w:rFonts w:ascii="Arial" w:hAnsi="Arial" w:cs="Arial"/>
                <w:i/>
                <w:sz w:val="20"/>
                <w:szCs w:val="20"/>
              </w:rPr>
              <w:t xml:space="preserve">e </w:t>
            </w:r>
            <w:r w:rsidR="00805CFC" w:rsidRPr="00E9633C">
              <w:rPr>
                <w:rFonts w:ascii="Arial" w:hAnsi="Arial" w:cs="Arial"/>
                <w:i/>
                <w:sz w:val="20"/>
                <w:szCs w:val="20"/>
              </w:rPr>
              <w:t>Analysis of Subspecialist Dx and Continuous Risk Score Produced by the Risk Prediction Test</w:t>
            </w:r>
          </w:p>
        </w:tc>
      </w:tr>
      <w:tr w:rsidR="00805CFC" w:rsidRPr="00E9633C" w14:paraId="359A1F63" w14:textId="77777777" w:rsidTr="00805CFC">
        <w:trPr>
          <w:trHeight w:val="282"/>
        </w:trPr>
        <w:tc>
          <w:tcPr>
            <w:tcW w:w="3140" w:type="dxa"/>
            <w:vAlign w:val="center"/>
            <w:hideMark/>
          </w:tcPr>
          <w:p w14:paraId="65A2B9DF" w14:textId="77777777" w:rsidR="00805CFC" w:rsidRPr="00E9633C" w:rsidRDefault="00805CFC" w:rsidP="00805CFC">
            <w:pPr>
              <w:rPr>
                <w:rFonts w:ascii="Arial" w:hAnsi="Arial" w:cs="Arial"/>
                <w:sz w:val="20"/>
                <w:szCs w:val="20"/>
              </w:rPr>
            </w:pPr>
            <w:r w:rsidRPr="00E9633C">
              <w:rPr>
                <w:rFonts w:ascii="Arial" w:hAnsi="Arial" w:cs="Arial"/>
                <w:b/>
                <w:bCs/>
                <w:sz w:val="20"/>
                <w:szCs w:val="20"/>
              </w:rPr>
              <w:t>Variable</w:t>
            </w:r>
          </w:p>
        </w:tc>
        <w:tc>
          <w:tcPr>
            <w:tcW w:w="3141" w:type="dxa"/>
            <w:vAlign w:val="center"/>
            <w:hideMark/>
          </w:tcPr>
          <w:p w14:paraId="2EC17F19" w14:textId="77777777" w:rsidR="00805CFC" w:rsidRPr="00E9633C" w:rsidRDefault="00805CFC" w:rsidP="00805CFC">
            <w:pPr>
              <w:jc w:val="center"/>
              <w:rPr>
                <w:rFonts w:ascii="Arial" w:hAnsi="Arial" w:cs="Arial"/>
                <w:sz w:val="20"/>
                <w:szCs w:val="20"/>
              </w:rPr>
            </w:pPr>
            <w:r w:rsidRPr="00E9633C">
              <w:rPr>
                <w:rFonts w:ascii="Arial" w:hAnsi="Arial" w:cs="Arial"/>
                <w:b/>
                <w:bCs/>
                <w:sz w:val="20"/>
                <w:szCs w:val="20"/>
              </w:rPr>
              <w:t>HR (95% C.I.)</w:t>
            </w:r>
          </w:p>
        </w:tc>
        <w:tc>
          <w:tcPr>
            <w:tcW w:w="3143" w:type="dxa"/>
            <w:vAlign w:val="center"/>
            <w:hideMark/>
          </w:tcPr>
          <w:p w14:paraId="5035A8D0" w14:textId="77777777" w:rsidR="00805CFC" w:rsidRPr="00E9633C" w:rsidRDefault="00805CFC" w:rsidP="00805CFC">
            <w:pPr>
              <w:jc w:val="center"/>
              <w:rPr>
                <w:rFonts w:ascii="Arial" w:hAnsi="Arial" w:cs="Arial"/>
                <w:sz w:val="20"/>
                <w:szCs w:val="20"/>
              </w:rPr>
            </w:pPr>
            <w:r w:rsidRPr="00E9633C">
              <w:rPr>
                <w:rFonts w:ascii="Arial" w:hAnsi="Arial" w:cs="Arial"/>
                <w:b/>
                <w:bCs/>
                <w:sz w:val="20"/>
                <w:szCs w:val="20"/>
              </w:rPr>
              <w:t>p value</w:t>
            </w:r>
          </w:p>
        </w:tc>
      </w:tr>
      <w:tr w:rsidR="00805CFC" w:rsidRPr="00E9633C" w14:paraId="1DAA7938" w14:textId="77777777" w:rsidTr="00805CFC">
        <w:trPr>
          <w:trHeight w:val="282"/>
        </w:trPr>
        <w:tc>
          <w:tcPr>
            <w:tcW w:w="3140" w:type="dxa"/>
            <w:vAlign w:val="center"/>
            <w:hideMark/>
          </w:tcPr>
          <w:p w14:paraId="74B2DB0C" w14:textId="77777777" w:rsidR="00805CFC" w:rsidRPr="00E9633C" w:rsidRDefault="00805CFC" w:rsidP="00805CFC">
            <w:pPr>
              <w:rPr>
                <w:rFonts w:ascii="Arial" w:hAnsi="Arial" w:cs="Arial"/>
                <w:sz w:val="20"/>
                <w:szCs w:val="20"/>
              </w:rPr>
            </w:pPr>
            <w:r w:rsidRPr="00E9633C">
              <w:rPr>
                <w:rFonts w:ascii="Arial" w:hAnsi="Arial" w:cs="Arial"/>
                <w:sz w:val="20"/>
                <w:szCs w:val="20"/>
              </w:rPr>
              <w:t>Expert Dx IND vs. ND</w:t>
            </w:r>
          </w:p>
        </w:tc>
        <w:tc>
          <w:tcPr>
            <w:tcW w:w="3141" w:type="dxa"/>
            <w:vAlign w:val="center"/>
            <w:hideMark/>
          </w:tcPr>
          <w:p w14:paraId="0C8A6382" w14:textId="77777777" w:rsidR="00805CFC" w:rsidRPr="00E9633C" w:rsidRDefault="00805CFC" w:rsidP="00805CFC">
            <w:pPr>
              <w:jc w:val="center"/>
              <w:rPr>
                <w:rFonts w:ascii="Arial" w:hAnsi="Arial" w:cs="Arial"/>
                <w:sz w:val="20"/>
                <w:szCs w:val="20"/>
              </w:rPr>
            </w:pPr>
            <w:r w:rsidRPr="00E9633C">
              <w:rPr>
                <w:rFonts w:ascii="Arial" w:hAnsi="Arial" w:cs="Arial"/>
                <w:sz w:val="20"/>
                <w:szCs w:val="20"/>
              </w:rPr>
              <w:t>1.02 (0.40, 2.59)</w:t>
            </w:r>
          </w:p>
        </w:tc>
        <w:tc>
          <w:tcPr>
            <w:tcW w:w="3143" w:type="dxa"/>
            <w:vAlign w:val="center"/>
            <w:hideMark/>
          </w:tcPr>
          <w:p w14:paraId="3418275A" w14:textId="77777777" w:rsidR="00805CFC" w:rsidRPr="00E9633C" w:rsidRDefault="00805CFC" w:rsidP="00805CFC">
            <w:pPr>
              <w:jc w:val="center"/>
              <w:rPr>
                <w:rFonts w:ascii="Arial" w:hAnsi="Arial" w:cs="Arial"/>
                <w:sz w:val="20"/>
                <w:szCs w:val="20"/>
              </w:rPr>
            </w:pPr>
            <w:r w:rsidRPr="00E9633C">
              <w:rPr>
                <w:rFonts w:ascii="Arial" w:hAnsi="Arial" w:cs="Arial"/>
                <w:sz w:val="20"/>
                <w:szCs w:val="20"/>
              </w:rPr>
              <w:t>0.9642</w:t>
            </w:r>
          </w:p>
        </w:tc>
      </w:tr>
      <w:tr w:rsidR="00805CFC" w:rsidRPr="00E9633C" w14:paraId="6088CC96" w14:textId="77777777" w:rsidTr="00805CFC">
        <w:trPr>
          <w:trHeight w:val="282"/>
        </w:trPr>
        <w:tc>
          <w:tcPr>
            <w:tcW w:w="3140" w:type="dxa"/>
            <w:vAlign w:val="center"/>
            <w:hideMark/>
          </w:tcPr>
          <w:p w14:paraId="2FF924CC" w14:textId="77777777" w:rsidR="00805CFC" w:rsidRPr="00E9633C" w:rsidRDefault="00805CFC" w:rsidP="00805CFC">
            <w:pPr>
              <w:rPr>
                <w:rFonts w:ascii="Arial" w:hAnsi="Arial" w:cs="Arial"/>
                <w:sz w:val="20"/>
                <w:szCs w:val="20"/>
              </w:rPr>
            </w:pPr>
            <w:r w:rsidRPr="00E9633C">
              <w:rPr>
                <w:rFonts w:ascii="Arial" w:hAnsi="Arial" w:cs="Arial"/>
                <w:sz w:val="20"/>
                <w:szCs w:val="20"/>
              </w:rPr>
              <w:t>Expert Dx LGD vs. ND</w:t>
            </w:r>
          </w:p>
        </w:tc>
        <w:tc>
          <w:tcPr>
            <w:tcW w:w="3141" w:type="dxa"/>
            <w:vAlign w:val="center"/>
            <w:hideMark/>
          </w:tcPr>
          <w:p w14:paraId="04057C95" w14:textId="77777777" w:rsidR="00805CFC" w:rsidRPr="00E9633C" w:rsidRDefault="00805CFC" w:rsidP="00805CFC">
            <w:pPr>
              <w:jc w:val="center"/>
              <w:rPr>
                <w:rFonts w:ascii="Arial" w:hAnsi="Arial" w:cs="Arial"/>
                <w:sz w:val="20"/>
                <w:szCs w:val="20"/>
              </w:rPr>
            </w:pPr>
            <w:r w:rsidRPr="00E9633C">
              <w:rPr>
                <w:rFonts w:ascii="Arial" w:hAnsi="Arial" w:cs="Arial"/>
                <w:sz w:val="20"/>
                <w:szCs w:val="20"/>
              </w:rPr>
              <w:t>2.16 (1.00, 4.68)</w:t>
            </w:r>
          </w:p>
        </w:tc>
        <w:tc>
          <w:tcPr>
            <w:tcW w:w="3143" w:type="dxa"/>
            <w:vAlign w:val="center"/>
            <w:hideMark/>
          </w:tcPr>
          <w:p w14:paraId="618904C4" w14:textId="77777777" w:rsidR="00805CFC" w:rsidRPr="00E9633C" w:rsidRDefault="00805CFC" w:rsidP="00805CFC">
            <w:pPr>
              <w:jc w:val="center"/>
              <w:rPr>
                <w:rFonts w:ascii="Arial" w:hAnsi="Arial" w:cs="Arial"/>
                <w:sz w:val="20"/>
                <w:szCs w:val="20"/>
              </w:rPr>
            </w:pPr>
            <w:r w:rsidRPr="00E9633C">
              <w:rPr>
                <w:rFonts w:ascii="Arial" w:hAnsi="Arial" w:cs="Arial"/>
                <w:sz w:val="20"/>
                <w:szCs w:val="20"/>
              </w:rPr>
              <w:t>0.0503</w:t>
            </w:r>
          </w:p>
        </w:tc>
      </w:tr>
      <w:tr w:rsidR="00805CFC" w:rsidRPr="00E9633C" w14:paraId="02F0EFC5" w14:textId="77777777" w:rsidTr="00805CFC">
        <w:trPr>
          <w:trHeight w:val="282"/>
        </w:trPr>
        <w:tc>
          <w:tcPr>
            <w:tcW w:w="3140" w:type="dxa"/>
            <w:vAlign w:val="center"/>
            <w:hideMark/>
          </w:tcPr>
          <w:p w14:paraId="7B1D7A38" w14:textId="77777777" w:rsidR="00805CFC" w:rsidRPr="00E9633C" w:rsidRDefault="00805CFC" w:rsidP="00805CFC">
            <w:pPr>
              <w:rPr>
                <w:rFonts w:ascii="Arial" w:hAnsi="Arial" w:cs="Arial"/>
                <w:sz w:val="20"/>
                <w:szCs w:val="20"/>
              </w:rPr>
            </w:pPr>
            <w:r w:rsidRPr="00E9633C">
              <w:rPr>
                <w:rFonts w:ascii="Arial" w:hAnsi="Arial" w:cs="Arial"/>
                <w:sz w:val="20"/>
                <w:szCs w:val="20"/>
              </w:rPr>
              <w:t>TissueCypher Risk Score</w:t>
            </w:r>
          </w:p>
        </w:tc>
        <w:tc>
          <w:tcPr>
            <w:tcW w:w="3141" w:type="dxa"/>
            <w:vAlign w:val="center"/>
            <w:hideMark/>
          </w:tcPr>
          <w:p w14:paraId="34E6AD7B" w14:textId="77777777" w:rsidR="00805CFC" w:rsidRPr="00E9633C" w:rsidRDefault="00805CFC" w:rsidP="00805CFC">
            <w:pPr>
              <w:jc w:val="center"/>
              <w:rPr>
                <w:rFonts w:ascii="Arial" w:hAnsi="Arial" w:cs="Arial"/>
                <w:sz w:val="20"/>
                <w:szCs w:val="20"/>
              </w:rPr>
            </w:pPr>
            <w:r w:rsidRPr="00E9633C">
              <w:rPr>
                <w:rFonts w:ascii="Arial" w:hAnsi="Arial" w:cs="Arial"/>
                <w:sz w:val="20"/>
                <w:szCs w:val="20"/>
              </w:rPr>
              <w:t>1.28 (1.09, 1.49)</w:t>
            </w:r>
          </w:p>
        </w:tc>
        <w:tc>
          <w:tcPr>
            <w:tcW w:w="3143" w:type="dxa"/>
            <w:vAlign w:val="center"/>
            <w:hideMark/>
          </w:tcPr>
          <w:p w14:paraId="109A1A55" w14:textId="77777777" w:rsidR="00805CFC" w:rsidRPr="00E9633C" w:rsidRDefault="00805CFC" w:rsidP="00805CFC">
            <w:pPr>
              <w:jc w:val="center"/>
              <w:rPr>
                <w:rFonts w:ascii="Arial" w:hAnsi="Arial" w:cs="Arial"/>
                <w:sz w:val="20"/>
                <w:szCs w:val="20"/>
              </w:rPr>
            </w:pPr>
            <w:r w:rsidRPr="00E9633C">
              <w:rPr>
                <w:rFonts w:ascii="Arial" w:hAnsi="Arial" w:cs="Arial"/>
                <w:sz w:val="20"/>
                <w:szCs w:val="20"/>
              </w:rPr>
              <w:t>0.0020</w:t>
            </w:r>
          </w:p>
        </w:tc>
      </w:tr>
    </w:tbl>
    <w:tbl>
      <w:tblPr>
        <w:tblStyle w:val="TableGrid"/>
        <w:tblW w:w="9401" w:type="dxa"/>
        <w:tblLook w:val="04A0" w:firstRow="1" w:lastRow="0" w:firstColumn="1" w:lastColumn="0" w:noHBand="0" w:noVBand="1"/>
      </w:tblPr>
      <w:tblGrid>
        <w:gridCol w:w="9401"/>
      </w:tblGrid>
      <w:tr w:rsidR="005908EB" w:rsidRPr="00E9633C" w14:paraId="7C795B55" w14:textId="77777777" w:rsidTr="005930EB">
        <w:trPr>
          <w:trHeight w:val="258"/>
        </w:trPr>
        <w:tc>
          <w:tcPr>
            <w:tcW w:w="9401" w:type="dxa"/>
            <w:vAlign w:val="center"/>
          </w:tcPr>
          <w:p w14:paraId="77406541" w14:textId="2095A3D9" w:rsidR="005908EB" w:rsidRPr="00E9633C" w:rsidRDefault="005908EB" w:rsidP="005930EB">
            <w:pPr>
              <w:rPr>
                <w:rFonts w:ascii="Arial" w:hAnsi="Arial" w:cs="Arial"/>
                <w:bCs/>
                <w:sz w:val="20"/>
                <w:szCs w:val="20"/>
              </w:rPr>
            </w:pPr>
            <w:r w:rsidRPr="00E9633C">
              <w:rPr>
                <w:rFonts w:ascii="Arial" w:hAnsi="Arial" w:cs="Arial"/>
                <w:bCs/>
                <w:sz w:val="18"/>
                <w:szCs w:val="18"/>
              </w:rPr>
              <w:t>Note: Multivaria</w:t>
            </w:r>
            <w:r w:rsidR="00854ADA" w:rsidRPr="00E9633C">
              <w:rPr>
                <w:rFonts w:ascii="Arial" w:hAnsi="Arial" w:cs="Arial"/>
                <w:bCs/>
                <w:sz w:val="18"/>
                <w:szCs w:val="18"/>
              </w:rPr>
              <w:t>bl</w:t>
            </w:r>
            <w:r w:rsidRPr="00E9633C">
              <w:rPr>
                <w:rFonts w:ascii="Arial" w:hAnsi="Arial" w:cs="Arial"/>
                <w:bCs/>
                <w:sz w:val="18"/>
                <w:szCs w:val="18"/>
              </w:rPr>
              <w:t>e Cox models were run in which progression to HGD/EAC was evaluated first in relation to GI subspecialist (expert) diagnosis (Dx) alone, then in relation to the continuous risk score produced by the test and expert Dx, as described in Materials and Methods.</w:t>
            </w:r>
          </w:p>
        </w:tc>
      </w:tr>
    </w:tbl>
    <w:p w14:paraId="6BB07ABB" w14:textId="23E64B9B" w:rsidR="00646D6D" w:rsidRPr="00E9633C" w:rsidRDefault="00646D6D">
      <w:pPr>
        <w:rPr>
          <w:rFonts w:ascii="Arial" w:hAnsi="Arial" w:cs="Arial"/>
          <w:sz w:val="18"/>
          <w:szCs w:val="18"/>
        </w:rPr>
      </w:pPr>
    </w:p>
    <w:p w14:paraId="54EF2D3C" w14:textId="77777777" w:rsidR="00DE0D2A" w:rsidRPr="00E9633C" w:rsidRDefault="00DE0D2A">
      <w:pPr>
        <w:rPr>
          <w:rFonts w:ascii="Arial" w:hAnsi="Arial" w:cs="Arial"/>
          <w:sz w:val="18"/>
          <w:szCs w:val="18"/>
        </w:rPr>
      </w:pPr>
    </w:p>
    <w:p w14:paraId="40347FC1" w14:textId="3915EAC0" w:rsidR="00805CFC" w:rsidRPr="00E9633C" w:rsidRDefault="00805CFC">
      <w:pPr>
        <w:rPr>
          <w:rFonts w:ascii="Arial" w:hAnsi="Arial" w:cs="Arial"/>
          <w:sz w:val="18"/>
          <w:szCs w:val="18"/>
        </w:rPr>
      </w:pPr>
    </w:p>
    <w:p w14:paraId="18DBA736" w14:textId="77777777" w:rsidR="00805CFC" w:rsidRPr="00E9633C" w:rsidRDefault="00805CFC">
      <w:pPr>
        <w:rPr>
          <w:rFonts w:ascii="Arial" w:hAnsi="Arial" w:cs="Arial"/>
          <w:sz w:val="18"/>
          <w:szCs w:val="18"/>
        </w:rPr>
      </w:pPr>
    </w:p>
    <w:tbl>
      <w:tblPr>
        <w:tblStyle w:val="TableGrid"/>
        <w:tblpPr w:leftFromText="180" w:rightFromText="180" w:vertAnchor="text" w:horzAnchor="margin" w:tblpY="-59"/>
        <w:tblW w:w="5000" w:type="pct"/>
        <w:tblCellMar>
          <w:left w:w="58" w:type="dxa"/>
          <w:right w:w="58" w:type="dxa"/>
        </w:tblCellMar>
        <w:tblLook w:val="0420" w:firstRow="1" w:lastRow="0" w:firstColumn="0" w:lastColumn="0" w:noHBand="0" w:noVBand="1"/>
      </w:tblPr>
      <w:tblGrid>
        <w:gridCol w:w="1172"/>
        <w:gridCol w:w="1343"/>
        <w:gridCol w:w="2970"/>
        <w:gridCol w:w="1148"/>
        <w:gridCol w:w="1359"/>
        <w:gridCol w:w="1358"/>
      </w:tblGrid>
      <w:tr w:rsidR="00107A43" w:rsidRPr="00E9633C" w14:paraId="1D96A891" w14:textId="77777777" w:rsidTr="00107A43">
        <w:trPr>
          <w:trHeight w:val="368"/>
        </w:trPr>
        <w:tc>
          <w:tcPr>
            <w:tcW w:w="5000" w:type="pct"/>
            <w:gridSpan w:val="6"/>
            <w:vAlign w:val="center"/>
          </w:tcPr>
          <w:p w14:paraId="37E66AA9" w14:textId="626BC259" w:rsidR="00107A43" w:rsidRPr="00E9633C" w:rsidRDefault="00107A43" w:rsidP="00107A43">
            <w:pPr>
              <w:rPr>
                <w:rFonts w:ascii="Arial" w:hAnsi="Arial" w:cs="Arial"/>
                <w:b/>
                <w:bCs/>
                <w:sz w:val="20"/>
                <w:szCs w:val="20"/>
              </w:rPr>
            </w:pPr>
            <w:r w:rsidRPr="00E9633C">
              <w:rPr>
                <w:rFonts w:ascii="Arial" w:hAnsi="Arial" w:cs="Arial"/>
                <w:b/>
                <w:bCs/>
                <w:sz w:val="20"/>
                <w:szCs w:val="20"/>
              </w:rPr>
              <w:t xml:space="preserve">Table </w:t>
            </w:r>
            <w:r w:rsidR="00DE0D2A" w:rsidRPr="00E9633C">
              <w:rPr>
                <w:rFonts w:ascii="Arial" w:hAnsi="Arial" w:cs="Arial"/>
                <w:b/>
                <w:bCs/>
                <w:sz w:val="20"/>
                <w:szCs w:val="20"/>
              </w:rPr>
              <w:t>S4</w:t>
            </w:r>
            <w:r w:rsidRPr="00E9633C">
              <w:rPr>
                <w:rFonts w:ascii="Arial" w:hAnsi="Arial" w:cs="Arial"/>
                <w:b/>
                <w:bCs/>
                <w:sz w:val="20"/>
                <w:szCs w:val="20"/>
              </w:rPr>
              <w:t>. Risk Scores in Biopsies from Separate Endoscopic Levels</w:t>
            </w:r>
          </w:p>
        </w:tc>
      </w:tr>
      <w:tr w:rsidR="00107A43" w:rsidRPr="00E9633C" w14:paraId="0DE0175D" w14:textId="77777777" w:rsidTr="00107A43">
        <w:trPr>
          <w:trHeight w:val="579"/>
        </w:trPr>
        <w:tc>
          <w:tcPr>
            <w:tcW w:w="627" w:type="pct"/>
            <w:vMerge w:val="restart"/>
            <w:vAlign w:val="center"/>
            <w:hideMark/>
          </w:tcPr>
          <w:p w14:paraId="37CD8DFB" w14:textId="77777777" w:rsidR="00107A43" w:rsidRPr="00E9633C" w:rsidRDefault="00107A43" w:rsidP="00107A43">
            <w:pPr>
              <w:jc w:val="center"/>
              <w:rPr>
                <w:rFonts w:ascii="Arial" w:hAnsi="Arial" w:cs="Arial"/>
                <w:sz w:val="20"/>
                <w:szCs w:val="20"/>
              </w:rPr>
            </w:pPr>
            <w:r w:rsidRPr="00E9633C">
              <w:rPr>
                <w:rFonts w:ascii="Arial" w:hAnsi="Arial" w:cs="Arial"/>
                <w:b/>
                <w:bCs/>
                <w:sz w:val="20"/>
                <w:szCs w:val="20"/>
              </w:rPr>
              <w:t>Site</w:t>
            </w:r>
          </w:p>
        </w:tc>
        <w:tc>
          <w:tcPr>
            <w:tcW w:w="718" w:type="pct"/>
            <w:vMerge w:val="restart"/>
            <w:vAlign w:val="center"/>
            <w:hideMark/>
          </w:tcPr>
          <w:p w14:paraId="63CC9EB6" w14:textId="77777777" w:rsidR="00107A43" w:rsidRPr="00E9633C" w:rsidRDefault="00107A43" w:rsidP="00107A43">
            <w:pPr>
              <w:jc w:val="center"/>
              <w:rPr>
                <w:rFonts w:ascii="Arial" w:hAnsi="Arial" w:cs="Arial"/>
                <w:sz w:val="20"/>
                <w:szCs w:val="20"/>
              </w:rPr>
            </w:pPr>
            <w:r w:rsidRPr="00E9633C">
              <w:rPr>
                <w:rFonts w:ascii="Arial" w:hAnsi="Arial" w:cs="Arial"/>
                <w:b/>
                <w:bCs/>
                <w:sz w:val="20"/>
                <w:szCs w:val="20"/>
              </w:rPr>
              <w:t>Mean standard deviation of risk scores</w:t>
            </w:r>
          </w:p>
        </w:tc>
        <w:tc>
          <w:tcPr>
            <w:tcW w:w="1588" w:type="pct"/>
            <w:vMerge w:val="restart"/>
            <w:vAlign w:val="center"/>
            <w:hideMark/>
          </w:tcPr>
          <w:p w14:paraId="3BF1A5BA" w14:textId="77777777" w:rsidR="00107A43" w:rsidRPr="00E9633C" w:rsidRDefault="00107A43" w:rsidP="00107A43">
            <w:pPr>
              <w:jc w:val="center"/>
              <w:rPr>
                <w:rFonts w:ascii="Arial" w:hAnsi="Arial" w:cs="Arial"/>
                <w:sz w:val="20"/>
                <w:szCs w:val="20"/>
              </w:rPr>
            </w:pPr>
            <w:r w:rsidRPr="00E9633C">
              <w:rPr>
                <w:rFonts w:ascii="Arial" w:hAnsi="Arial" w:cs="Arial"/>
                <w:b/>
                <w:bCs/>
                <w:sz w:val="20"/>
                <w:szCs w:val="20"/>
              </w:rPr>
              <w:t>Concordance in risk classes</w:t>
            </w:r>
          </w:p>
        </w:tc>
        <w:tc>
          <w:tcPr>
            <w:tcW w:w="2067" w:type="pct"/>
            <w:gridSpan w:val="3"/>
            <w:vAlign w:val="center"/>
            <w:hideMark/>
          </w:tcPr>
          <w:p w14:paraId="406FA2D8" w14:textId="77777777" w:rsidR="00107A43" w:rsidRPr="00E9633C" w:rsidRDefault="00107A43" w:rsidP="00107A43">
            <w:pPr>
              <w:jc w:val="center"/>
              <w:rPr>
                <w:rFonts w:ascii="Arial" w:hAnsi="Arial" w:cs="Arial"/>
                <w:b/>
                <w:bCs/>
                <w:sz w:val="20"/>
                <w:szCs w:val="20"/>
              </w:rPr>
            </w:pPr>
            <w:r w:rsidRPr="00E9633C">
              <w:rPr>
                <w:rFonts w:ascii="Arial" w:hAnsi="Arial" w:cs="Arial"/>
                <w:b/>
                <w:bCs/>
                <w:sz w:val="20"/>
                <w:szCs w:val="20"/>
              </w:rPr>
              <w:t xml:space="preserve">Patients with biopsies from </w:t>
            </w:r>
          </w:p>
          <w:p w14:paraId="15C6FCE2" w14:textId="77777777" w:rsidR="00107A43" w:rsidRPr="00E9633C" w:rsidRDefault="00107A43" w:rsidP="00107A43">
            <w:pPr>
              <w:jc w:val="center"/>
              <w:rPr>
                <w:rFonts w:ascii="Arial" w:hAnsi="Arial" w:cs="Arial"/>
                <w:sz w:val="20"/>
                <w:szCs w:val="20"/>
              </w:rPr>
            </w:pPr>
            <w:r w:rsidRPr="00E9633C">
              <w:rPr>
                <w:rFonts w:ascii="Arial" w:hAnsi="Arial" w:cs="Arial"/>
                <w:b/>
                <w:bCs/>
                <w:sz w:val="20"/>
                <w:szCs w:val="20"/>
              </w:rPr>
              <w:t>multiple endoscopic levels</w:t>
            </w:r>
          </w:p>
        </w:tc>
      </w:tr>
      <w:tr w:rsidR="00107A43" w:rsidRPr="00E9633C" w14:paraId="4FEE68A9" w14:textId="77777777" w:rsidTr="00107A43">
        <w:trPr>
          <w:trHeight w:val="579"/>
        </w:trPr>
        <w:tc>
          <w:tcPr>
            <w:tcW w:w="627" w:type="pct"/>
            <w:vMerge/>
            <w:vAlign w:val="center"/>
            <w:hideMark/>
          </w:tcPr>
          <w:p w14:paraId="68ECF32B" w14:textId="77777777" w:rsidR="00107A43" w:rsidRPr="00E9633C" w:rsidRDefault="00107A43" w:rsidP="00107A43">
            <w:pPr>
              <w:jc w:val="center"/>
              <w:rPr>
                <w:rFonts w:ascii="Arial" w:hAnsi="Arial" w:cs="Arial"/>
                <w:sz w:val="20"/>
                <w:szCs w:val="20"/>
              </w:rPr>
            </w:pPr>
          </w:p>
        </w:tc>
        <w:tc>
          <w:tcPr>
            <w:tcW w:w="718" w:type="pct"/>
            <w:vMerge/>
            <w:vAlign w:val="center"/>
            <w:hideMark/>
          </w:tcPr>
          <w:p w14:paraId="6539B526" w14:textId="77777777" w:rsidR="00107A43" w:rsidRPr="00E9633C" w:rsidRDefault="00107A43" w:rsidP="00107A43">
            <w:pPr>
              <w:jc w:val="center"/>
              <w:rPr>
                <w:rFonts w:ascii="Arial" w:hAnsi="Arial" w:cs="Arial"/>
                <w:sz w:val="20"/>
                <w:szCs w:val="20"/>
              </w:rPr>
            </w:pPr>
          </w:p>
        </w:tc>
        <w:tc>
          <w:tcPr>
            <w:tcW w:w="1588" w:type="pct"/>
            <w:vMerge/>
            <w:vAlign w:val="center"/>
            <w:hideMark/>
          </w:tcPr>
          <w:p w14:paraId="71E76EA9" w14:textId="77777777" w:rsidR="00107A43" w:rsidRPr="00E9633C" w:rsidRDefault="00107A43" w:rsidP="00107A43">
            <w:pPr>
              <w:jc w:val="center"/>
              <w:rPr>
                <w:rFonts w:ascii="Arial" w:hAnsi="Arial" w:cs="Arial"/>
                <w:sz w:val="20"/>
                <w:szCs w:val="20"/>
              </w:rPr>
            </w:pPr>
          </w:p>
        </w:tc>
        <w:tc>
          <w:tcPr>
            <w:tcW w:w="614" w:type="pct"/>
            <w:vAlign w:val="center"/>
            <w:hideMark/>
          </w:tcPr>
          <w:p w14:paraId="568D2CE6" w14:textId="77777777" w:rsidR="00107A43" w:rsidRPr="00E9633C" w:rsidRDefault="00107A43" w:rsidP="00107A43">
            <w:pPr>
              <w:jc w:val="center"/>
              <w:rPr>
                <w:rFonts w:ascii="Arial" w:hAnsi="Arial" w:cs="Arial"/>
                <w:sz w:val="20"/>
                <w:szCs w:val="20"/>
              </w:rPr>
            </w:pPr>
            <w:r w:rsidRPr="00E9633C">
              <w:rPr>
                <w:rFonts w:ascii="Arial" w:hAnsi="Arial" w:cs="Arial"/>
                <w:b/>
                <w:bCs/>
                <w:sz w:val="20"/>
                <w:szCs w:val="20"/>
              </w:rPr>
              <w:t>All</w:t>
            </w:r>
          </w:p>
          <w:p w14:paraId="010055CA" w14:textId="77777777" w:rsidR="00107A43" w:rsidRPr="00E9633C" w:rsidRDefault="00107A43" w:rsidP="00107A43">
            <w:pPr>
              <w:jc w:val="center"/>
              <w:rPr>
                <w:rFonts w:ascii="Arial" w:hAnsi="Arial" w:cs="Arial"/>
                <w:sz w:val="20"/>
                <w:szCs w:val="20"/>
              </w:rPr>
            </w:pPr>
            <w:r w:rsidRPr="00E9633C">
              <w:rPr>
                <w:rFonts w:ascii="Arial" w:hAnsi="Arial" w:cs="Arial"/>
                <w:b/>
                <w:bCs/>
                <w:sz w:val="20"/>
                <w:szCs w:val="20"/>
              </w:rPr>
              <w:t>patients</w:t>
            </w:r>
          </w:p>
        </w:tc>
        <w:tc>
          <w:tcPr>
            <w:tcW w:w="727" w:type="pct"/>
            <w:vAlign w:val="center"/>
            <w:hideMark/>
          </w:tcPr>
          <w:p w14:paraId="04E7DEE2" w14:textId="77777777" w:rsidR="00107A43" w:rsidRPr="00E9633C" w:rsidRDefault="00107A43" w:rsidP="00107A43">
            <w:pPr>
              <w:jc w:val="center"/>
              <w:rPr>
                <w:rFonts w:ascii="Arial" w:hAnsi="Arial" w:cs="Arial"/>
                <w:sz w:val="20"/>
                <w:szCs w:val="20"/>
              </w:rPr>
            </w:pPr>
            <w:r w:rsidRPr="00E9633C">
              <w:rPr>
                <w:rFonts w:ascii="Arial" w:hAnsi="Arial" w:cs="Arial"/>
                <w:b/>
                <w:bCs/>
                <w:sz w:val="20"/>
                <w:szCs w:val="20"/>
              </w:rPr>
              <w:t>Incident Progressors</w:t>
            </w:r>
          </w:p>
        </w:tc>
        <w:tc>
          <w:tcPr>
            <w:tcW w:w="726" w:type="pct"/>
            <w:vAlign w:val="center"/>
            <w:hideMark/>
          </w:tcPr>
          <w:p w14:paraId="4E5E35EE" w14:textId="77777777" w:rsidR="00107A43" w:rsidRPr="00E9633C" w:rsidRDefault="00107A43" w:rsidP="00107A43">
            <w:pPr>
              <w:jc w:val="center"/>
              <w:rPr>
                <w:rFonts w:ascii="Arial" w:hAnsi="Arial" w:cs="Arial"/>
                <w:b/>
                <w:bCs/>
                <w:sz w:val="20"/>
                <w:szCs w:val="20"/>
              </w:rPr>
            </w:pPr>
            <w:r w:rsidRPr="00E9633C">
              <w:rPr>
                <w:rFonts w:ascii="Arial" w:hAnsi="Arial" w:cs="Arial"/>
                <w:b/>
                <w:bCs/>
                <w:sz w:val="20"/>
                <w:szCs w:val="20"/>
              </w:rPr>
              <w:t>Non-</w:t>
            </w:r>
          </w:p>
          <w:p w14:paraId="0F47C8C8" w14:textId="77777777" w:rsidR="00107A43" w:rsidRPr="00E9633C" w:rsidRDefault="00107A43" w:rsidP="00107A43">
            <w:pPr>
              <w:jc w:val="center"/>
              <w:rPr>
                <w:rFonts w:ascii="Arial" w:hAnsi="Arial" w:cs="Arial"/>
                <w:sz w:val="20"/>
                <w:szCs w:val="20"/>
              </w:rPr>
            </w:pPr>
            <w:r w:rsidRPr="00E9633C">
              <w:rPr>
                <w:rFonts w:ascii="Arial" w:hAnsi="Arial" w:cs="Arial"/>
                <w:b/>
                <w:bCs/>
                <w:sz w:val="20"/>
                <w:szCs w:val="20"/>
              </w:rPr>
              <w:t>Progressors</w:t>
            </w:r>
          </w:p>
        </w:tc>
      </w:tr>
      <w:tr w:rsidR="00107A43" w:rsidRPr="00E9633C" w14:paraId="548AB9D2" w14:textId="77777777" w:rsidTr="00107A43">
        <w:trPr>
          <w:trHeight w:val="913"/>
        </w:trPr>
        <w:tc>
          <w:tcPr>
            <w:tcW w:w="627" w:type="pct"/>
            <w:vAlign w:val="center"/>
            <w:hideMark/>
          </w:tcPr>
          <w:p w14:paraId="08320A98" w14:textId="77777777" w:rsidR="00107A43" w:rsidRPr="00E9633C" w:rsidRDefault="00107A43" w:rsidP="00107A43">
            <w:pPr>
              <w:jc w:val="center"/>
              <w:rPr>
                <w:rFonts w:ascii="Arial" w:hAnsi="Arial" w:cs="Arial"/>
                <w:sz w:val="20"/>
                <w:szCs w:val="20"/>
              </w:rPr>
            </w:pPr>
            <w:r w:rsidRPr="00E9633C">
              <w:rPr>
                <w:rFonts w:ascii="Arial" w:hAnsi="Arial" w:cs="Arial"/>
                <w:b/>
                <w:bCs/>
                <w:sz w:val="20"/>
                <w:szCs w:val="20"/>
              </w:rPr>
              <w:t>Cleveland Clinic</w:t>
            </w:r>
          </w:p>
        </w:tc>
        <w:tc>
          <w:tcPr>
            <w:tcW w:w="718" w:type="pct"/>
            <w:vAlign w:val="center"/>
            <w:hideMark/>
          </w:tcPr>
          <w:p w14:paraId="02CD0B9D" w14:textId="77777777" w:rsidR="00107A43" w:rsidRPr="00E9633C" w:rsidRDefault="00107A43" w:rsidP="00107A43">
            <w:pPr>
              <w:jc w:val="center"/>
              <w:rPr>
                <w:rFonts w:ascii="Arial" w:hAnsi="Arial" w:cs="Arial"/>
                <w:sz w:val="20"/>
                <w:szCs w:val="20"/>
              </w:rPr>
            </w:pPr>
            <w:r w:rsidRPr="00E9633C">
              <w:rPr>
                <w:rFonts w:ascii="Arial" w:hAnsi="Arial" w:cs="Arial"/>
                <w:sz w:val="20"/>
                <w:szCs w:val="20"/>
              </w:rPr>
              <w:t>1.32</w:t>
            </w:r>
          </w:p>
        </w:tc>
        <w:tc>
          <w:tcPr>
            <w:tcW w:w="1588" w:type="pct"/>
            <w:vAlign w:val="center"/>
            <w:hideMark/>
          </w:tcPr>
          <w:p w14:paraId="0F4347D3" w14:textId="77777777" w:rsidR="00107A43" w:rsidRPr="00E9633C" w:rsidRDefault="00107A43" w:rsidP="00107A43">
            <w:pPr>
              <w:jc w:val="center"/>
              <w:rPr>
                <w:rFonts w:ascii="Arial" w:hAnsi="Arial" w:cs="Arial"/>
                <w:sz w:val="20"/>
                <w:szCs w:val="20"/>
              </w:rPr>
            </w:pPr>
            <w:r w:rsidRPr="00E9633C">
              <w:rPr>
                <w:rFonts w:ascii="Arial" w:hAnsi="Arial" w:cs="Arial"/>
                <w:sz w:val="20"/>
                <w:szCs w:val="20"/>
              </w:rPr>
              <w:t>72% score same risk class</w:t>
            </w:r>
          </w:p>
          <w:p w14:paraId="23272F91" w14:textId="77777777" w:rsidR="00107A43" w:rsidRPr="00E9633C" w:rsidRDefault="00107A43" w:rsidP="00107A43">
            <w:pPr>
              <w:jc w:val="center"/>
              <w:rPr>
                <w:rFonts w:ascii="Arial" w:hAnsi="Arial" w:cs="Arial"/>
                <w:sz w:val="20"/>
                <w:szCs w:val="20"/>
              </w:rPr>
            </w:pPr>
            <w:r w:rsidRPr="00E9633C">
              <w:rPr>
                <w:rFonts w:ascii="Arial" w:hAnsi="Arial" w:cs="Arial"/>
                <w:sz w:val="20"/>
                <w:szCs w:val="20"/>
              </w:rPr>
              <w:t>26% score across 2 risk classes</w:t>
            </w:r>
          </w:p>
          <w:p w14:paraId="315883DA" w14:textId="77777777" w:rsidR="00107A43" w:rsidRPr="00E9633C" w:rsidRDefault="00107A43" w:rsidP="00107A43">
            <w:pPr>
              <w:jc w:val="center"/>
              <w:rPr>
                <w:rFonts w:ascii="Arial" w:hAnsi="Arial" w:cs="Arial"/>
                <w:sz w:val="20"/>
                <w:szCs w:val="20"/>
              </w:rPr>
            </w:pPr>
            <w:r w:rsidRPr="00E9633C">
              <w:rPr>
                <w:rFonts w:ascii="Arial" w:hAnsi="Arial" w:cs="Arial"/>
                <w:sz w:val="20"/>
                <w:szCs w:val="20"/>
              </w:rPr>
              <w:t>2% score across 3 risk classes</w:t>
            </w:r>
          </w:p>
        </w:tc>
        <w:tc>
          <w:tcPr>
            <w:tcW w:w="614" w:type="pct"/>
            <w:vAlign w:val="center"/>
            <w:hideMark/>
          </w:tcPr>
          <w:p w14:paraId="2BC70230" w14:textId="77777777" w:rsidR="00107A43" w:rsidRPr="00E9633C" w:rsidRDefault="00107A43" w:rsidP="00107A43">
            <w:pPr>
              <w:jc w:val="center"/>
              <w:rPr>
                <w:rFonts w:ascii="Arial" w:hAnsi="Arial" w:cs="Arial"/>
                <w:sz w:val="20"/>
                <w:szCs w:val="20"/>
              </w:rPr>
            </w:pPr>
            <w:r w:rsidRPr="00E9633C">
              <w:rPr>
                <w:rFonts w:ascii="Arial" w:hAnsi="Arial" w:cs="Arial"/>
                <w:sz w:val="20"/>
                <w:szCs w:val="20"/>
              </w:rPr>
              <w:t>47%</w:t>
            </w:r>
          </w:p>
        </w:tc>
        <w:tc>
          <w:tcPr>
            <w:tcW w:w="727" w:type="pct"/>
            <w:vAlign w:val="center"/>
            <w:hideMark/>
          </w:tcPr>
          <w:p w14:paraId="0CABA390" w14:textId="77777777" w:rsidR="00107A43" w:rsidRPr="00E9633C" w:rsidRDefault="00107A43" w:rsidP="00107A43">
            <w:pPr>
              <w:jc w:val="center"/>
              <w:rPr>
                <w:rFonts w:ascii="Arial" w:hAnsi="Arial" w:cs="Arial"/>
                <w:sz w:val="20"/>
                <w:szCs w:val="20"/>
              </w:rPr>
            </w:pPr>
            <w:r w:rsidRPr="00E9633C">
              <w:rPr>
                <w:rFonts w:ascii="Arial" w:hAnsi="Arial" w:cs="Arial"/>
                <w:sz w:val="20"/>
                <w:szCs w:val="20"/>
              </w:rPr>
              <w:t>56%</w:t>
            </w:r>
          </w:p>
        </w:tc>
        <w:tc>
          <w:tcPr>
            <w:tcW w:w="726" w:type="pct"/>
            <w:vAlign w:val="center"/>
            <w:hideMark/>
          </w:tcPr>
          <w:p w14:paraId="2FAE80AA" w14:textId="77777777" w:rsidR="00107A43" w:rsidRPr="00E9633C" w:rsidRDefault="00107A43" w:rsidP="00107A43">
            <w:pPr>
              <w:jc w:val="center"/>
              <w:rPr>
                <w:rFonts w:ascii="Arial" w:hAnsi="Arial" w:cs="Arial"/>
                <w:sz w:val="20"/>
                <w:szCs w:val="20"/>
              </w:rPr>
            </w:pPr>
            <w:r w:rsidRPr="00E9633C">
              <w:rPr>
                <w:rFonts w:ascii="Arial" w:hAnsi="Arial" w:cs="Arial"/>
                <w:sz w:val="20"/>
                <w:szCs w:val="20"/>
              </w:rPr>
              <w:t>45%</w:t>
            </w:r>
          </w:p>
        </w:tc>
      </w:tr>
      <w:tr w:rsidR="00107A43" w:rsidRPr="00107A43" w14:paraId="7DC924BB" w14:textId="77777777" w:rsidTr="00107A43">
        <w:trPr>
          <w:trHeight w:val="913"/>
        </w:trPr>
        <w:tc>
          <w:tcPr>
            <w:tcW w:w="627" w:type="pct"/>
            <w:vAlign w:val="center"/>
            <w:hideMark/>
          </w:tcPr>
          <w:p w14:paraId="690792BD" w14:textId="77777777" w:rsidR="00107A43" w:rsidRPr="00E9633C" w:rsidRDefault="00107A43" w:rsidP="00107A43">
            <w:pPr>
              <w:jc w:val="center"/>
              <w:rPr>
                <w:rFonts w:ascii="Arial" w:hAnsi="Arial" w:cs="Arial"/>
                <w:sz w:val="20"/>
                <w:szCs w:val="20"/>
              </w:rPr>
            </w:pPr>
            <w:r w:rsidRPr="00E9633C">
              <w:rPr>
                <w:rFonts w:ascii="Arial" w:hAnsi="Arial" w:cs="Arial"/>
                <w:b/>
                <w:bCs/>
                <w:sz w:val="20"/>
                <w:szCs w:val="20"/>
              </w:rPr>
              <w:t>University of Pittsburgh</w:t>
            </w:r>
          </w:p>
        </w:tc>
        <w:tc>
          <w:tcPr>
            <w:tcW w:w="718" w:type="pct"/>
            <w:vAlign w:val="center"/>
            <w:hideMark/>
          </w:tcPr>
          <w:p w14:paraId="62955A9D" w14:textId="77777777" w:rsidR="00107A43" w:rsidRPr="00E9633C" w:rsidRDefault="00107A43" w:rsidP="00107A43">
            <w:pPr>
              <w:jc w:val="center"/>
              <w:rPr>
                <w:rFonts w:ascii="Arial" w:hAnsi="Arial" w:cs="Arial"/>
                <w:sz w:val="20"/>
                <w:szCs w:val="20"/>
              </w:rPr>
            </w:pPr>
            <w:r w:rsidRPr="00E9633C">
              <w:rPr>
                <w:rFonts w:ascii="Arial" w:hAnsi="Arial" w:cs="Arial"/>
                <w:sz w:val="20"/>
                <w:szCs w:val="20"/>
              </w:rPr>
              <w:t>1.51</w:t>
            </w:r>
          </w:p>
        </w:tc>
        <w:tc>
          <w:tcPr>
            <w:tcW w:w="1588" w:type="pct"/>
            <w:vAlign w:val="center"/>
            <w:hideMark/>
          </w:tcPr>
          <w:p w14:paraId="16C21FD7" w14:textId="77777777" w:rsidR="00107A43" w:rsidRPr="00E9633C" w:rsidRDefault="00107A43" w:rsidP="00107A43">
            <w:pPr>
              <w:jc w:val="center"/>
              <w:rPr>
                <w:rFonts w:ascii="Arial" w:hAnsi="Arial" w:cs="Arial"/>
                <w:sz w:val="20"/>
                <w:szCs w:val="20"/>
              </w:rPr>
            </w:pPr>
            <w:r w:rsidRPr="00E9633C">
              <w:rPr>
                <w:rFonts w:ascii="Arial" w:hAnsi="Arial" w:cs="Arial"/>
                <w:sz w:val="20"/>
                <w:szCs w:val="20"/>
              </w:rPr>
              <w:t>75% score same risk class</w:t>
            </w:r>
          </w:p>
          <w:p w14:paraId="304C36AD" w14:textId="77777777" w:rsidR="00107A43" w:rsidRPr="00E9633C" w:rsidRDefault="00107A43" w:rsidP="00107A43">
            <w:pPr>
              <w:jc w:val="center"/>
              <w:rPr>
                <w:rFonts w:ascii="Arial" w:hAnsi="Arial" w:cs="Arial"/>
                <w:sz w:val="20"/>
                <w:szCs w:val="20"/>
              </w:rPr>
            </w:pPr>
            <w:r w:rsidRPr="00E9633C">
              <w:rPr>
                <w:rFonts w:ascii="Arial" w:hAnsi="Arial" w:cs="Arial"/>
                <w:sz w:val="20"/>
                <w:szCs w:val="20"/>
              </w:rPr>
              <w:t>22% score across 2 risk classes</w:t>
            </w:r>
          </w:p>
          <w:p w14:paraId="76DA4DD5" w14:textId="77777777" w:rsidR="00107A43" w:rsidRPr="00E9633C" w:rsidRDefault="00107A43" w:rsidP="00107A43">
            <w:pPr>
              <w:jc w:val="center"/>
              <w:rPr>
                <w:rFonts w:ascii="Arial" w:hAnsi="Arial" w:cs="Arial"/>
                <w:sz w:val="20"/>
                <w:szCs w:val="20"/>
              </w:rPr>
            </w:pPr>
            <w:r w:rsidRPr="00E9633C">
              <w:rPr>
                <w:rFonts w:ascii="Arial" w:hAnsi="Arial" w:cs="Arial"/>
                <w:sz w:val="20"/>
                <w:szCs w:val="20"/>
              </w:rPr>
              <w:t>3% score across 3 risk classes</w:t>
            </w:r>
          </w:p>
        </w:tc>
        <w:tc>
          <w:tcPr>
            <w:tcW w:w="614" w:type="pct"/>
            <w:vAlign w:val="center"/>
            <w:hideMark/>
          </w:tcPr>
          <w:p w14:paraId="2FE8CD0E" w14:textId="77777777" w:rsidR="00107A43" w:rsidRPr="00E9633C" w:rsidRDefault="00107A43" w:rsidP="00107A43">
            <w:pPr>
              <w:jc w:val="center"/>
              <w:rPr>
                <w:rFonts w:ascii="Arial" w:hAnsi="Arial" w:cs="Arial"/>
                <w:sz w:val="20"/>
                <w:szCs w:val="20"/>
              </w:rPr>
            </w:pPr>
            <w:r w:rsidRPr="00E9633C">
              <w:rPr>
                <w:rFonts w:ascii="Arial" w:hAnsi="Arial" w:cs="Arial"/>
                <w:sz w:val="20"/>
                <w:szCs w:val="20"/>
              </w:rPr>
              <w:t>27%</w:t>
            </w:r>
          </w:p>
        </w:tc>
        <w:tc>
          <w:tcPr>
            <w:tcW w:w="727" w:type="pct"/>
            <w:vAlign w:val="center"/>
            <w:hideMark/>
          </w:tcPr>
          <w:p w14:paraId="110F627D" w14:textId="77777777" w:rsidR="00107A43" w:rsidRPr="00E9633C" w:rsidRDefault="00107A43" w:rsidP="00107A43">
            <w:pPr>
              <w:jc w:val="center"/>
              <w:rPr>
                <w:rFonts w:ascii="Arial" w:hAnsi="Arial" w:cs="Arial"/>
                <w:sz w:val="20"/>
                <w:szCs w:val="20"/>
              </w:rPr>
            </w:pPr>
            <w:r w:rsidRPr="00E9633C">
              <w:rPr>
                <w:rFonts w:ascii="Arial" w:hAnsi="Arial" w:cs="Arial"/>
                <w:sz w:val="20"/>
                <w:szCs w:val="20"/>
              </w:rPr>
              <w:t>29%</w:t>
            </w:r>
          </w:p>
        </w:tc>
        <w:tc>
          <w:tcPr>
            <w:tcW w:w="726" w:type="pct"/>
            <w:vAlign w:val="center"/>
            <w:hideMark/>
          </w:tcPr>
          <w:p w14:paraId="16420511" w14:textId="77777777" w:rsidR="00107A43" w:rsidRPr="00107A43" w:rsidRDefault="00107A43" w:rsidP="00107A43">
            <w:pPr>
              <w:jc w:val="center"/>
              <w:rPr>
                <w:rFonts w:ascii="Arial" w:hAnsi="Arial" w:cs="Arial"/>
                <w:sz w:val="20"/>
                <w:szCs w:val="20"/>
              </w:rPr>
            </w:pPr>
            <w:r w:rsidRPr="00E9633C">
              <w:rPr>
                <w:rFonts w:ascii="Arial" w:hAnsi="Arial" w:cs="Arial"/>
                <w:sz w:val="20"/>
                <w:szCs w:val="20"/>
              </w:rPr>
              <w:t>26%</w:t>
            </w:r>
          </w:p>
        </w:tc>
      </w:tr>
    </w:tbl>
    <w:p w14:paraId="6CE6AF63" w14:textId="289305AF" w:rsidR="00646D6D" w:rsidRPr="001220AD" w:rsidRDefault="00646D6D">
      <w:pPr>
        <w:rPr>
          <w:rFonts w:ascii="Arial" w:hAnsi="Arial" w:cs="Arial"/>
          <w:sz w:val="18"/>
          <w:szCs w:val="18"/>
        </w:rPr>
      </w:pPr>
    </w:p>
    <w:sectPr w:rsidR="00646D6D" w:rsidRPr="0012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2D77"/>
    <w:multiLevelType w:val="hybridMultilevel"/>
    <w:tmpl w:val="587C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A09EF"/>
    <w:multiLevelType w:val="hybridMultilevel"/>
    <w:tmpl w:val="1ED64846"/>
    <w:lvl w:ilvl="0" w:tplc="DA58F8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967ACC"/>
    <w:multiLevelType w:val="hybridMultilevel"/>
    <w:tmpl w:val="E598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B75BD"/>
    <w:multiLevelType w:val="hybridMultilevel"/>
    <w:tmpl w:val="587C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54774"/>
    <w:multiLevelType w:val="hybridMultilevel"/>
    <w:tmpl w:val="CCDCAF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964E5"/>
    <w:multiLevelType w:val="hybridMultilevel"/>
    <w:tmpl w:val="062E692A"/>
    <w:lvl w:ilvl="0" w:tplc="EAA6A5D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7A"/>
    <w:rsid w:val="000036E2"/>
    <w:rsid w:val="00097F76"/>
    <w:rsid w:val="000B5A2A"/>
    <w:rsid w:val="000B6D90"/>
    <w:rsid w:val="000C5AFF"/>
    <w:rsid w:val="000D6593"/>
    <w:rsid w:val="000F5EFE"/>
    <w:rsid w:val="00107A43"/>
    <w:rsid w:val="001220AD"/>
    <w:rsid w:val="001530DE"/>
    <w:rsid w:val="001913CA"/>
    <w:rsid w:val="001F18A1"/>
    <w:rsid w:val="001F2210"/>
    <w:rsid w:val="00213B6B"/>
    <w:rsid w:val="0028663D"/>
    <w:rsid w:val="002A44E5"/>
    <w:rsid w:val="00375778"/>
    <w:rsid w:val="003D62E5"/>
    <w:rsid w:val="0041498B"/>
    <w:rsid w:val="004B02CE"/>
    <w:rsid w:val="004D103A"/>
    <w:rsid w:val="00504480"/>
    <w:rsid w:val="005908EB"/>
    <w:rsid w:val="005D4BC2"/>
    <w:rsid w:val="00603A24"/>
    <w:rsid w:val="00646D6D"/>
    <w:rsid w:val="00663D24"/>
    <w:rsid w:val="00673CAC"/>
    <w:rsid w:val="00674EC7"/>
    <w:rsid w:val="0067672C"/>
    <w:rsid w:val="0069507A"/>
    <w:rsid w:val="006D6F8A"/>
    <w:rsid w:val="006D7D77"/>
    <w:rsid w:val="00805CFC"/>
    <w:rsid w:val="0082387B"/>
    <w:rsid w:val="008241FD"/>
    <w:rsid w:val="00826899"/>
    <w:rsid w:val="00854ADA"/>
    <w:rsid w:val="00856125"/>
    <w:rsid w:val="00870CD3"/>
    <w:rsid w:val="008F18C6"/>
    <w:rsid w:val="00942883"/>
    <w:rsid w:val="00A16C73"/>
    <w:rsid w:val="00A5145A"/>
    <w:rsid w:val="00AC1B3E"/>
    <w:rsid w:val="00B3474C"/>
    <w:rsid w:val="00B65EAA"/>
    <w:rsid w:val="00B82FF3"/>
    <w:rsid w:val="00BD125F"/>
    <w:rsid w:val="00BF6373"/>
    <w:rsid w:val="00D1786B"/>
    <w:rsid w:val="00D8299C"/>
    <w:rsid w:val="00DC278A"/>
    <w:rsid w:val="00DE0D2A"/>
    <w:rsid w:val="00DF1545"/>
    <w:rsid w:val="00E0775C"/>
    <w:rsid w:val="00E27FE8"/>
    <w:rsid w:val="00E52BAA"/>
    <w:rsid w:val="00E9633C"/>
    <w:rsid w:val="00EE3101"/>
    <w:rsid w:val="00F05DD2"/>
    <w:rsid w:val="00F149AF"/>
    <w:rsid w:val="00FA1E4B"/>
    <w:rsid w:val="00FC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808F"/>
  <w15:chartTrackingRefBased/>
  <w15:docId w15:val="{ECE55B49-2E00-4BF2-9667-BF953D38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7A"/>
    <w:pPr>
      <w:ind w:left="720"/>
      <w:contextualSpacing/>
    </w:pPr>
  </w:style>
  <w:style w:type="table" w:styleId="TableGrid">
    <w:name w:val="Table Grid"/>
    <w:basedOn w:val="TableNormal"/>
    <w:uiPriority w:val="39"/>
    <w:rsid w:val="0069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46425">
      <w:bodyDiv w:val="1"/>
      <w:marLeft w:val="0"/>
      <w:marRight w:val="0"/>
      <w:marTop w:val="0"/>
      <w:marBottom w:val="0"/>
      <w:divBdr>
        <w:top w:val="none" w:sz="0" w:space="0" w:color="auto"/>
        <w:left w:val="none" w:sz="0" w:space="0" w:color="auto"/>
        <w:bottom w:val="none" w:sz="0" w:space="0" w:color="auto"/>
        <w:right w:val="none" w:sz="0" w:space="0" w:color="auto"/>
      </w:divBdr>
    </w:div>
    <w:div w:id="903612513">
      <w:bodyDiv w:val="1"/>
      <w:marLeft w:val="0"/>
      <w:marRight w:val="0"/>
      <w:marTop w:val="0"/>
      <w:marBottom w:val="0"/>
      <w:divBdr>
        <w:top w:val="none" w:sz="0" w:space="0" w:color="auto"/>
        <w:left w:val="none" w:sz="0" w:space="0" w:color="auto"/>
        <w:bottom w:val="none" w:sz="0" w:space="0" w:color="auto"/>
        <w:right w:val="none" w:sz="0" w:space="0" w:color="auto"/>
      </w:divBdr>
    </w:div>
    <w:div w:id="920680282">
      <w:bodyDiv w:val="1"/>
      <w:marLeft w:val="0"/>
      <w:marRight w:val="0"/>
      <w:marTop w:val="0"/>
      <w:marBottom w:val="0"/>
      <w:divBdr>
        <w:top w:val="none" w:sz="0" w:space="0" w:color="auto"/>
        <w:left w:val="none" w:sz="0" w:space="0" w:color="auto"/>
        <w:bottom w:val="none" w:sz="0" w:space="0" w:color="auto"/>
        <w:right w:val="none" w:sz="0" w:space="0" w:color="auto"/>
      </w:divBdr>
    </w:div>
    <w:div w:id="1459294596">
      <w:bodyDiv w:val="1"/>
      <w:marLeft w:val="0"/>
      <w:marRight w:val="0"/>
      <w:marTop w:val="0"/>
      <w:marBottom w:val="0"/>
      <w:divBdr>
        <w:top w:val="none" w:sz="0" w:space="0" w:color="auto"/>
        <w:left w:val="none" w:sz="0" w:space="0" w:color="auto"/>
        <w:bottom w:val="none" w:sz="0" w:space="0" w:color="auto"/>
        <w:right w:val="none" w:sz="0" w:space="0" w:color="auto"/>
      </w:divBdr>
    </w:div>
    <w:div w:id="1463645438">
      <w:bodyDiv w:val="1"/>
      <w:marLeft w:val="0"/>
      <w:marRight w:val="0"/>
      <w:marTop w:val="0"/>
      <w:marBottom w:val="0"/>
      <w:divBdr>
        <w:top w:val="none" w:sz="0" w:space="0" w:color="auto"/>
        <w:left w:val="none" w:sz="0" w:space="0" w:color="auto"/>
        <w:bottom w:val="none" w:sz="0" w:space="0" w:color="auto"/>
        <w:right w:val="none" w:sz="0" w:space="0" w:color="auto"/>
      </w:divBdr>
    </w:div>
    <w:div w:id="14992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Critchley-Thorne</dc:creator>
  <cp:keywords/>
  <dc:description/>
  <cp:lastModifiedBy>Rebecca Critchley-Thorne</cp:lastModifiedBy>
  <cp:revision>3</cp:revision>
  <dcterms:created xsi:type="dcterms:W3CDTF">2020-01-13T17:24:00Z</dcterms:created>
  <dcterms:modified xsi:type="dcterms:W3CDTF">2020-01-13T17:46:00Z</dcterms:modified>
</cp:coreProperties>
</file>