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8A33" w14:textId="6CB79F79" w:rsidR="00F24803" w:rsidRPr="0066544B" w:rsidRDefault="00F24803" w:rsidP="00B40A6F">
      <w:pPr>
        <w:pStyle w:val="NormalWeb"/>
        <w:shd w:val="clear" w:color="auto" w:fill="FFFFFF"/>
        <w:rPr>
          <w:rFonts w:ascii="Calibri" w:hAnsi="Calibri" w:cs="Calibri"/>
          <w:iCs/>
          <w:sz w:val="22"/>
          <w:szCs w:val="20"/>
        </w:rPr>
      </w:pPr>
      <w:r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>Supplement</w:t>
      </w:r>
      <w:r w:rsidR="008277F1"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>ary</w:t>
      </w:r>
      <w:r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 xml:space="preserve"> Table</w:t>
      </w:r>
      <w:r w:rsidR="008277F1"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 xml:space="preserve"> </w:t>
      </w:r>
      <w:r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>1. The annual incidence rate</w:t>
      </w:r>
      <w:r w:rsidR="00310B74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>s</w:t>
      </w:r>
      <w:r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 xml:space="preserve"> of ESCC and 95%CIs for </w:t>
      </w:r>
      <w:r w:rsidR="00310B74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 xml:space="preserve">patients with </w:t>
      </w:r>
      <w:r w:rsidRPr="0066544B">
        <w:rPr>
          <w:rFonts w:ascii="Calibri" w:eastAsiaTheme="minorEastAsia" w:hAnsi="Calibri" w:cs="Calibri"/>
          <w:b/>
          <w:iCs/>
          <w:color w:val="000000" w:themeColor="text1"/>
          <w:kern w:val="2"/>
          <w:sz w:val="22"/>
          <w:szCs w:val="20"/>
        </w:rPr>
        <w:t>different histologic diagnoses at baseline</w:t>
      </w:r>
    </w:p>
    <w:tbl>
      <w:tblPr>
        <w:tblpPr w:leftFromText="180" w:rightFromText="180" w:vertAnchor="text" w:horzAnchor="margin" w:tblpX="-630" w:tblpY="121"/>
        <w:tblW w:w="14940" w:type="dxa"/>
        <w:tblLook w:val="04A0" w:firstRow="1" w:lastRow="0" w:firstColumn="1" w:lastColumn="0" w:noHBand="0" w:noVBand="1"/>
      </w:tblPr>
      <w:tblGrid>
        <w:gridCol w:w="1620"/>
        <w:gridCol w:w="990"/>
        <w:gridCol w:w="1170"/>
        <w:gridCol w:w="1010"/>
        <w:gridCol w:w="1184"/>
        <w:gridCol w:w="956"/>
        <w:gridCol w:w="1260"/>
        <w:gridCol w:w="990"/>
        <w:gridCol w:w="1350"/>
        <w:gridCol w:w="990"/>
        <w:gridCol w:w="1170"/>
        <w:gridCol w:w="990"/>
        <w:gridCol w:w="1260"/>
      </w:tblGrid>
      <w:tr w:rsidR="00B40A6F" w:rsidRPr="000E1526" w14:paraId="56727DBC" w14:textId="77777777" w:rsidTr="008277F1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303A3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Surveillance  year</w:t>
            </w:r>
            <w:proofErr w:type="gramEnd"/>
          </w:p>
        </w:tc>
        <w:tc>
          <w:tcPr>
            <w:tcW w:w="133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00F4" w14:textId="3B5427D3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Annual incidence 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patients with </w:t>
            </w: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different histologic diagnos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s at baseline</w:t>
            </w:r>
          </w:p>
        </w:tc>
      </w:tr>
      <w:tr w:rsidR="00B40A6F" w:rsidRPr="000E1526" w14:paraId="2AFDED48" w14:textId="77777777" w:rsidTr="008277F1">
        <w:trPr>
          <w:trHeight w:val="360"/>
        </w:trPr>
        <w:tc>
          <w:tcPr>
            <w:tcW w:w="1620" w:type="dxa"/>
            <w:vMerge/>
            <w:vAlign w:val="center"/>
            <w:hideMark/>
          </w:tcPr>
          <w:p w14:paraId="014E811F" w14:textId="77777777" w:rsidR="00B40A6F" w:rsidRPr="000E1526" w:rsidRDefault="00B40A6F" w:rsidP="008277F1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445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Normal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C1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Esophagitis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B6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BCH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D40C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Mild Dysplasia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8F3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Moderate Dysplasia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6C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SD/ CIS</w:t>
            </w:r>
          </w:p>
        </w:tc>
      </w:tr>
      <w:tr w:rsidR="00B40A6F" w:rsidRPr="000E1526" w14:paraId="5A8B8773" w14:textId="77777777" w:rsidTr="008277F1">
        <w:trPr>
          <w:trHeight w:val="3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849D99" w14:textId="77777777" w:rsidR="00B40A6F" w:rsidRPr="000E1526" w:rsidRDefault="00B40A6F" w:rsidP="008277F1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9EEA7E" w14:textId="45A61A8E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E3E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FC5" w14:textId="6E83E9F6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41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303" w14:textId="7F252862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169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161" w14:textId="65333B61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8E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F493" w14:textId="2AE5F8B8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BC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1F1" w14:textId="33DAA9E1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Rate</w:t>
            </w:r>
            <w:r w:rsid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D0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</w:tr>
      <w:tr w:rsidR="00B40A6F" w:rsidRPr="000E1526" w14:paraId="1A511F1E" w14:textId="77777777" w:rsidTr="008277F1">
        <w:trPr>
          <w:trHeight w:val="36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96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&gt;0, &lt;1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944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B8B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0.03-0.12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1C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F8D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0.07-0.40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B14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ACE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0.09-0.62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1E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B6E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0.09-0.50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33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AA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0.72-2.90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83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60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1.01-9.69</w:t>
            </w:r>
          </w:p>
        </w:tc>
      </w:tr>
      <w:tr w:rsidR="00B40A6F" w:rsidRPr="000E1526" w14:paraId="42CBBBDE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238A6E" w14:textId="042926EC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≥1,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82713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3DD08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0.01-0.07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0758F7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90D28C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0.03-0.31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8E18F9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4E6A0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463DA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B8D2F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83162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F5420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F24C5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66E0D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0.15-7.80</w:t>
            </w:r>
          </w:p>
        </w:tc>
      </w:tr>
      <w:tr w:rsidR="00B40A6F" w:rsidRPr="000E1526" w14:paraId="3B733D2D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F31CDA" w14:textId="39C6D1A6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≥2,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A68B9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45389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0.01-0.08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799609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21C136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0.00-0.24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A20D18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13C91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0.03-0.47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176BE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92D8E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986B5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55B31D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0.09-1.48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9350D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9140E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40A6F" w:rsidRPr="000E1526" w14:paraId="01715D01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FEB2BA" w14:textId="1B65A3B3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≥3,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1B591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34D6A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0.02-0.09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61C0A6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CC7F8A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0.00-0.24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E9B9D7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F6082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A2783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E984A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0.04-0.39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92015C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4AFD5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0.51-2.51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E5C10E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2C16BE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0.59-9.41</w:t>
            </w:r>
          </w:p>
        </w:tc>
      </w:tr>
      <w:tr w:rsidR="00B40A6F" w:rsidRPr="000E1526" w14:paraId="644ACAC6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09AB01" w14:textId="2545CE10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≥4,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F235A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02446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0.01-0.07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5B0613D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334918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0.03-0.31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2BEA64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FDD64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0.03-0.48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12052A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5CC58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0.14-0.62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13428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ED325A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0.19-1.78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B18EB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BC20F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1.17-11.21</w:t>
            </w:r>
          </w:p>
        </w:tc>
      </w:tr>
      <w:tr w:rsidR="00B40A6F" w:rsidRPr="000E1526" w14:paraId="687ABFED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51FCC0" w14:textId="01FF12F5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≥5,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5A1E0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3EC8F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0.01-0.08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7AF634C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E8138B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0.03-0.31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E69CA1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7A35E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0.09-0.64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73F56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9A599E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0.14-0.62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6CDD2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6C604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0.19-1.80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B6787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37F33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0.64-10.25</w:t>
            </w:r>
          </w:p>
        </w:tc>
      </w:tr>
      <w:tr w:rsidR="00B40A6F" w:rsidRPr="000E1526" w14:paraId="6DE0CDCA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821C85B" w14:textId="3186FDFF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≥6,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101C0E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112C7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0.01-0.07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9E4845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EB6AC2B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0F7B2E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982EFA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4EF07C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6C84C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0.04-0.40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2FE92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0FF22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0.10-1.56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C9A77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2A969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B40A6F" w:rsidRPr="000E1526" w14:paraId="388D5183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43A688" w14:textId="22CAF3EF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≥7,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589BD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5EE77C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0.00-0.08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0FE3673A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1FBD43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0.01-0.32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508378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46830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0.01-0.51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1D15E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DE3CE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0.08-0.59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D21DD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CE967E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0.03-1.65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70492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B212F0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0.77-12.3</w:t>
            </w:r>
          </w:p>
        </w:tc>
      </w:tr>
      <w:tr w:rsidR="00B40A6F" w:rsidRPr="000E1526" w14:paraId="7DACB8A3" w14:textId="77777777" w:rsidTr="008277F1">
        <w:trPr>
          <w:trHeight w:val="3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7CDDA4" w14:textId="5EFCEF90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≥8,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4FA841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7F6B0F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DF0989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21C0D3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0.01-0.39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934B23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A554F4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B8C2D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18C19F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C8DE1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FCA612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7BBD3A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175F3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0.36-18.2</w:t>
            </w:r>
          </w:p>
        </w:tc>
      </w:tr>
      <w:tr w:rsidR="00B40A6F" w:rsidRPr="000E1526" w14:paraId="39AC26D3" w14:textId="77777777" w:rsidTr="008277F1">
        <w:trPr>
          <w:trHeight w:val="36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487D" w14:textId="287F5C0D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≥9,</w:t>
            </w:r>
            <w:r w:rsidR="00E26794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&lt;10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63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026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0.01-0.21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727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5E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5829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62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88D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8A5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0.07-1.13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B076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5A3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AEBA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FE78" w14:textId="77777777" w:rsidR="00B40A6F" w:rsidRPr="000E1526" w:rsidRDefault="00B40A6F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0E1526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0.50-25.35</w:t>
            </w:r>
          </w:p>
        </w:tc>
      </w:tr>
    </w:tbl>
    <w:p w14:paraId="5C434AD2" w14:textId="29453E4D" w:rsidR="009D2945" w:rsidRPr="007D44FE" w:rsidRDefault="009D2945" w:rsidP="009D2945">
      <w:pPr>
        <w:rPr>
          <w:rFonts w:ascii="Calibri" w:hAnsi="Calibri" w:cs="Calibri"/>
          <w:sz w:val="20"/>
          <w:szCs w:val="20"/>
        </w:rPr>
      </w:pPr>
      <w:r w:rsidRPr="007D44FE">
        <w:rPr>
          <w:rFonts w:ascii="Calibri" w:hAnsi="Calibri" w:cs="Calibri"/>
          <w:sz w:val="20"/>
          <w:szCs w:val="20"/>
        </w:rPr>
        <w:t xml:space="preserve">Abbreviations: BCH, basal cell hyperplasia; </w:t>
      </w:r>
      <w:proofErr w:type="spellStart"/>
      <w:r w:rsidRPr="007D44FE">
        <w:rPr>
          <w:rFonts w:ascii="Calibri" w:hAnsi="Calibri" w:cs="Calibri"/>
          <w:sz w:val="20"/>
          <w:szCs w:val="20"/>
        </w:rPr>
        <w:t>mD</w:t>
      </w:r>
      <w:proofErr w:type="spellEnd"/>
      <w:r w:rsidRPr="007D44FE">
        <w:rPr>
          <w:rFonts w:ascii="Calibri" w:hAnsi="Calibri" w:cs="Calibri"/>
          <w:sz w:val="20"/>
          <w:szCs w:val="20"/>
        </w:rPr>
        <w:t xml:space="preserve">, mild dysplasia; MD, moderate dysplasia; SD, severe dysplasia; CIS, </w:t>
      </w:r>
      <w:r>
        <w:rPr>
          <w:rFonts w:ascii="Calibri" w:hAnsi="Calibri" w:cs="Calibri"/>
          <w:sz w:val="20"/>
          <w:szCs w:val="20"/>
        </w:rPr>
        <w:t>carcinoma-in-situ</w:t>
      </w:r>
      <w:r w:rsidRPr="007D44F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29E413E" w14:textId="1C9A4CA2" w:rsidR="00F24803" w:rsidRPr="009D2945" w:rsidRDefault="00F24803">
      <w:pPr>
        <w:widowControl/>
        <w:jc w:val="left"/>
        <w:rPr>
          <w:rFonts w:ascii="Calibri" w:hAnsi="Calibri" w:cs="Calibri"/>
          <w:b/>
          <w:sz w:val="20"/>
          <w:szCs w:val="20"/>
        </w:rPr>
      </w:pPr>
    </w:p>
    <w:p w14:paraId="654B81A8" w14:textId="77777777" w:rsidR="008277F1" w:rsidRDefault="008277F1">
      <w:pPr>
        <w:widowControl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02D8B9" w14:textId="77777777" w:rsidR="008277F1" w:rsidRDefault="008277F1">
      <w:pPr>
        <w:widowControl/>
        <w:jc w:val="left"/>
        <w:rPr>
          <w:rFonts w:ascii="Calibri" w:hAnsi="Calibri" w:cs="Calibri"/>
          <w:b/>
          <w:sz w:val="20"/>
          <w:szCs w:val="20"/>
        </w:rPr>
      </w:pPr>
    </w:p>
    <w:p w14:paraId="1125D0EF" w14:textId="5B84988D" w:rsidR="008277F1" w:rsidRDefault="0066544B">
      <w:pPr>
        <w:widowControl/>
        <w:jc w:val="left"/>
        <w:rPr>
          <w:rFonts w:ascii="Calibri" w:hAnsi="Calibri" w:cs="Calibri"/>
          <w:b/>
          <w:sz w:val="20"/>
          <w:szCs w:val="20"/>
        </w:rPr>
      </w:pPr>
      <w:r w:rsidRPr="0066544B">
        <w:rPr>
          <w:rFonts w:ascii="Calibri" w:hAnsi="Calibri" w:cs="Calibri"/>
          <w:b/>
          <w:sz w:val="22"/>
          <w:szCs w:val="20"/>
        </w:rPr>
        <w:t>Supplementary Table 2. Progression rates of patients with baseline diagnoses of MD or SD/CIS, by treatment status</w:t>
      </w:r>
    </w:p>
    <w:p w14:paraId="538FD627" w14:textId="77777777" w:rsidR="008277F1" w:rsidRPr="008277F1" w:rsidRDefault="008277F1" w:rsidP="008277F1">
      <w:pPr>
        <w:widowControl/>
        <w:jc w:val="left"/>
        <w:rPr>
          <w:rFonts w:ascii="DengXian" w:eastAsia="DengXian" w:hAnsi="Calibri" w:cs="Calibri"/>
          <w:b/>
          <w:bCs/>
          <w:kern w:val="0"/>
          <w:sz w:val="22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276"/>
        <w:gridCol w:w="4014"/>
        <w:gridCol w:w="1620"/>
        <w:gridCol w:w="1530"/>
        <w:gridCol w:w="1260"/>
      </w:tblGrid>
      <w:tr w:rsidR="008277F1" w:rsidRPr="008277F1" w14:paraId="5BCDF776" w14:textId="77777777" w:rsidTr="002A212D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678A" w14:textId="46796CD0" w:rsidR="008277F1" w:rsidRPr="008277F1" w:rsidRDefault="002A212D" w:rsidP="008277F1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iCs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b/>
                <w:bCs/>
                <w:iCs/>
                <w:color w:val="000000"/>
                <w:kern w:val="0"/>
                <w:sz w:val="22"/>
                <w:lang w:eastAsia="en-US"/>
              </w:rPr>
              <w:t>D</w:t>
            </w:r>
            <w:r w:rsidR="008277F1" w:rsidRPr="008277F1">
              <w:rPr>
                <w:rFonts w:ascii="Calibri" w:eastAsia="DengXian" w:hAnsi="Calibri" w:cs="Calibri"/>
                <w:b/>
                <w:bCs/>
                <w:iCs/>
                <w:color w:val="000000"/>
                <w:kern w:val="0"/>
                <w:sz w:val="22"/>
                <w:lang w:eastAsia="en-US"/>
              </w:rPr>
              <w:t>ysplasia</w:t>
            </w:r>
            <w:r w:rsidR="008277F1"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grade </w:t>
            </w:r>
            <w:r w:rsidR="008277F1"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at baseline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FD04" w14:textId="5E7C5953" w:rsidR="008277F1" w:rsidRPr="008277F1" w:rsidRDefault="002A212D" w:rsidP="008277F1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Treatment</w:t>
            </w:r>
            <w:r w:rsidR="008277F1"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 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3ACC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Case Number at baseline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94BA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ESCC cases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7DB6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Number of ESCC cases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764C" w14:textId="0B050980" w:rsidR="008277F1" w:rsidRPr="008277F1" w:rsidRDefault="00EF52A2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Prevalence or </w:t>
            </w:r>
            <w:r w:rsidR="008277F1"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Progression rate (%)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30E0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P value</w:t>
            </w:r>
          </w:p>
        </w:tc>
      </w:tr>
      <w:tr w:rsidR="008277F1" w:rsidRPr="008277F1" w14:paraId="22064B2B" w14:textId="77777777" w:rsidTr="002A212D">
        <w:trPr>
          <w:trHeight w:val="563"/>
        </w:trPr>
        <w:tc>
          <w:tcPr>
            <w:tcW w:w="170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4DE6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Moderate dysplasia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36D6" w14:textId="3B5030D8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Receive</w:t>
            </w:r>
            <w:r w:rsidR="002A212D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d</w:t>
            </w: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 treatment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981F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172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91C9" w14:textId="257D8ECD" w:rsidR="008277F1" w:rsidRPr="008277F1" w:rsidRDefault="002A212D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Prevalent cases found </w:t>
            </w:r>
            <w:r w:rsidR="008277F1"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at treatment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B286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20/172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84BD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11.6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1A21" w14:textId="77777777" w:rsidR="008277F1" w:rsidRPr="008277F1" w:rsidRDefault="008277F1" w:rsidP="008277F1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8277F1" w:rsidRPr="008277F1" w14:paraId="336E4EC4" w14:textId="77777777" w:rsidTr="002A212D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667E68AA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823CDE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65D4D6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D476" w14:textId="2C8B4CFE" w:rsidR="008277F1" w:rsidRPr="008277F1" w:rsidRDefault="002A212D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Incident</w:t>
            </w:r>
            <w:r w:rsidR="008277F1"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 case</w:t>
            </w: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s during surveillance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679E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7/152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ED71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4.6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E81C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0.9</w:t>
            </w:r>
          </w:p>
        </w:tc>
      </w:tr>
      <w:tr w:rsidR="008277F1" w:rsidRPr="008277F1" w14:paraId="45F44C77" w14:textId="77777777" w:rsidTr="002A212D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29D091D1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C5E2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No treatment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4978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555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3650" w14:textId="7715684A" w:rsidR="008277F1" w:rsidRPr="008277F1" w:rsidRDefault="002A212D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Incident</w:t>
            </w: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 case</w:t>
            </w: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s during surveillance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A456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25/555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21BA" w14:textId="77777777" w:rsidR="008277F1" w:rsidRPr="008277F1" w:rsidRDefault="008277F1" w:rsidP="008277F1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bookmarkStart w:id="0" w:name="RANGE!I10"/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4.5</w:t>
            </w:r>
            <w:bookmarkEnd w:id="0"/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20B60A" w14:textId="77777777" w:rsidR="008277F1" w:rsidRPr="008277F1" w:rsidRDefault="008277F1" w:rsidP="008277F1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2A212D" w:rsidRPr="008277F1" w14:paraId="51EBBE82" w14:textId="77777777" w:rsidTr="002A212D">
        <w:trPr>
          <w:trHeight w:val="563"/>
        </w:trPr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38DD" w14:textId="55A0C27A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Severe dysplasia or </w:t>
            </w: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CIS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42A2" w14:textId="0E6E9AAD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Receive</w:t>
            </w: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d</w:t>
            </w: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 treatment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4493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235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A1D4" w14:textId="01B708FF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Prevalent cases found </w:t>
            </w: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at treatment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278B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19/235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DE0F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A1C4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DengXian" w:eastAsia="DengXian" w:hAnsi="Calibri" w:cs="Calibri" w:hint="eastAsia"/>
                <w:color w:val="000000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2A212D" w:rsidRPr="008277F1" w14:paraId="34B5F87F" w14:textId="77777777" w:rsidTr="002A212D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8670D" w14:textId="77777777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965827" w14:textId="77777777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C0C8BB" w14:textId="77777777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6B61" w14:textId="0B4ECBAF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Incident</w:t>
            </w: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 case</w:t>
            </w: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s during surveillance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199E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20/216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90C6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9.3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D59F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0.1</w:t>
            </w:r>
          </w:p>
        </w:tc>
      </w:tr>
      <w:tr w:rsidR="002A212D" w:rsidRPr="008277F1" w14:paraId="5DFCCC28" w14:textId="77777777" w:rsidTr="002A212D">
        <w:trPr>
          <w:trHeight w:val="366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0B01C5" w14:textId="77777777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B00A" w14:textId="77777777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No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68CC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97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02A5" w14:textId="68E8A228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Incident</w:t>
            </w: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 xml:space="preserve"> case</w:t>
            </w:r>
            <w:r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s during surveillance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580B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15/97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919D" w14:textId="77777777" w:rsidR="002A212D" w:rsidRPr="008277F1" w:rsidRDefault="002A212D" w:rsidP="002A212D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  <w:r w:rsidRPr="008277F1"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  <w:t>15.5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9CF200" w14:textId="77777777" w:rsidR="002A212D" w:rsidRPr="008277F1" w:rsidRDefault="002A212D" w:rsidP="002A212D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4630F26C" w14:textId="77777777" w:rsidR="008277F1" w:rsidRPr="008277F1" w:rsidRDefault="008277F1" w:rsidP="008277F1">
      <w:pPr>
        <w:widowControl/>
        <w:jc w:val="left"/>
        <w:rPr>
          <w:rFonts w:ascii="DengXian" w:eastAsia="DengXian" w:hAnsi="Calibri" w:cs="Calibri"/>
          <w:b/>
          <w:bCs/>
          <w:kern w:val="0"/>
          <w:sz w:val="22"/>
        </w:rPr>
      </w:pPr>
    </w:p>
    <w:p w14:paraId="17977A8D" w14:textId="72CD2202" w:rsidR="009D2945" w:rsidRDefault="009D2945">
      <w:pPr>
        <w:widowControl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2D4D330C" w14:textId="68033D21" w:rsidR="007B367B" w:rsidRPr="0066544B" w:rsidRDefault="00947F2A" w:rsidP="00EE764B">
      <w:pPr>
        <w:rPr>
          <w:rFonts w:ascii="Calibri" w:hAnsi="Calibri" w:cs="Calibri"/>
          <w:b/>
          <w:sz w:val="22"/>
          <w:szCs w:val="20"/>
        </w:rPr>
      </w:pPr>
      <w:r w:rsidRPr="0066544B">
        <w:rPr>
          <w:rFonts w:ascii="Calibri" w:hAnsi="Calibri" w:cs="Calibri" w:hint="eastAsia"/>
          <w:b/>
          <w:sz w:val="22"/>
          <w:szCs w:val="20"/>
        </w:rPr>
        <w:lastRenderedPageBreak/>
        <w:t>S</w:t>
      </w:r>
      <w:r w:rsidRPr="0066544B">
        <w:rPr>
          <w:rFonts w:ascii="Calibri" w:hAnsi="Calibri" w:cs="Calibri"/>
          <w:b/>
          <w:sz w:val="22"/>
          <w:szCs w:val="20"/>
        </w:rPr>
        <w:t xml:space="preserve">upplementary Table </w:t>
      </w:r>
      <w:r w:rsidR="008277F1" w:rsidRPr="0066544B">
        <w:rPr>
          <w:rFonts w:ascii="Calibri" w:hAnsi="Calibri" w:cs="Calibri"/>
          <w:b/>
          <w:sz w:val="22"/>
          <w:szCs w:val="20"/>
        </w:rPr>
        <w:t>3.</w:t>
      </w:r>
      <w:r w:rsidR="00F24803" w:rsidRPr="0066544B">
        <w:rPr>
          <w:rFonts w:ascii="Calibri" w:hAnsi="Calibri" w:cs="Calibri"/>
          <w:b/>
          <w:sz w:val="22"/>
          <w:szCs w:val="20"/>
        </w:rPr>
        <w:t xml:space="preserve"> </w:t>
      </w:r>
      <w:r w:rsidR="00ED3109" w:rsidRPr="0066544B">
        <w:rPr>
          <w:rFonts w:ascii="Calibri" w:hAnsi="Calibri" w:cs="Calibri"/>
          <w:b/>
          <w:sz w:val="22"/>
          <w:szCs w:val="20"/>
        </w:rPr>
        <w:t xml:space="preserve">Cumulative </w:t>
      </w:r>
      <w:r w:rsidR="00CA3A8C" w:rsidRPr="0066544B">
        <w:rPr>
          <w:rFonts w:ascii="Calibri" w:hAnsi="Calibri" w:cs="Calibri"/>
          <w:b/>
          <w:sz w:val="22"/>
          <w:szCs w:val="20"/>
        </w:rPr>
        <w:t xml:space="preserve">risk of </w:t>
      </w:r>
      <w:r w:rsidR="007E6D40" w:rsidRPr="0066544B">
        <w:rPr>
          <w:rFonts w:ascii="Calibri" w:hAnsi="Calibri" w:cs="Calibri"/>
          <w:b/>
          <w:kern w:val="0"/>
          <w:sz w:val="22"/>
          <w:szCs w:val="20"/>
        </w:rPr>
        <w:t>esophageal squamous cell carcinoma</w:t>
      </w:r>
      <w:r w:rsidR="00ED3109" w:rsidRPr="0066544B">
        <w:rPr>
          <w:rFonts w:ascii="Calibri" w:hAnsi="Calibri" w:cs="Calibri"/>
          <w:b/>
          <w:sz w:val="22"/>
          <w:szCs w:val="20"/>
        </w:rPr>
        <w:t xml:space="preserve"> incidence, by worst baseline histologic diagnosis, in the present study and </w:t>
      </w:r>
      <w:r w:rsidR="00C22D74" w:rsidRPr="0066544B">
        <w:rPr>
          <w:rFonts w:ascii="Calibri" w:hAnsi="Calibri" w:cs="Calibri"/>
          <w:b/>
          <w:sz w:val="22"/>
          <w:szCs w:val="20"/>
        </w:rPr>
        <w:t xml:space="preserve">the </w:t>
      </w:r>
      <w:r w:rsidR="00ED3109" w:rsidRPr="0066544B">
        <w:rPr>
          <w:rFonts w:ascii="Calibri" w:hAnsi="Calibri" w:cs="Calibri"/>
          <w:b/>
          <w:sz w:val="22"/>
          <w:szCs w:val="20"/>
        </w:rPr>
        <w:t>previous study</w:t>
      </w:r>
      <w:r w:rsidR="003146DA" w:rsidRPr="0066544B">
        <w:rPr>
          <w:rFonts w:ascii="Calibri" w:hAnsi="Calibri" w:cs="Calibri"/>
          <w:b/>
          <w:sz w:val="22"/>
          <w:szCs w:val="20"/>
          <w:vertAlign w:val="superscript"/>
        </w:rPr>
        <w:t>1</w:t>
      </w:r>
    </w:p>
    <w:p w14:paraId="11662460" w14:textId="48DD1EAF" w:rsidR="00372956" w:rsidRDefault="00372956" w:rsidP="00EE764B">
      <w:pPr>
        <w:rPr>
          <w:rFonts w:ascii="Calibri" w:hAnsi="Calibri" w:cs="Calibri"/>
          <w:b/>
          <w:sz w:val="20"/>
          <w:szCs w:val="2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1360"/>
        <w:gridCol w:w="936"/>
        <w:gridCol w:w="916"/>
        <w:gridCol w:w="1218"/>
        <w:gridCol w:w="1500"/>
        <w:gridCol w:w="1980"/>
        <w:gridCol w:w="948"/>
        <w:gridCol w:w="916"/>
        <w:gridCol w:w="1187"/>
        <w:gridCol w:w="1459"/>
        <w:gridCol w:w="2070"/>
      </w:tblGrid>
      <w:tr w:rsidR="00E26794" w:rsidRPr="00113280" w14:paraId="42CA709F" w14:textId="77777777" w:rsidTr="00FC0306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79805" w14:textId="77777777" w:rsidR="00E26794" w:rsidRPr="00113280" w:rsidRDefault="00E26794" w:rsidP="00113280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Baseline Diagnosis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CFB5" w14:textId="77777777" w:rsidR="00E26794" w:rsidRPr="00113280" w:rsidRDefault="00E26794" w:rsidP="00113280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Present study</w:t>
            </w:r>
          </w:p>
        </w:tc>
        <w:tc>
          <w:tcPr>
            <w:tcW w:w="6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D88D88" w14:textId="34D677BD" w:rsidR="00E26794" w:rsidRPr="00FC0306" w:rsidRDefault="00FC0306" w:rsidP="00113280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Previous study</w:t>
            </w:r>
            <w:r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</w:tr>
      <w:tr w:rsidR="00E26794" w:rsidRPr="00113280" w14:paraId="6414A779" w14:textId="77777777" w:rsidTr="00FC0306">
        <w:trPr>
          <w:trHeight w:val="1116"/>
        </w:trPr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F6E9B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3314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No of subjects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5A20B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No of ESCC cases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65D8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Cumulative incidence 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E1213" w14:textId="25297EC5" w:rsidR="00E26794" w:rsidRPr="00113280" w:rsidRDefault="009828AD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I</w:t>
            </w:r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ncidence </w:t>
            </w:r>
            <w:r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per</w:t>
            </w:r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person-year of follow-up</w:t>
            </w:r>
            <w:r w:rsidR="00E26794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8588A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Hazard ratio         </w:t>
            </w:r>
            <w:proofErr w:type="gramStart"/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  (</w:t>
            </w:r>
            <w:proofErr w:type="gramEnd"/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95% CI)</w:t>
            </w: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  <w:vertAlign w:val="superscript"/>
              </w:rPr>
              <w:t xml:space="preserve"> 2</w:t>
            </w: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986B8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No of subjects</w:t>
            </w: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1F990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No of ESCC cases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FF669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Cumulative incidence (%)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3352CA" w14:textId="49357E5B" w:rsidR="00E26794" w:rsidRPr="00113280" w:rsidRDefault="009828AD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I</w:t>
            </w:r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ncidence </w:t>
            </w:r>
            <w:r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per</w:t>
            </w:r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person-year</w:t>
            </w:r>
            <w:bookmarkStart w:id="1" w:name="_GoBack"/>
            <w:bookmarkEnd w:id="1"/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of follow-up</w:t>
            </w:r>
            <w:r w:rsidR="00E26794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="00E26794"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CDF9B" w14:textId="39BA5A9F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Relative risk      </w:t>
            </w:r>
            <w:proofErr w:type="gramStart"/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  (</w:t>
            </w:r>
            <w:proofErr w:type="gramEnd"/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95% CI)</w:t>
            </w: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4</w:t>
            </w: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E26794" w:rsidRPr="00113280" w14:paraId="5F75E9F6" w14:textId="77777777" w:rsidTr="00FC0306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A860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Normal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0F10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13285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CEC0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71FE" w14:textId="3D566206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</w:t>
            </w:r>
            <w:r w:rsidR="007F12E8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F9BD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80AE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75D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AE43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2A49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C937B" w14:textId="661641D0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2C95" w14:textId="74FBDEBB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26794" w:rsidRPr="00113280" w14:paraId="4A74D180" w14:textId="77777777" w:rsidTr="00FC0306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7A7A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Esophagitis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7AAE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3038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2F51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28D" w14:textId="0332AC1A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</w:t>
            </w:r>
            <w:r w:rsidR="007F12E8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CA0B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D445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1.96 (1.11-3.47)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57D3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FDC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FFF3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23525" w14:textId="7EE7C218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EC82" w14:textId="7AD2D715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0.8 (0.2-3.2)</w:t>
            </w:r>
          </w:p>
        </w:tc>
      </w:tr>
      <w:tr w:rsidR="00E26794" w:rsidRPr="00113280" w14:paraId="186B684B" w14:textId="77777777" w:rsidTr="00FC0306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079E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BCH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3CB8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56A7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2F84" w14:textId="4A010A22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B58A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6021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3.06 (1.69-5.54)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822C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7D98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FF1F" w14:textId="29B7102D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15</w:t>
            </w:r>
            <w:r w:rsidR="008E73BE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C0E0B" w14:textId="1C0E0463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0601" w14:textId="550D914D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1.9 (0.8-4.5)</w:t>
            </w:r>
          </w:p>
        </w:tc>
      </w:tr>
      <w:tr w:rsidR="00E26794" w:rsidRPr="00113280" w14:paraId="5F31E8E0" w14:textId="77777777" w:rsidTr="00FC0306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BA11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208E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9D29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02DE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B160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8897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4.55 (2.82-7.34)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E518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943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3123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23.7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023A" w14:textId="60CB1292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BF90" w14:textId="0C037206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2.9 (1.6-5.2)</w:t>
            </w:r>
          </w:p>
        </w:tc>
      </w:tr>
      <w:tr w:rsidR="00E26794" w:rsidRPr="00113280" w14:paraId="6FCDAEC3" w14:textId="77777777" w:rsidTr="00FC030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B072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MD</w:t>
            </w: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B71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901B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1C2C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9EF3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76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15.18 (8.98-25.66)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72E6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BC4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AB92" w14:textId="3195A7E1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50</w:t>
            </w:r>
            <w:r w:rsidR="008E73BE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297EF" w14:textId="69944540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6.8</w:t>
            </w:r>
            <w:r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D0D0" w14:textId="7B747828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9.8 (5.3-18.3)</w:t>
            </w:r>
          </w:p>
        </w:tc>
      </w:tr>
      <w:tr w:rsidR="00E26794" w:rsidRPr="00113280" w14:paraId="4713CF73" w14:textId="77777777" w:rsidTr="00FC0306">
        <w:trPr>
          <w:trHeight w:val="55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5C76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SD/ CIS</w:t>
            </w: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EAD1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2680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B66B" w14:textId="6D98BCEA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15.</w:t>
            </w:r>
            <w:r w:rsidR="007F12E8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105E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DCC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55.78 (29.78-104.49)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CEC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E98A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F168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9CC3" w14:textId="77777777" w:rsidR="00E26794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SD: 16.63 </w:t>
            </w:r>
          </w:p>
          <w:p w14:paraId="0B83309C" w14:textId="2257CFFD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CIS: 25.35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6E29" w14:textId="35FB79FA" w:rsidR="00E26794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SD: 28.3 (15.3-52.3)   </w:t>
            </w:r>
          </w:p>
          <w:p w14:paraId="7548E4F1" w14:textId="4C956256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CIS:34.4 (16.6-71.4)</w:t>
            </w:r>
          </w:p>
        </w:tc>
      </w:tr>
      <w:tr w:rsidR="00E26794" w:rsidRPr="00113280" w14:paraId="7D13B8B0" w14:textId="77777777" w:rsidTr="00FC0306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A50C8" w14:textId="77777777" w:rsidR="00E26794" w:rsidRPr="00113280" w:rsidRDefault="00E26794" w:rsidP="00E26794">
            <w:pPr>
              <w:widowControl/>
              <w:jc w:val="left"/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F8F9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21111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4D02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43CC9" w14:textId="32192EBE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0.</w:t>
            </w:r>
            <w:r w:rsidR="007F12E8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CDCFD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693F3" w14:textId="77777777" w:rsidR="00E26794" w:rsidRPr="00113280" w:rsidRDefault="00E26794" w:rsidP="00E26794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BA67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D530" w14:textId="77777777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46F21" w14:textId="645F797A" w:rsidR="00E26794" w:rsidRPr="00113280" w:rsidRDefault="00E26794" w:rsidP="00E26794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17</w:t>
            </w:r>
            <w:r w:rsidR="008E73BE">
              <w:rPr>
                <w:rFonts w:ascii="Calibri" w:eastAsia="SimSun" w:hAnsi="Calibri" w:cs="Calibri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20C84B" w14:textId="1DD2ED29" w:rsidR="00E26794" w:rsidRPr="00113280" w:rsidRDefault="00E26794" w:rsidP="00E26794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1.6</w:t>
            </w:r>
            <w:r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7EC8E" w14:textId="42EC7A68" w:rsidR="00E26794" w:rsidRPr="00113280" w:rsidRDefault="00E26794" w:rsidP="00E26794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</w:pPr>
            <w:r w:rsidRPr="00113280">
              <w:rPr>
                <w:rFonts w:ascii="Calibri" w:eastAsia="DengXian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B64C34C" w14:textId="56649A55" w:rsidR="00B134A4" w:rsidRPr="007D44FE" w:rsidRDefault="00B134A4" w:rsidP="00B134A4">
      <w:pPr>
        <w:rPr>
          <w:rFonts w:ascii="Calibri" w:hAnsi="Calibri" w:cs="Calibri"/>
          <w:sz w:val="20"/>
          <w:szCs w:val="20"/>
        </w:rPr>
      </w:pPr>
      <w:r w:rsidRPr="007D44FE">
        <w:rPr>
          <w:rFonts w:ascii="Calibri" w:hAnsi="Calibri" w:cs="Calibri"/>
          <w:sz w:val="20"/>
          <w:szCs w:val="20"/>
        </w:rPr>
        <w:t xml:space="preserve">Abbreviations: BCH, basal cell hyperplasia; </w:t>
      </w:r>
      <w:proofErr w:type="spellStart"/>
      <w:r w:rsidRPr="007D44FE">
        <w:rPr>
          <w:rFonts w:ascii="Calibri" w:hAnsi="Calibri" w:cs="Calibri"/>
          <w:sz w:val="20"/>
          <w:szCs w:val="20"/>
        </w:rPr>
        <w:t>mD</w:t>
      </w:r>
      <w:proofErr w:type="spellEnd"/>
      <w:r w:rsidRPr="007D44FE">
        <w:rPr>
          <w:rFonts w:ascii="Calibri" w:hAnsi="Calibri" w:cs="Calibri"/>
          <w:sz w:val="20"/>
          <w:szCs w:val="20"/>
        </w:rPr>
        <w:t xml:space="preserve">, mild dysplasia; MD, moderate dysplasia; SD, severe dysplasia; CIS, </w:t>
      </w:r>
      <w:r>
        <w:rPr>
          <w:rFonts w:ascii="Calibri" w:hAnsi="Calibri" w:cs="Calibri"/>
          <w:sz w:val="20"/>
          <w:szCs w:val="20"/>
        </w:rPr>
        <w:t>carcinoma-in-situ</w:t>
      </w:r>
      <w:r w:rsidRPr="007D44FE">
        <w:rPr>
          <w:rFonts w:ascii="Calibri" w:hAnsi="Calibri" w:cs="Calibri"/>
          <w:sz w:val="20"/>
          <w:szCs w:val="20"/>
        </w:rPr>
        <w:t>.</w:t>
      </w:r>
      <w:r w:rsidR="00BF381B">
        <w:rPr>
          <w:rFonts w:ascii="Calibri" w:hAnsi="Calibri" w:cs="Calibri"/>
          <w:sz w:val="20"/>
          <w:szCs w:val="20"/>
        </w:rPr>
        <w:t xml:space="preserve"> </w:t>
      </w:r>
      <w:r w:rsidR="00BF381B" w:rsidRPr="00241471">
        <w:rPr>
          <w:rFonts w:ascii="Calibri" w:hAnsi="Calibri" w:cs="Calibri"/>
          <w:sz w:val="20"/>
          <w:szCs w:val="20"/>
        </w:rPr>
        <w:t>Numbers in bold mean that the P value was less than 0.05</w:t>
      </w:r>
      <w:r w:rsidR="00BF381B">
        <w:rPr>
          <w:rFonts w:ascii="Calibri" w:hAnsi="Calibri" w:cs="Calibri"/>
          <w:sz w:val="20"/>
          <w:szCs w:val="20"/>
        </w:rPr>
        <w:t>.</w:t>
      </w:r>
    </w:p>
    <w:p w14:paraId="7EDD49FB" w14:textId="280C824F" w:rsidR="00B134A4" w:rsidRDefault="003146DA" w:rsidP="003146DA">
      <w:pPr>
        <w:pStyle w:val="ListParagraph"/>
        <w:numPr>
          <w:ilvl w:val="0"/>
          <w:numId w:val="2"/>
        </w:numPr>
        <w:ind w:firstLineChars="0"/>
        <w:rPr>
          <w:rFonts w:ascii="Calibri" w:hAnsi="Calibri" w:cs="Calibri"/>
          <w:sz w:val="20"/>
          <w:szCs w:val="20"/>
        </w:rPr>
      </w:pPr>
      <w:r w:rsidRPr="003146DA">
        <w:rPr>
          <w:rFonts w:ascii="Calibri" w:hAnsi="Calibri" w:cs="Calibri"/>
          <w:sz w:val="20"/>
          <w:szCs w:val="20"/>
        </w:rPr>
        <w:t xml:space="preserve">Ref: Wang GQ, Abnet CC, Shen Q, et al. Histological precursors of </w:t>
      </w:r>
      <w:proofErr w:type="spellStart"/>
      <w:r w:rsidRPr="003146DA">
        <w:rPr>
          <w:rFonts w:ascii="Calibri" w:hAnsi="Calibri" w:cs="Calibri"/>
          <w:sz w:val="20"/>
          <w:szCs w:val="20"/>
        </w:rPr>
        <w:t>oesophageal</w:t>
      </w:r>
      <w:proofErr w:type="spellEnd"/>
      <w:r w:rsidRPr="003146DA">
        <w:rPr>
          <w:rFonts w:ascii="Calibri" w:hAnsi="Calibri" w:cs="Calibri"/>
          <w:sz w:val="20"/>
          <w:szCs w:val="20"/>
        </w:rPr>
        <w:t xml:space="preserve"> squamous cell carcinoma: results from a 13</w:t>
      </w:r>
      <w:r w:rsidR="008E73BE">
        <w:rPr>
          <w:rFonts w:ascii="Calibri" w:hAnsi="Calibri" w:cs="Calibri"/>
          <w:sz w:val="20"/>
          <w:szCs w:val="20"/>
        </w:rPr>
        <w:t>-</w:t>
      </w:r>
      <w:r w:rsidRPr="003146DA">
        <w:rPr>
          <w:rFonts w:ascii="Calibri" w:hAnsi="Calibri" w:cs="Calibri"/>
          <w:sz w:val="20"/>
          <w:szCs w:val="20"/>
        </w:rPr>
        <w:t xml:space="preserve">year prospective follow up study in a </w:t>
      </w:r>
      <w:proofErr w:type="gramStart"/>
      <w:r w:rsidRPr="003146DA">
        <w:rPr>
          <w:rFonts w:ascii="Calibri" w:hAnsi="Calibri" w:cs="Calibri"/>
          <w:sz w:val="20"/>
          <w:szCs w:val="20"/>
        </w:rPr>
        <w:t>high risk</w:t>
      </w:r>
      <w:proofErr w:type="gramEnd"/>
      <w:r w:rsidRPr="003146DA">
        <w:rPr>
          <w:rFonts w:ascii="Calibri" w:hAnsi="Calibri" w:cs="Calibri"/>
          <w:sz w:val="20"/>
          <w:szCs w:val="20"/>
        </w:rPr>
        <w:t xml:space="preserve"> population. Gut </w:t>
      </w:r>
      <w:proofErr w:type="gramStart"/>
      <w:r w:rsidRPr="003146DA">
        <w:rPr>
          <w:rFonts w:ascii="Calibri" w:hAnsi="Calibri" w:cs="Calibri"/>
          <w:sz w:val="20"/>
          <w:szCs w:val="20"/>
        </w:rPr>
        <w:t>2005;54:187</w:t>
      </w:r>
      <w:proofErr w:type="gramEnd"/>
      <w:r w:rsidRPr="003146DA">
        <w:rPr>
          <w:rFonts w:ascii="Calibri" w:hAnsi="Calibri" w:cs="Calibri"/>
          <w:sz w:val="20"/>
          <w:szCs w:val="20"/>
        </w:rPr>
        <w:t>-92.</w:t>
      </w:r>
    </w:p>
    <w:p w14:paraId="212B2A27" w14:textId="59163AFC" w:rsidR="003146DA" w:rsidRDefault="00BF381B" w:rsidP="003146DA">
      <w:pPr>
        <w:pStyle w:val="ListParagraph"/>
        <w:numPr>
          <w:ilvl w:val="0"/>
          <w:numId w:val="2"/>
        </w:numPr>
        <w:ind w:firstLineChars="0"/>
        <w:rPr>
          <w:rFonts w:ascii="Calibri" w:hAnsi="Calibri" w:cs="Calibri"/>
          <w:sz w:val="20"/>
          <w:szCs w:val="20"/>
        </w:rPr>
      </w:pPr>
      <w:r w:rsidRPr="005317DA">
        <w:rPr>
          <w:rFonts w:ascii="Calibri" w:hAnsi="Calibri" w:cs="Calibri"/>
          <w:sz w:val="20"/>
          <w:szCs w:val="20"/>
        </w:rPr>
        <w:t xml:space="preserve">HRs </w:t>
      </w:r>
      <w:r>
        <w:rPr>
          <w:rFonts w:ascii="Calibri" w:hAnsi="Calibri" w:cs="Calibri"/>
          <w:sz w:val="20"/>
          <w:szCs w:val="20"/>
        </w:rPr>
        <w:t>come from Cox models</w:t>
      </w:r>
      <w:r w:rsidRPr="005317DA">
        <w:rPr>
          <w:rFonts w:ascii="Calibri" w:hAnsi="Calibri" w:cs="Calibri"/>
          <w:sz w:val="20"/>
          <w:szCs w:val="20"/>
        </w:rPr>
        <w:t xml:space="preserve"> adjusted for </w:t>
      </w:r>
      <w:r>
        <w:rPr>
          <w:rFonts w:ascii="Calibri" w:hAnsi="Calibri" w:cs="Calibri"/>
          <w:sz w:val="20"/>
          <w:szCs w:val="20"/>
        </w:rPr>
        <w:t xml:space="preserve">age, </w:t>
      </w:r>
      <w:r w:rsidRPr="005317DA">
        <w:rPr>
          <w:rFonts w:ascii="Calibri" w:hAnsi="Calibri" w:cs="Calibri"/>
          <w:sz w:val="20"/>
          <w:szCs w:val="20"/>
        </w:rPr>
        <w:t>gender, educational level, smoking, alcohol drinking, BMI, history of digestive system diseases, and family history of cancer.</w:t>
      </w:r>
    </w:p>
    <w:p w14:paraId="44E1B5D4" w14:textId="18F6F4CD" w:rsidR="002A2602" w:rsidRDefault="002A2602" w:rsidP="003146DA">
      <w:pPr>
        <w:pStyle w:val="ListParagraph"/>
        <w:numPr>
          <w:ilvl w:val="0"/>
          <w:numId w:val="2"/>
        </w:numPr>
        <w:ind w:firstLineChars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77 subjects with a baseline diagnosis of Acanthosis and 12 subjects with a baseline diagnosis of Dysplasia Not Otherwise Specified (NOS) were excluded from this Supplementary Table because these diagnoses were not used in the current study.</w:t>
      </w:r>
    </w:p>
    <w:p w14:paraId="185F7E87" w14:textId="5B622DD2" w:rsidR="00892756" w:rsidRDefault="00892756" w:rsidP="003146DA">
      <w:pPr>
        <w:pStyle w:val="ListParagraph"/>
        <w:numPr>
          <w:ilvl w:val="0"/>
          <w:numId w:val="2"/>
        </w:numPr>
        <w:ind w:firstLineChars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RRs come from Cox models adjusted for age, gender, tobacco use, alcohol use, 1983 cytology diagnosis, and </w:t>
      </w:r>
      <w:proofErr w:type="spellStart"/>
      <w:r>
        <w:rPr>
          <w:rFonts w:ascii="Calibri" w:hAnsi="Calibri" w:cs="Calibri"/>
          <w:sz w:val="20"/>
          <w:szCs w:val="20"/>
        </w:rPr>
        <w:t>Linxian</w:t>
      </w:r>
      <w:proofErr w:type="spellEnd"/>
      <w:r>
        <w:rPr>
          <w:rFonts w:ascii="Calibri" w:hAnsi="Calibri" w:cs="Calibri"/>
          <w:sz w:val="20"/>
          <w:szCs w:val="20"/>
        </w:rPr>
        <w:t xml:space="preserve"> Dysplasia Trial treatment group.</w:t>
      </w:r>
    </w:p>
    <w:p w14:paraId="48DBF7A5" w14:textId="7164E42B" w:rsidR="00BF381B" w:rsidRPr="003146DA" w:rsidRDefault="00BF381B" w:rsidP="003146DA">
      <w:pPr>
        <w:pStyle w:val="ListParagraph"/>
        <w:numPr>
          <w:ilvl w:val="0"/>
          <w:numId w:val="2"/>
        </w:numPr>
        <w:ind w:firstLineChars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</w:t>
      </w:r>
      <w:r w:rsidR="002C4B1E">
        <w:rPr>
          <w:rFonts w:ascii="Calibri" w:hAnsi="Calibri" w:cs="Calibri"/>
          <w:sz w:val="20"/>
          <w:szCs w:val="20"/>
        </w:rPr>
        <w:t>present</w:t>
      </w:r>
      <w:r>
        <w:rPr>
          <w:rFonts w:ascii="Calibri" w:hAnsi="Calibri" w:cs="Calibri"/>
          <w:sz w:val="20"/>
          <w:szCs w:val="20"/>
        </w:rPr>
        <w:t xml:space="preserve"> study, c</w:t>
      </w:r>
      <w:r w:rsidRPr="009969C0">
        <w:rPr>
          <w:rFonts w:ascii="Calibri" w:hAnsi="Calibri" w:cs="Calibri"/>
          <w:sz w:val="20"/>
          <w:szCs w:val="20"/>
        </w:rPr>
        <w:t xml:space="preserve">ases with </w:t>
      </w:r>
      <w:r w:rsidR="00C22D74">
        <w:rPr>
          <w:rFonts w:ascii="Calibri" w:hAnsi="Calibri" w:cs="Calibri"/>
          <w:sz w:val="20"/>
          <w:szCs w:val="20"/>
        </w:rPr>
        <w:t xml:space="preserve">MD or </w:t>
      </w:r>
      <w:r w:rsidRPr="009969C0">
        <w:rPr>
          <w:rFonts w:ascii="Calibri" w:hAnsi="Calibri" w:cs="Calibri"/>
          <w:sz w:val="20"/>
          <w:szCs w:val="20"/>
        </w:rPr>
        <w:t>SD</w:t>
      </w:r>
      <w:r>
        <w:rPr>
          <w:rFonts w:ascii="Calibri" w:hAnsi="Calibri" w:cs="Calibri"/>
          <w:sz w:val="20"/>
          <w:szCs w:val="20"/>
        </w:rPr>
        <w:t>/</w:t>
      </w:r>
      <w:r w:rsidRPr="009969C0">
        <w:rPr>
          <w:rFonts w:ascii="Calibri" w:hAnsi="Calibri" w:cs="Calibri"/>
          <w:sz w:val="20"/>
          <w:szCs w:val="20"/>
        </w:rPr>
        <w:t xml:space="preserve">CIS </w:t>
      </w:r>
      <w:r w:rsidR="00C22D74">
        <w:rPr>
          <w:rFonts w:ascii="Calibri" w:hAnsi="Calibri" w:cs="Calibri"/>
          <w:sz w:val="20"/>
          <w:szCs w:val="20"/>
        </w:rPr>
        <w:t xml:space="preserve">were </w:t>
      </w:r>
      <w:r w:rsidRPr="009969C0">
        <w:rPr>
          <w:rFonts w:ascii="Calibri" w:hAnsi="Calibri" w:cs="Calibri"/>
          <w:sz w:val="20"/>
          <w:szCs w:val="20"/>
        </w:rPr>
        <w:t>exclu</w:t>
      </w:r>
      <w:r>
        <w:rPr>
          <w:rFonts w:ascii="Calibri" w:hAnsi="Calibri" w:cs="Calibri"/>
          <w:sz w:val="20"/>
          <w:szCs w:val="20"/>
        </w:rPr>
        <w:t>ded</w:t>
      </w:r>
      <w:r w:rsidRPr="009969C0">
        <w:rPr>
          <w:rFonts w:ascii="Calibri" w:hAnsi="Calibri" w:cs="Calibri"/>
          <w:sz w:val="20"/>
          <w:szCs w:val="20"/>
        </w:rPr>
        <w:t xml:space="preserve"> </w:t>
      </w:r>
      <w:r w:rsidR="00C22D74">
        <w:rPr>
          <w:rFonts w:ascii="Calibri" w:hAnsi="Calibri" w:cs="Calibri"/>
          <w:sz w:val="20"/>
          <w:szCs w:val="20"/>
        </w:rPr>
        <w:t>if they</w:t>
      </w:r>
      <w:r>
        <w:rPr>
          <w:rFonts w:ascii="Calibri" w:hAnsi="Calibri" w:cs="Calibri"/>
          <w:sz w:val="20"/>
          <w:szCs w:val="20"/>
        </w:rPr>
        <w:t xml:space="preserve"> received treatment at baseline. </w:t>
      </w:r>
    </w:p>
    <w:sectPr w:rsidR="00BF381B" w:rsidRPr="003146DA" w:rsidSect="00E80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A677" w14:textId="77777777" w:rsidR="000C7E1C" w:rsidRDefault="000C7E1C" w:rsidP="00A60F53">
      <w:r>
        <w:separator/>
      </w:r>
    </w:p>
  </w:endnote>
  <w:endnote w:type="continuationSeparator" w:id="0">
    <w:p w14:paraId="747F5474" w14:textId="77777777" w:rsidR="000C7E1C" w:rsidRDefault="000C7E1C" w:rsidP="00A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C1CD" w14:textId="77777777" w:rsidR="000C7E1C" w:rsidRDefault="000C7E1C" w:rsidP="00A60F53">
      <w:r>
        <w:separator/>
      </w:r>
    </w:p>
  </w:footnote>
  <w:footnote w:type="continuationSeparator" w:id="0">
    <w:p w14:paraId="364E0BA3" w14:textId="77777777" w:rsidR="000C7E1C" w:rsidRDefault="000C7E1C" w:rsidP="00A6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88B"/>
    <w:multiLevelType w:val="hybridMultilevel"/>
    <w:tmpl w:val="B782874C"/>
    <w:lvl w:ilvl="0" w:tplc="4F967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DE6371"/>
    <w:multiLevelType w:val="hybridMultilevel"/>
    <w:tmpl w:val="52FCE614"/>
    <w:lvl w:ilvl="0" w:tplc="9F3AD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94"/>
    <w:rsid w:val="00033BC7"/>
    <w:rsid w:val="00036909"/>
    <w:rsid w:val="000C53CD"/>
    <w:rsid w:val="000C7E1C"/>
    <w:rsid w:val="000E1526"/>
    <w:rsid w:val="00100080"/>
    <w:rsid w:val="00101C77"/>
    <w:rsid w:val="00113280"/>
    <w:rsid w:val="001E282A"/>
    <w:rsid w:val="00220B96"/>
    <w:rsid w:val="00241471"/>
    <w:rsid w:val="002A05C8"/>
    <w:rsid w:val="002A212D"/>
    <w:rsid w:val="002A2602"/>
    <w:rsid w:val="002B03EF"/>
    <w:rsid w:val="002C4B1E"/>
    <w:rsid w:val="00310B74"/>
    <w:rsid w:val="003146DA"/>
    <w:rsid w:val="00343B85"/>
    <w:rsid w:val="00352326"/>
    <w:rsid w:val="00372956"/>
    <w:rsid w:val="003C6E55"/>
    <w:rsid w:val="003D6C37"/>
    <w:rsid w:val="003D7CAC"/>
    <w:rsid w:val="00457C15"/>
    <w:rsid w:val="005317DA"/>
    <w:rsid w:val="00592470"/>
    <w:rsid w:val="00625FBE"/>
    <w:rsid w:val="0066544B"/>
    <w:rsid w:val="006A5D86"/>
    <w:rsid w:val="006B2B0B"/>
    <w:rsid w:val="006C4864"/>
    <w:rsid w:val="007B367B"/>
    <w:rsid w:val="007D44FE"/>
    <w:rsid w:val="007E6D40"/>
    <w:rsid w:val="007F12E8"/>
    <w:rsid w:val="008277F1"/>
    <w:rsid w:val="00892756"/>
    <w:rsid w:val="008E73BE"/>
    <w:rsid w:val="00901FB5"/>
    <w:rsid w:val="00947CA7"/>
    <w:rsid w:val="00947F2A"/>
    <w:rsid w:val="00962EFF"/>
    <w:rsid w:val="009828AD"/>
    <w:rsid w:val="009969C0"/>
    <w:rsid w:val="009D2945"/>
    <w:rsid w:val="009D3094"/>
    <w:rsid w:val="00A15F6A"/>
    <w:rsid w:val="00A60F53"/>
    <w:rsid w:val="00A744FF"/>
    <w:rsid w:val="00AF7E60"/>
    <w:rsid w:val="00B134A4"/>
    <w:rsid w:val="00B40A6F"/>
    <w:rsid w:val="00BC1273"/>
    <w:rsid w:val="00BF381B"/>
    <w:rsid w:val="00C1377D"/>
    <w:rsid w:val="00C22D74"/>
    <w:rsid w:val="00CA3A8C"/>
    <w:rsid w:val="00CA3DA6"/>
    <w:rsid w:val="00CD7D1D"/>
    <w:rsid w:val="00D927C1"/>
    <w:rsid w:val="00DA53E8"/>
    <w:rsid w:val="00DB2FB9"/>
    <w:rsid w:val="00E144B5"/>
    <w:rsid w:val="00E26794"/>
    <w:rsid w:val="00E80A5B"/>
    <w:rsid w:val="00ED3109"/>
    <w:rsid w:val="00EE764B"/>
    <w:rsid w:val="00EF52A2"/>
    <w:rsid w:val="00F11723"/>
    <w:rsid w:val="00F24803"/>
    <w:rsid w:val="00F3071D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FD53A"/>
  <w15:chartTrackingRefBased/>
  <w15:docId w15:val="{93806337-237C-4FD5-819C-7FB91D6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D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A6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0F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0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F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480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zlfbpc</dc:creator>
  <cp:keywords/>
  <dc:description/>
  <cp:lastModifiedBy>Dawsey, Sandy (NIH/NCI) [E]</cp:lastModifiedBy>
  <cp:revision>2</cp:revision>
  <cp:lastPrinted>2020-02-07T21:01:00Z</cp:lastPrinted>
  <dcterms:created xsi:type="dcterms:W3CDTF">2020-02-07T22:53:00Z</dcterms:created>
  <dcterms:modified xsi:type="dcterms:W3CDTF">2020-02-07T22:53:00Z</dcterms:modified>
</cp:coreProperties>
</file>