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800C" w14:textId="3AB24478" w:rsidR="00C659E4" w:rsidRPr="00D42B67" w:rsidRDefault="00C659E4" w:rsidP="00C659E4">
      <w:pPr>
        <w:spacing w:before="120" w:after="60"/>
        <w:jc w:val="both"/>
        <w:rPr>
          <w:rFonts w:ascii="Arial" w:hAnsi="Arial" w:cs="Arial"/>
          <w:b/>
          <w:caps/>
          <w:lang w:val="en-GB"/>
        </w:rPr>
      </w:pPr>
      <w:r w:rsidRPr="00D42B67">
        <w:rPr>
          <w:rFonts w:ascii="Arial" w:hAnsi="Arial" w:cs="Arial"/>
          <w:b/>
          <w:caps/>
          <w:lang w:val="en-GB"/>
        </w:rPr>
        <w:t>Supplementary Information</w:t>
      </w:r>
    </w:p>
    <w:p w14:paraId="1F1A1CE9" w14:textId="77777777" w:rsidR="00C659E4" w:rsidRPr="00D42B67" w:rsidRDefault="00C659E4" w:rsidP="00C659E4">
      <w:pPr>
        <w:spacing w:before="120" w:after="60"/>
        <w:jc w:val="both"/>
        <w:rPr>
          <w:rFonts w:ascii="Arial" w:hAnsi="Arial" w:cs="Arial"/>
          <w:b/>
          <w:lang w:val="en-GB"/>
        </w:rPr>
      </w:pPr>
      <w:r w:rsidRPr="00D42B67">
        <w:rPr>
          <w:rFonts w:ascii="Arial" w:hAnsi="Arial" w:cs="Arial"/>
          <w:b/>
          <w:lang w:val="en-GB"/>
        </w:rPr>
        <w:t xml:space="preserve">Detailed description of </w:t>
      </w:r>
      <w:r w:rsidR="004C4074" w:rsidRPr="00D42B67">
        <w:rPr>
          <w:rFonts w:ascii="Arial" w:hAnsi="Arial" w:cs="Arial"/>
          <w:b/>
          <w:lang w:val="en-GB"/>
        </w:rPr>
        <w:t xml:space="preserve">STOPAH </w:t>
      </w:r>
      <w:r w:rsidRPr="00D42B67">
        <w:rPr>
          <w:rFonts w:ascii="Arial" w:hAnsi="Arial" w:cs="Arial"/>
          <w:b/>
          <w:lang w:val="en-GB"/>
        </w:rPr>
        <w:t>study population</w:t>
      </w:r>
    </w:p>
    <w:p w14:paraId="47D3D43C" w14:textId="4BEA8774" w:rsidR="00C659E4" w:rsidRPr="00D42B67" w:rsidRDefault="00C659E4" w:rsidP="00C659E4">
      <w:pPr>
        <w:spacing w:before="120" w:after="0" w:line="360" w:lineRule="auto"/>
        <w:jc w:val="both"/>
        <w:rPr>
          <w:rFonts w:ascii="Arial" w:hAnsi="Arial" w:cs="Arial"/>
          <w:lang w:val="en-GB"/>
        </w:rPr>
      </w:pPr>
      <w:r w:rsidRPr="00D42B67">
        <w:rPr>
          <w:rFonts w:ascii="Arial" w:hAnsi="Arial" w:cs="Arial"/>
          <w:lang w:val="en-GB"/>
        </w:rPr>
        <w:t>Cases with severe alcoholic hepatitis were enrolled for the STOPAH trial as per the trial protocol</w:t>
      </w:r>
      <w:r w:rsidRPr="00D42B67">
        <w:rPr>
          <w:rFonts w:ascii="Arial" w:hAnsi="Arial" w:cs="Arial"/>
          <w:vertAlign w:val="superscript"/>
          <w:lang w:val="en-GB"/>
        </w:rPr>
        <w:t>1</w:t>
      </w:r>
      <w:r w:rsidRPr="00D42B67">
        <w:rPr>
          <w:rFonts w:ascii="Arial" w:hAnsi="Arial" w:cs="Arial"/>
          <w:lang w:val="en-GB"/>
        </w:rPr>
        <w:t>. All had a history of long-standing alcohol misuse; compatible clinical, laboratory, and/or liver biopsy features of alcoholic hepatitis; no other identified causes for their liver disease; and a DF ≥32. Patients were randomised to treatment with prednisolone or pentoxifylline for 28 days using a double-blind, double-dummy factorial 2 x 2 design. Outcome data were collected for the primary and secondary endpoints of mortality at 28 and 90 days, respectively. Patients were consented for follow-up via the NHS Information Centre Data Linkage service ensuring ongoing follow-up and reliable capture of mortality data. Patients presenting with either infection or gastrointestinal haemorrhage were eligible for inclusion into the trial once the condition was deemed clinically controlled by the treating physician. A detailed description is provided in the primary analysis of the trial data</w:t>
      </w:r>
      <w:r w:rsidRPr="00D42B67">
        <w:rPr>
          <w:rFonts w:ascii="Arial" w:hAnsi="Arial" w:cs="Arial"/>
          <w:vertAlign w:val="superscript"/>
          <w:lang w:val="en-GB"/>
        </w:rPr>
        <w:t>2</w:t>
      </w:r>
      <w:r w:rsidRPr="00D42B67">
        <w:rPr>
          <w:rFonts w:ascii="Arial" w:hAnsi="Arial" w:cs="Arial"/>
          <w:lang w:val="en-GB"/>
        </w:rPr>
        <w:t>.</w:t>
      </w:r>
    </w:p>
    <w:p w14:paraId="2481E77A" w14:textId="77777777" w:rsidR="00C659E4" w:rsidRPr="00D42B67" w:rsidRDefault="00C659E4" w:rsidP="00C659E4">
      <w:pPr>
        <w:spacing w:before="120" w:after="0" w:line="360" w:lineRule="auto"/>
        <w:jc w:val="both"/>
        <w:rPr>
          <w:rFonts w:ascii="Arial" w:hAnsi="Arial" w:cs="Arial"/>
          <w:lang w:val="en-US"/>
        </w:rPr>
      </w:pPr>
      <w:r w:rsidRPr="00D42B67">
        <w:rPr>
          <w:rFonts w:ascii="Arial" w:hAnsi="Arial" w:cs="Arial"/>
          <w:lang w:val="en-US"/>
        </w:rPr>
        <w:t xml:space="preserve">Clinical, </w:t>
      </w:r>
      <w:proofErr w:type="spellStart"/>
      <w:r w:rsidRPr="00D42B67">
        <w:rPr>
          <w:rFonts w:ascii="Arial" w:hAnsi="Arial" w:cs="Arial"/>
          <w:lang w:val="en-US"/>
        </w:rPr>
        <w:t>haematological</w:t>
      </w:r>
      <w:proofErr w:type="spellEnd"/>
      <w:r w:rsidRPr="00D42B67">
        <w:rPr>
          <w:rFonts w:ascii="Arial" w:hAnsi="Arial" w:cs="Arial"/>
          <w:lang w:val="en-US"/>
        </w:rPr>
        <w:t xml:space="preserve"> and biochemical data were recorded at baseline in line with the trial protocol. In cases where the serum aspartate transaminase (AST) level was not recorded in the case record form these values were subsequently determined using clinical assays with the </w:t>
      </w:r>
      <w:proofErr w:type="spellStart"/>
      <w:r w:rsidRPr="00D42B67">
        <w:rPr>
          <w:rFonts w:ascii="Arial" w:hAnsi="Arial" w:cs="Arial"/>
          <w:lang w:val="en-US"/>
        </w:rPr>
        <w:t>Cobas</w:t>
      </w:r>
      <w:proofErr w:type="spellEnd"/>
      <w:r w:rsidRPr="00D42B67">
        <w:rPr>
          <w:rFonts w:ascii="Arial" w:hAnsi="Arial" w:cs="Arial"/>
          <w:lang w:val="en-US"/>
        </w:rPr>
        <w:t xml:space="preserve"> 8000 system (Roche Diagnostics, Mannheim, Germany) available at the Clinical Chemistry Department of University Hospital Aachen on the available serum samples. The test has been approved for use in clinical practice and is not altered by hemolysis or increased serum bilirubin.</w:t>
      </w:r>
    </w:p>
    <w:p w14:paraId="2699F974" w14:textId="77777777" w:rsidR="004C4074" w:rsidRPr="00D42B67" w:rsidRDefault="004C4074" w:rsidP="00C659E4">
      <w:pPr>
        <w:spacing w:before="120" w:after="0" w:line="360" w:lineRule="auto"/>
        <w:jc w:val="both"/>
        <w:rPr>
          <w:rFonts w:ascii="Arial" w:hAnsi="Arial" w:cs="Arial"/>
          <w:lang w:val="en-US"/>
        </w:rPr>
      </w:pPr>
    </w:p>
    <w:p w14:paraId="7C03B193" w14:textId="77777777" w:rsidR="004C4074" w:rsidRPr="00D42B67" w:rsidRDefault="004C4074" w:rsidP="00DF3D6F">
      <w:pPr>
        <w:spacing w:after="0" w:line="360" w:lineRule="auto"/>
        <w:jc w:val="both"/>
        <w:rPr>
          <w:rFonts w:ascii="Arial" w:hAnsi="Arial" w:cs="Arial"/>
          <w:b/>
          <w:lang w:val="en-US"/>
        </w:rPr>
      </w:pPr>
      <w:r w:rsidRPr="00D42B67">
        <w:rPr>
          <w:rFonts w:ascii="Arial" w:hAnsi="Arial" w:cs="Arial"/>
          <w:b/>
          <w:lang w:val="en-US"/>
        </w:rPr>
        <w:t>Alcoholic Cirrhosis Cohort</w:t>
      </w:r>
    </w:p>
    <w:p w14:paraId="34C05DD2" w14:textId="6E0C2257" w:rsidR="004C4074" w:rsidRPr="00D42B67" w:rsidRDefault="004C4074" w:rsidP="00DF3D6F">
      <w:pPr>
        <w:spacing w:after="0" w:line="360" w:lineRule="auto"/>
        <w:jc w:val="both"/>
        <w:rPr>
          <w:rFonts w:ascii="Arial" w:hAnsi="Arial" w:cs="Arial"/>
          <w:b/>
          <w:sz w:val="28"/>
          <w:lang w:val="en-US"/>
        </w:rPr>
      </w:pPr>
      <w:r w:rsidRPr="00D42B67">
        <w:rPr>
          <w:rFonts w:ascii="Arial" w:hAnsi="Arial" w:cs="Arial"/>
          <w:szCs w:val="18"/>
          <w:shd w:val="clear" w:color="auto" w:fill="FFFFFF"/>
          <w:lang w:val="en-US"/>
        </w:rPr>
        <w:t xml:space="preserve">Patients with alcoholic liver disease were consecutively recruited to a compensated cirrhosis cohort study, a prospective study initiated in 2010 </w:t>
      </w:r>
      <w:r w:rsidR="001A3186" w:rsidRPr="00D42B67">
        <w:rPr>
          <w:rFonts w:ascii="Arial" w:hAnsi="Arial" w:cs="Arial"/>
          <w:szCs w:val="18"/>
          <w:shd w:val="clear" w:color="auto" w:fill="FFFFFF"/>
          <w:lang w:val="en-US"/>
        </w:rPr>
        <w:t>focused</w:t>
      </w:r>
      <w:r w:rsidRPr="00D42B67">
        <w:rPr>
          <w:rFonts w:ascii="Arial" w:hAnsi="Arial" w:cs="Arial"/>
          <w:szCs w:val="18"/>
          <w:shd w:val="clear" w:color="auto" w:fill="FFFFFF"/>
          <w:lang w:val="en-US"/>
        </w:rPr>
        <w:t xml:space="preserve"> on tracking liver disease progression. Here, baseline measures collected for this cohort are reported.</w:t>
      </w:r>
      <w:r w:rsidR="00A43D8A" w:rsidRPr="00D42B67">
        <w:rPr>
          <w:rFonts w:ascii="Arial" w:hAnsi="Arial" w:cs="Arial"/>
          <w:szCs w:val="18"/>
          <w:shd w:val="clear" w:color="auto" w:fill="FFFFFF"/>
          <w:lang w:val="en-US"/>
        </w:rPr>
        <w:t xml:space="preserve"> Patients were recruited with evidence of past alcohol excess, cirrhosis (confirmed by a combination of biopsy, clinical and radiological criteria) and no evidence of decompensation (ascites, significant jaundice, hepatic encephalopathy and variceal bleeding), hepatocellular carcinoma and portal vein thrombosis. Exclusion criteria included </w:t>
      </w:r>
      <w:proofErr w:type="spellStart"/>
      <w:r w:rsidR="00A43D8A" w:rsidRPr="00D42B67">
        <w:rPr>
          <w:rFonts w:ascii="Arial" w:hAnsi="Arial" w:cs="Arial"/>
          <w:szCs w:val="18"/>
          <w:shd w:val="clear" w:color="auto" w:fill="FFFFFF"/>
          <w:lang w:val="en-US"/>
        </w:rPr>
        <w:t>orthotopic</w:t>
      </w:r>
      <w:proofErr w:type="spellEnd"/>
      <w:r w:rsidR="00A43D8A" w:rsidRPr="00D42B67">
        <w:rPr>
          <w:rFonts w:ascii="Arial" w:hAnsi="Arial" w:cs="Arial"/>
          <w:szCs w:val="18"/>
          <w:shd w:val="clear" w:color="auto" w:fill="FFFFFF"/>
          <w:lang w:val="en-US"/>
        </w:rPr>
        <w:t xml:space="preserve"> liver transplantation, </w:t>
      </w:r>
      <w:proofErr w:type="spellStart"/>
      <w:r w:rsidR="00A43D8A" w:rsidRPr="00D42B67">
        <w:rPr>
          <w:rFonts w:ascii="Arial" w:hAnsi="Arial" w:cs="Arial"/>
          <w:szCs w:val="18"/>
          <w:shd w:val="clear" w:color="auto" w:fill="FFFFFF"/>
          <w:lang w:val="en-US"/>
        </w:rPr>
        <w:t>ischaemic</w:t>
      </w:r>
      <w:proofErr w:type="spellEnd"/>
      <w:r w:rsidR="00A43D8A" w:rsidRPr="00D42B67">
        <w:rPr>
          <w:rFonts w:ascii="Arial" w:hAnsi="Arial" w:cs="Arial"/>
          <w:szCs w:val="18"/>
          <w:shd w:val="clear" w:color="auto" w:fill="FFFFFF"/>
          <w:lang w:val="en-US"/>
        </w:rPr>
        <w:t xml:space="preserve"> heart disease, alcoholic cardiomyopathy (defined by clinical evidence of systolic dysfunction) and valvular heart disease. A small cohort o</w:t>
      </w:r>
      <w:r w:rsidR="00DF3D6F" w:rsidRPr="00D42B67">
        <w:rPr>
          <w:rFonts w:ascii="Arial" w:hAnsi="Arial" w:cs="Arial"/>
          <w:szCs w:val="18"/>
          <w:shd w:val="clear" w:color="auto" w:fill="FFFFFF"/>
          <w:lang w:val="en-US"/>
        </w:rPr>
        <w:t>f</w:t>
      </w:r>
      <w:r w:rsidR="00A43D8A" w:rsidRPr="00D42B67">
        <w:rPr>
          <w:rFonts w:ascii="Arial" w:hAnsi="Arial" w:cs="Arial"/>
          <w:szCs w:val="18"/>
          <w:shd w:val="clear" w:color="auto" w:fill="FFFFFF"/>
          <w:lang w:val="en-US"/>
        </w:rPr>
        <w:t xml:space="preserve"> patients with decompensated cirrhosis were also included as a control group for the analysis defined as </w:t>
      </w:r>
      <w:proofErr w:type="spellStart"/>
      <w:r w:rsidR="00A43D8A" w:rsidRPr="00D42B67">
        <w:rPr>
          <w:rFonts w:ascii="Arial" w:hAnsi="Arial" w:cs="Arial"/>
          <w:szCs w:val="18"/>
          <w:shd w:val="clear" w:color="auto" w:fill="FFFFFF"/>
          <w:lang w:val="en-US"/>
        </w:rPr>
        <w:t>Baveno</w:t>
      </w:r>
      <w:proofErr w:type="spellEnd"/>
      <w:r w:rsidR="00A43D8A" w:rsidRPr="00D42B67">
        <w:rPr>
          <w:rFonts w:ascii="Arial" w:hAnsi="Arial" w:cs="Arial"/>
          <w:szCs w:val="18"/>
          <w:shd w:val="clear" w:color="auto" w:fill="FFFFFF"/>
          <w:lang w:val="en-US"/>
        </w:rPr>
        <w:t xml:space="preserve"> 3 or 4 stage (ascites, encephalopathy or previous variceal bleed); exclusion criteria included portal vein thrombosis, the presence of hepatocellular carcinoma (HCC), and orthotopic liver transplantation</w:t>
      </w:r>
      <w:r w:rsidR="00A43D8A" w:rsidRPr="00D42B67">
        <w:rPr>
          <w:rFonts w:ascii="Arial" w:hAnsi="Arial" w:cs="Arial"/>
          <w:szCs w:val="18"/>
          <w:shd w:val="clear" w:color="auto" w:fill="FFFFFF"/>
          <w:vertAlign w:val="superscript"/>
          <w:lang w:val="en-US"/>
        </w:rPr>
        <w:t>3</w:t>
      </w:r>
      <w:r w:rsidR="00A43D8A" w:rsidRPr="00D42B67">
        <w:rPr>
          <w:rFonts w:ascii="Arial" w:hAnsi="Arial" w:cs="Arial"/>
          <w:szCs w:val="18"/>
          <w:shd w:val="clear" w:color="auto" w:fill="FFFFFF"/>
          <w:lang w:val="en-US"/>
        </w:rPr>
        <w:t>. </w:t>
      </w:r>
    </w:p>
    <w:p w14:paraId="52DC2039" w14:textId="77777777" w:rsidR="004C4074" w:rsidRPr="00D42B67" w:rsidRDefault="004C4074" w:rsidP="00C659E4">
      <w:pPr>
        <w:spacing w:before="120" w:after="60"/>
        <w:jc w:val="both"/>
        <w:rPr>
          <w:rFonts w:ascii="Arial" w:hAnsi="Arial" w:cs="Arial"/>
          <w:b/>
          <w:lang w:val="en-US"/>
        </w:rPr>
      </w:pPr>
    </w:p>
    <w:p w14:paraId="61CD09DD" w14:textId="77777777" w:rsidR="00C659E4" w:rsidRPr="00D42B67" w:rsidRDefault="00C659E4" w:rsidP="00C659E4">
      <w:pPr>
        <w:spacing w:before="120" w:after="60"/>
        <w:jc w:val="both"/>
        <w:rPr>
          <w:rFonts w:ascii="Arial" w:hAnsi="Arial" w:cs="Arial"/>
          <w:b/>
          <w:lang w:val="en-US"/>
        </w:rPr>
      </w:pPr>
      <w:r w:rsidRPr="00D42B67">
        <w:rPr>
          <w:rFonts w:ascii="Arial" w:hAnsi="Arial" w:cs="Arial"/>
          <w:b/>
          <w:lang w:val="en-US"/>
        </w:rPr>
        <w:t>Histological analyses</w:t>
      </w:r>
    </w:p>
    <w:p w14:paraId="1200575A" w14:textId="77777777" w:rsidR="00C659E4" w:rsidRPr="00D42B67" w:rsidRDefault="00C659E4" w:rsidP="00C659E4">
      <w:pPr>
        <w:spacing w:line="360" w:lineRule="auto"/>
        <w:jc w:val="both"/>
        <w:rPr>
          <w:rFonts w:ascii="Arial" w:hAnsi="Arial" w:cs="Arial"/>
          <w:lang w:val="en-US"/>
        </w:rPr>
      </w:pPr>
      <w:r w:rsidRPr="00D42B67">
        <w:rPr>
          <w:rFonts w:ascii="Arial" w:hAnsi="Arial" w:cs="Arial"/>
          <w:lang w:val="en-US"/>
        </w:rPr>
        <w:t xml:space="preserve">All liver biopsies were obtained </w:t>
      </w:r>
      <w:r w:rsidRPr="00D42B67">
        <w:rPr>
          <w:rFonts w:ascii="Arial" w:hAnsi="Arial" w:cs="Arial"/>
          <w:i/>
          <w:iCs/>
          <w:lang w:val="en-US"/>
        </w:rPr>
        <w:t>via</w:t>
      </w:r>
      <w:r w:rsidRPr="00D42B67">
        <w:rPr>
          <w:rFonts w:ascii="Arial" w:hAnsi="Arial" w:cs="Arial"/>
          <w:lang w:val="en-US"/>
        </w:rPr>
        <w:t xml:space="preserve"> the </w:t>
      </w:r>
      <w:proofErr w:type="spellStart"/>
      <w:r w:rsidRPr="00D42B67">
        <w:rPr>
          <w:rFonts w:ascii="Arial" w:hAnsi="Arial" w:cs="Arial"/>
          <w:lang w:val="en-US"/>
        </w:rPr>
        <w:t>transjugular</w:t>
      </w:r>
      <w:proofErr w:type="spellEnd"/>
      <w:r w:rsidRPr="00D42B67">
        <w:rPr>
          <w:rFonts w:ascii="Arial" w:hAnsi="Arial" w:cs="Arial"/>
          <w:lang w:val="en-US"/>
        </w:rPr>
        <w:t xml:space="preserve"> route by an experienced hepatologist or interventional radiologist. Biopsy material was collected in formaldehyde and left at room temperature for a minimum of 4 hours before embedding in paraffin wax. Serial 0.5 µm sections were cut. The preparation of unstained sections was carried out in the histology department of the recruiting hospital. The specimens were sent to the trial </w:t>
      </w:r>
      <w:proofErr w:type="spellStart"/>
      <w:r w:rsidRPr="00D42B67">
        <w:rPr>
          <w:rFonts w:ascii="Arial" w:hAnsi="Arial" w:cs="Arial"/>
          <w:lang w:val="en-US"/>
        </w:rPr>
        <w:t>centre</w:t>
      </w:r>
      <w:proofErr w:type="spellEnd"/>
      <w:r w:rsidRPr="00D42B67">
        <w:rPr>
          <w:rFonts w:ascii="Arial" w:hAnsi="Arial" w:cs="Arial"/>
          <w:lang w:val="en-US"/>
        </w:rPr>
        <w:t xml:space="preserve"> at St Mary’s Hospital where they were stained with </w:t>
      </w:r>
      <w:proofErr w:type="spellStart"/>
      <w:r w:rsidRPr="00D42B67">
        <w:rPr>
          <w:rFonts w:ascii="Arial" w:hAnsi="Arial" w:cs="Arial"/>
          <w:lang w:val="en-US"/>
        </w:rPr>
        <w:t>haematoxylin</w:t>
      </w:r>
      <w:proofErr w:type="spellEnd"/>
      <w:r w:rsidRPr="00D42B67">
        <w:rPr>
          <w:rFonts w:ascii="Arial" w:hAnsi="Arial" w:cs="Arial"/>
          <w:lang w:val="en-US"/>
        </w:rPr>
        <w:t xml:space="preserve"> and eosin (H&amp;E) and Sirius red.  Biopsies were considered adequate for reading if at least five portal tracts were available for assessment. Histological analyses were conducted in the subset of patients who underwent liver biopsy (n=155). Analyses reported were limited to biopsies taken within a window extending from 14 days prior to the start of treatment to 14 days after the commencement of trial therapy due to the potential impact of both time and treatment on their appearance.</w:t>
      </w:r>
    </w:p>
    <w:p w14:paraId="3223D909" w14:textId="77777777" w:rsidR="00C659E4" w:rsidRPr="00D42B67" w:rsidRDefault="00C659E4" w:rsidP="00C659E4">
      <w:pPr>
        <w:spacing w:line="360" w:lineRule="auto"/>
        <w:jc w:val="both"/>
        <w:rPr>
          <w:rFonts w:ascii="Arial" w:hAnsi="Arial" w:cs="Arial"/>
          <w:lang w:val="en-US"/>
        </w:rPr>
      </w:pPr>
      <w:r w:rsidRPr="00D42B67">
        <w:rPr>
          <w:rFonts w:ascii="Arial" w:hAnsi="Arial" w:cs="Arial"/>
          <w:lang w:val="en-US"/>
        </w:rPr>
        <w:t>After exclusions based upon an inadequate diagnostic sample (n=39) and timing greater than 14 days before or after the start of treatment (n=29), 87 samples were available for analysis.</w:t>
      </w:r>
    </w:p>
    <w:p w14:paraId="2449F0BC" w14:textId="77777777" w:rsidR="00C659E4" w:rsidRPr="00D42B67" w:rsidRDefault="00C659E4" w:rsidP="00C659E4">
      <w:pPr>
        <w:spacing w:line="360" w:lineRule="auto"/>
        <w:jc w:val="both"/>
        <w:rPr>
          <w:rFonts w:ascii="Arial" w:hAnsi="Arial" w:cs="Arial"/>
          <w:lang w:val="en-US"/>
        </w:rPr>
      </w:pPr>
      <w:r w:rsidRPr="00D42B67">
        <w:rPr>
          <w:rFonts w:ascii="Arial" w:hAnsi="Arial" w:cs="Arial"/>
          <w:lang w:val="en-US"/>
        </w:rPr>
        <w:t>Two experienced histopathologists (RG and AQ), blinded to patient treatment and outcomes, independently assessed the histological features of each biopsy using the alcoholic hepatitis scoring system (AHHS) (Supplementary Table 1)</w:t>
      </w:r>
      <w:r w:rsidRPr="00D42B67">
        <w:rPr>
          <w:rFonts w:ascii="Arial" w:hAnsi="Arial" w:cs="Arial"/>
          <w:vertAlign w:val="superscript"/>
          <w:lang w:val="en-US"/>
        </w:rPr>
        <w:t>3</w:t>
      </w:r>
      <w:r w:rsidRPr="00D42B67">
        <w:rPr>
          <w:rFonts w:ascii="Arial" w:hAnsi="Arial" w:cs="Arial"/>
          <w:lang w:val="en-US"/>
        </w:rPr>
        <w:t>. Fibrosis was graded semi-quantitatively using the Laennec system</w:t>
      </w:r>
      <w:r w:rsidRPr="00D42B67">
        <w:rPr>
          <w:rFonts w:ascii="Arial" w:hAnsi="Arial" w:cs="Arial"/>
          <w:vertAlign w:val="superscript"/>
          <w:lang w:val="en-US"/>
        </w:rPr>
        <w:t>4</w:t>
      </w:r>
      <w:r w:rsidRPr="00D42B67">
        <w:rPr>
          <w:rFonts w:ascii="Arial" w:hAnsi="Arial" w:cs="Arial"/>
          <w:lang w:val="en-US"/>
        </w:rPr>
        <w:t xml:space="preserve"> (Supplementary Table 1). The presence or absence of additional features associated with ASH, </w:t>
      </w:r>
      <w:proofErr w:type="spellStart"/>
      <w:r w:rsidRPr="00D42B67">
        <w:rPr>
          <w:rFonts w:ascii="Arial" w:hAnsi="Arial" w:cs="Arial"/>
          <w:i/>
          <w:lang w:val="en-US"/>
        </w:rPr>
        <w:t>viz</w:t>
      </w:r>
      <w:proofErr w:type="spellEnd"/>
      <w:r w:rsidRPr="00D42B67">
        <w:rPr>
          <w:rFonts w:ascii="Arial" w:hAnsi="Arial" w:cs="Arial"/>
          <w:lang w:val="en-US"/>
        </w:rPr>
        <w:t xml:space="preserve"> Mallory-</w:t>
      </w:r>
      <w:proofErr w:type="spellStart"/>
      <w:r w:rsidRPr="00D42B67">
        <w:rPr>
          <w:rFonts w:ascii="Arial" w:hAnsi="Arial" w:cs="Arial"/>
          <w:lang w:val="en-US"/>
        </w:rPr>
        <w:t>Denk</w:t>
      </w:r>
      <w:proofErr w:type="spellEnd"/>
      <w:r w:rsidRPr="00D42B67">
        <w:rPr>
          <w:rFonts w:ascii="Arial" w:hAnsi="Arial" w:cs="Arial"/>
          <w:lang w:val="en-US"/>
        </w:rPr>
        <w:t xml:space="preserve"> bodies and </w:t>
      </w:r>
      <w:proofErr w:type="spellStart"/>
      <w:r w:rsidRPr="00D42B67">
        <w:rPr>
          <w:rFonts w:ascii="Arial" w:hAnsi="Arial" w:cs="Arial"/>
          <w:lang w:val="en-US"/>
        </w:rPr>
        <w:t>megamitochondria</w:t>
      </w:r>
      <w:proofErr w:type="spellEnd"/>
      <w:r w:rsidRPr="00D42B67">
        <w:rPr>
          <w:rFonts w:ascii="Arial" w:hAnsi="Arial" w:cs="Arial"/>
          <w:lang w:val="en-US"/>
        </w:rPr>
        <w:t>, was also recorded.</w:t>
      </w:r>
    </w:p>
    <w:p w14:paraId="43A51432" w14:textId="77777777" w:rsidR="00C659E4" w:rsidRPr="00D42B67" w:rsidRDefault="00C659E4" w:rsidP="00C659E4">
      <w:pPr>
        <w:pStyle w:val="Heading4"/>
        <w:spacing w:before="120" w:after="60" w:line="276" w:lineRule="auto"/>
        <w:rPr>
          <w:rFonts w:ascii="Arial" w:hAnsi="Arial" w:cs="Arial"/>
          <w:b/>
          <w:i w:val="0"/>
          <w:color w:val="auto"/>
          <w:sz w:val="22"/>
          <w:szCs w:val="22"/>
        </w:rPr>
      </w:pPr>
      <w:r w:rsidRPr="00D42B67">
        <w:rPr>
          <w:rFonts w:ascii="Arial" w:hAnsi="Arial" w:cs="Arial"/>
          <w:b/>
          <w:i w:val="0"/>
          <w:color w:val="auto"/>
          <w:sz w:val="22"/>
          <w:szCs w:val="22"/>
        </w:rPr>
        <w:t>Baseline demographic and histological statistical analyses</w:t>
      </w:r>
    </w:p>
    <w:p w14:paraId="2F0488F9" w14:textId="453FDFCE" w:rsidR="00C659E4" w:rsidRPr="00D42B67" w:rsidRDefault="00C659E4" w:rsidP="00C659E4">
      <w:pPr>
        <w:spacing w:line="360" w:lineRule="auto"/>
        <w:jc w:val="both"/>
        <w:rPr>
          <w:rFonts w:ascii="Arial" w:hAnsi="Arial" w:cs="Arial"/>
          <w:lang w:val="en-US"/>
        </w:rPr>
      </w:pPr>
      <w:r w:rsidRPr="00D42B67">
        <w:rPr>
          <w:rFonts w:ascii="Arial" w:hAnsi="Arial" w:cs="Arial"/>
          <w:lang w:val="en-US"/>
        </w:rPr>
        <w:t xml:space="preserve">The </w:t>
      </w:r>
      <w:proofErr w:type="spellStart"/>
      <w:r w:rsidRPr="00D42B67">
        <w:rPr>
          <w:rFonts w:ascii="Arial" w:hAnsi="Arial" w:cs="Arial"/>
          <w:lang w:val="en-US"/>
        </w:rPr>
        <w:t>Jonckheere-Terpstra</w:t>
      </w:r>
      <w:proofErr w:type="spellEnd"/>
      <w:r w:rsidRPr="00D42B67">
        <w:rPr>
          <w:rFonts w:ascii="Arial" w:hAnsi="Arial" w:cs="Arial"/>
          <w:lang w:val="en-US"/>
        </w:rPr>
        <w:t xml:space="preserve"> test was used to test for an ordered difference in medians between groups defined by the Laennec fibrosis </w:t>
      </w:r>
      <w:r w:rsidR="00DD683B" w:rsidRPr="00D42B67">
        <w:rPr>
          <w:rFonts w:ascii="Arial" w:hAnsi="Arial" w:cs="Arial"/>
          <w:lang w:val="en-US"/>
        </w:rPr>
        <w:t>stage</w:t>
      </w:r>
      <w:r w:rsidRPr="00D42B67">
        <w:rPr>
          <w:rFonts w:ascii="Arial" w:hAnsi="Arial" w:cs="Arial"/>
          <w:lang w:val="en-US"/>
        </w:rPr>
        <w:t xml:space="preserve">. The Mann-Whitney U test was used to test for differences in the median </w:t>
      </w:r>
      <w:r w:rsidR="009821B6" w:rsidRPr="00D42B67">
        <w:rPr>
          <w:rFonts w:ascii="Arial" w:hAnsi="Arial" w:cs="Arial"/>
          <w:lang w:val="en-US"/>
        </w:rPr>
        <w:t>K18</w:t>
      </w:r>
      <w:r w:rsidRPr="00D42B67">
        <w:rPr>
          <w:rFonts w:ascii="Arial" w:hAnsi="Arial" w:cs="Arial"/>
          <w:lang w:val="en-US"/>
        </w:rPr>
        <w:t xml:space="preserve"> levels between groups defined by the presence or absence of histopathological features as set out in the AHHS. Area under the receiver operated characteristic (AUROC) analysis was used to test the ability of circulating </w:t>
      </w:r>
      <w:r w:rsidR="009821B6" w:rsidRPr="00D42B67">
        <w:rPr>
          <w:rFonts w:ascii="Arial" w:hAnsi="Arial" w:cs="Arial"/>
          <w:lang w:val="en-US"/>
        </w:rPr>
        <w:t>K18</w:t>
      </w:r>
      <w:r w:rsidRPr="00D42B67">
        <w:rPr>
          <w:rFonts w:ascii="Arial" w:hAnsi="Arial" w:cs="Arial"/>
          <w:lang w:val="en-US"/>
        </w:rPr>
        <w:t xml:space="preserve"> fragments to predict the presence of ASH and severe inflammation. Samples non-diagnostic of ASH were excluded from analyses of the prediction of severe inflammation.</w:t>
      </w:r>
    </w:p>
    <w:p w14:paraId="5C0784E2" w14:textId="30A75B32" w:rsidR="00C659E4" w:rsidRPr="00D42B67" w:rsidRDefault="00C659E4" w:rsidP="00C659E4">
      <w:pPr>
        <w:spacing w:line="360" w:lineRule="auto"/>
        <w:jc w:val="both"/>
        <w:rPr>
          <w:rFonts w:ascii="Arial" w:hAnsi="Arial" w:cs="Arial"/>
          <w:lang w:val="en-US"/>
        </w:rPr>
      </w:pPr>
      <w:r w:rsidRPr="00D42B67">
        <w:rPr>
          <w:rFonts w:ascii="Arial" w:hAnsi="Arial" w:cs="Arial"/>
          <w:lang w:val="en-US"/>
        </w:rPr>
        <w:t xml:space="preserve">Correlations were conducted in the entire cohort of patients with available serum </w:t>
      </w:r>
      <w:r w:rsidR="009821B6" w:rsidRPr="00D42B67">
        <w:rPr>
          <w:rFonts w:ascii="Arial" w:hAnsi="Arial" w:cs="Arial"/>
          <w:lang w:val="en-US"/>
        </w:rPr>
        <w:t>K18</w:t>
      </w:r>
      <w:r w:rsidRPr="00D42B67">
        <w:rPr>
          <w:rFonts w:ascii="Arial" w:hAnsi="Arial" w:cs="Arial"/>
          <w:lang w:val="en-US"/>
        </w:rPr>
        <w:t xml:space="preserve"> data and tested using the Spearman’s rank test. In view of the number of tests a </w:t>
      </w:r>
      <w:proofErr w:type="spellStart"/>
      <w:r w:rsidRPr="00D42B67">
        <w:rPr>
          <w:rFonts w:ascii="Arial" w:hAnsi="Arial" w:cs="Arial"/>
          <w:lang w:val="en-US"/>
        </w:rPr>
        <w:t>Benjamini</w:t>
      </w:r>
      <w:proofErr w:type="spellEnd"/>
      <w:r w:rsidRPr="00D42B67">
        <w:rPr>
          <w:rFonts w:ascii="Arial" w:hAnsi="Arial" w:cs="Arial"/>
          <w:lang w:val="en-US"/>
        </w:rPr>
        <w:t>-Hochberg correction was applied to maintain a false discovery rate of 5%.</w:t>
      </w:r>
    </w:p>
    <w:p w14:paraId="1F626C1A" w14:textId="1DD9DA3E" w:rsidR="001A3186" w:rsidRPr="00D42B67" w:rsidRDefault="001A3186" w:rsidP="00C659E4">
      <w:pPr>
        <w:spacing w:line="360" w:lineRule="auto"/>
        <w:jc w:val="both"/>
        <w:rPr>
          <w:rFonts w:ascii="Arial" w:hAnsi="Arial" w:cs="Arial"/>
          <w:lang w:val="en-US"/>
        </w:rPr>
      </w:pPr>
    </w:p>
    <w:p w14:paraId="49964A39" w14:textId="77777777" w:rsidR="001A3186" w:rsidRPr="00D42B67" w:rsidRDefault="001A3186" w:rsidP="00C659E4">
      <w:pPr>
        <w:spacing w:line="360" w:lineRule="auto"/>
        <w:jc w:val="both"/>
        <w:rPr>
          <w:rFonts w:ascii="Arial" w:hAnsi="Arial" w:cs="Arial"/>
          <w:lang w:val="en-US"/>
        </w:rPr>
      </w:pPr>
    </w:p>
    <w:p w14:paraId="0CA7AD7D" w14:textId="77777777" w:rsidR="00442814" w:rsidRPr="00D42B67" w:rsidRDefault="00442814" w:rsidP="00442814">
      <w:pPr>
        <w:spacing w:after="160" w:line="480" w:lineRule="auto"/>
        <w:rPr>
          <w:rFonts w:ascii="Arial" w:hAnsi="Arial" w:cs="Arial"/>
          <w:b/>
          <w:lang w:val="en-GB"/>
        </w:rPr>
      </w:pPr>
      <w:r w:rsidRPr="00D42B67">
        <w:rPr>
          <w:rFonts w:ascii="Arial" w:hAnsi="Arial" w:cs="Arial"/>
          <w:b/>
          <w:lang w:val="en-GB"/>
        </w:rPr>
        <w:lastRenderedPageBreak/>
        <w:t>Interaction testing</w:t>
      </w:r>
    </w:p>
    <w:p w14:paraId="36407C1E" w14:textId="5B80887E" w:rsidR="001A3186" w:rsidRPr="00D42B67" w:rsidRDefault="00442814" w:rsidP="001A3186">
      <w:pPr>
        <w:spacing w:after="160" w:line="480" w:lineRule="auto"/>
        <w:rPr>
          <w:rFonts w:ascii="Arial" w:hAnsi="Arial" w:cs="Arial"/>
          <w:lang w:val="en-US"/>
        </w:rPr>
      </w:pPr>
      <w:r w:rsidRPr="00D42B67">
        <w:rPr>
          <w:rFonts w:ascii="Arial" w:hAnsi="Arial" w:cs="Arial"/>
          <w:lang w:val="en-US"/>
        </w:rPr>
        <w:t xml:space="preserve">It was hypothesized that the efficacy of prednisolone would increase with greater serum levels of </w:t>
      </w:r>
      <w:r w:rsidR="009821B6" w:rsidRPr="00D42B67">
        <w:rPr>
          <w:rFonts w:ascii="Arial" w:hAnsi="Arial" w:cs="Arial"/>
          <w:lang w:val="en-US"/>
        </w:rPr>
        <w:t>K18</w:t>
      </w:r>
      <w:r w:rsidRPr="00D42B67">
        <w:rPr>
          <w:rFonts w:ascii="Arial" w:hAnsi="Arial" w:cs="Arial"/>
          <w:lang w:val="en-US"/>
        </w:rPr>
        <w:t xml:space="preserve"> fragments but that at extreme </w:t>
      </w:r>
      <w:r w:rsidR="009821B6" w:rsidRPr="00D42B67">
        <w:rPr>
          <w:rFonts w:ascii="Arial" w:hAnsi="Arial" w:cs="Arial"/>
          <w:lang w:val="en-US"/>
        </w:rPr>
        <w:t>K18</w:t>
      </w:r>
      <w:r w:rsidRPr="00D42B67">
        <w:rPr>
          <w:rFonts w:ascii="Arial" w:hAnsi="Arial" w:cs="Arial"/>
          <w:lang w:val="en-US"/>
        </w:rPr>
        <w:t xml:space="preserve"> values this interaction may be non-linear. In order to model this a multiplicative interaction term was first included in the model and then an additional interaction term between prednisolone and the quadratic of </w:t>
      </w:r>
      <w:r w:rsidR="009821B6" w:rsidRPr="00D42B67">
        <w:rPr>
          <w:rFonts w:ascii="Arial" w:hAnsi="Arial" w:cs="Arial"/>
          <w:lang w:val="en-US"/>
        </w:rPr>
        <w:t>K18</w:t>
      </w:r>
      <w:r w:rsidRPr="00D42B67">
        <w:rPr>
          <w:rFonts w:ascii="Arial" w:hAnsi="Arial" w:cs="Arial"/>
          <w:lang w:val="en-US"/>
        </w:rPr>
        <w:t>. A likelihood ratio test implemented using the ‘</w:t>
      </w:r>
      <w:proofErr w:type="spellStart"/>
      <w:r w:rsidRPr="00D42B67">
        <w:rPr>
          <w:rFonts w:ascii="Arial" w:hAnsi="Arial" w:cs="Arial"/>
          <w:lang w:val="en-US"/>
        </w:rPr>
        <w:t>lrtest</w:t>
      </w:r>
      <w:proofErr w:type="spellEnd"/>
      <w:r w:rsidRPr="00D42B67">
        <w:rPr>
          <w:rFonts w:ascii="Arial" w:hAnsi="Arial" w:cs="Arial"/>
          <w:lang w:val="en-US"/>
        </w:rPr>
        <w:t>’ function in the R package ‘</w:t>
      </w:r>
      <w:proofErr w:type="spellStart"/>
      <w:r w:rsidRPr="00D42B67">
        <w:rPr>
          <w:rFonts w:ascii="Arial" w:hAnsi="Arial" w:cs="Arial"/>
          <w:lang w:val="en-US"/>
        </w:rPr>
        <w:t>lmtest</w:t>
      </w:r>
      <w:proofErr w:type="spellEnd"/>
      <w:r w:rsidRPr="00D42B67">
        <w:rPr>
          <w:rFonts w:ascii="Arial" w:hAnsi="Arial" w:cs="Arial"/>
          <w:lang w:val="en-US"/>
        </w:rPr>
        <w:t>’ was used to test the significance of the improvement in model fit associated with inclusion of these interaction terms. Finally models with significant interaction terms were further adjusted for age and MELD.</w:t>
      </w:r>
    </w:p>
    <w:p w14:paraId="13D533E9" w14:textId="42F7F175" w:rsidR="00F52CEA" w:rsidRPr="00D42B67" w:rsidRDefault="001A3186">
      <w:pPr>
        <w:spacing w:after="160" w:line="259" w:lineRule="auto"/>
        <w:rPr>
          <w:rFonts w:ascii="Arial" w:hAnsi="Arial" w:cs="Arial"/>
          <w:lang w:val="en-US"/>
        </w:rPr>
      </w:pPr>
      <w:r w:rsidRPr="00D42B67">
        <w:rPr>
          <w:rFonts w:ascii="Arial" w:hAnsi="Arial" w:cs="Arial"/>
          <w:lang w:val="en-US"/>
        </w:rPr>
        <w:br w:type="page"/>
      </w:r>
    </w:p>
    <w:p w14:paraId="753540B1" w14:textId="77777777" w:rsidR="00C659E4" w:rsidRPr="00D42B67" w:rsidRDefault="00C659E4" w:rsidP="00C659E4">
      <w:pPr>
        <w:spacing w:line="360" w:lineRule="auto"/>
        <w:jc w:val="both"/>
        <w:rPr>
          <w:rFonts w:ascii="Arial" w:hAnsi="Arial" w:cs="Arial"/>
          <w:lang w:val="en-US"/>
        </w:rPr>
      </w:pPr>
      <w:r w:rsidRPr="00D42B67">
        <w:rPr>
          <w:rFonts w:ascii="Arial" w:hAnsi="Arial" w:cs="Arial"/>
          <w:b/>
          <w:bCs/>
          <w:lang w:val="en-US"/>
        </w:rPr>
        <w:lastRenderedPageBreak/>
        <w:t>Supplementary Table 1:</w:t>
      </w:r>
      <w:r w:rsidRPr="00D42B67">
        <w:rPr>
          <w:rFonts w:ascii="Arial" w:hAnsi="Arial" w:cs="Arial"/>
          <w:lang w:val="en-US"/>
        </w:rPr>
        <w:t xml:space="preserve"> Criteria used for the histological classification of liver biopsy material.</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1350"/>
        <w:gridCol w:w="6300"/>
      </w:tblGrid>
      <w:tr w:rsidR="00C659E4" w:rsidRPr="00D42B67" w14:paraId="31C981BB" w14:textId="77777777" w:rsidTr="00B61B2E">
        <w:tc>
          <w:tcPr>
            <w:tcW w:w="1435" w:type="dxa"/>
            <w:shd w:val="clear" w:color="auto" w:fill="auto"/>
          </w:tcPr>
          <w:p w14:paraId="16FFB858" w14:textId="77777777" w:rsidR="00C659E4" w:rsidRPr="00D42B67" w:rsidRDefault="00C659E4" w:rsidP="00B61B2E">
            <w:pPr>
              <w:spacing w:line="360" w:lineRule="auto"/>
              <w:jc w:val="both"/>
              <w:rPr>
                <w:rFonts w:ascii="Arial" w:hAnsi="Arial" w:cs="Arial"/>
                <w:b/>
                <w:bCs/>
              </w:rPr>
            </w:pPr>
            <w:r w:rsidRPr="00D42B67">
              <w:rPr>
                <w:rFonts w:ascii="Arial" w:hAnsi="Arial" w:cs="Arial"/>
                <w:b/>
                <w:bCs/>
              </w:rPr>
              <w:t xml:space="preserve">Feature </w:t>
            </w:r>
          </w:p>
        </w:tc>
        <w:tc>
          <w:tcPr>
            <w:tcW w:w="1350" w:type="dxa"/>
            <w:shd w:val="clear" w:color="auto" w:fill="auto"/>
          </w:tcPr>
          <w:p w14:paraId="6B4FCD20" w14:textId="77777777" w:rsidR="00C659E4" w:rsidRPr="00D42B67" w:rsidRDefault="00C659E4" w:rsidP="00B61B2E">
            <w:pPr>
              <w:spacing w:line="360" w:lineRule="auto"/>
              <w:jc w:val="both"/>
              <w:rPr>
                <w:rFonts w:ascii="Arial" w:hAnsi="Arial" w:cs="Arial"/>
                <w:b/>
                <w:bCs/>
              </w:rPr>
            </w:pPr>
            <w:r w:rsidRPr="00D42B67">
              <w:rPr>
                <w:rFonts w:ascii="Arial" w:hAnsi="Arial" w:cs="Arial"/>
                <w:b/>
                <w:bCs/>
              </w:rPr>
              <w:t>Grade</w:t>
            </w:r>
          </w:p>
        </w:tc>
        <w:tc>
          <w:tcPr>
            <w:tcW w:w="6300" w:type="dxa"/>
            <w:shd w:val="clear" w:color="auto" w:fill="auto"/>
          </w:tcPr>
          <w:p w14:paraId="6F7D3790" w14:textId="77777777" w:rsidR="00C659E4" w:rsidRPr="00D42B67" w:rsidRDefault="00C659E4" w:rsidP="00B61B2E">
            <w:pPr>
              <w:spacing w:line="360" w:lineRule="auto"/>
              <w:jc w:val="both"/>
              <w:rPr>
                <w:rFonts w:ascii="Arial" w:hAnsi="Arial" w:cs="Arial"/>
                <w:b/>
                <w:bCs/>
              </w:rPr>
            </w:pPr>
            <w:r w:rsidRPr="00D42B67">
              <w:rPr>
                <w:rFonts w:ascii="Arial" w:hAnsi="Arial" w:cs="Arial"/>
                <w:b/>
                <w:bCs/>
              </w:rPr>
              <w:t>Criteria</w:t>
            </w:r>
          </w:p>
        </w:tc>
      </w:tr>
      <w:tr w:rsidR="00C659E4" w:rsidRPr="00D42B67" w14:paraId="30D219C6" w14:textId="77777777" w:rsidTr="00B61B2E">
        <w:tc>
          <w:tcPr>
            <w:tcW w:w="1435" w:type="dxa"/>
            <w:vMerge w:val="restart"/>
            <w:shd w:val="clear" w:color="auto" w:fill="auto"/>
          </w:tcPr>
          <w:p w14:paraId="1A82A480" w14:textId="77777777" w:rsidR="00C659E4" w:rsidRPr="00D42B67" w:rsidRDefault="00C659E4" w:rsidP="00B61B2E">
            <w:pPr>
              <w:spacing w:line="360" w:lineRule="auto"/>
              <w:jc w:val="both"/>
              <w:rPr>
                <w:rFonts w:ascii="Arial" w:hAnsi="Arial" w:cs="Arial"/>
                <w:b/>
                <w:bCs/>
              </w:rPr>
            </w:pPr>
            <w:r w:rsidRPr="00D42B67">
              <w:rPr>
                <w:rFonts w:ascii="Arial" w:hAnsi="Arial" w:cs="Arial"/>
                <w:b/>
                <w:bCs/>
              </w:rPr>
              <w:t>Neutrophil infiltration</w:t>
            </w:r>
          </w:p>
        </w:tc>
        <w:tc>
          <w:tcPr>
            <w:tcW w:w="1350" w:type="dxa"/>
            <w:shd w:val="clear" w:color="auto" w:fill="auto"/>
          </w:tcPr>
          <w:p w14:paraId="20ED7381" w14:textId="77777777" w:rsidR="00C659E4" w:rsidRPr="00D42B67" w:rsidRDefault="00C659E4" w:rsidP="00B61B2E">
            <w:pPr>
              <w:spacing w:line="360" w:lineRule="auto"/>
              <w:jc w:val="both"/>
              <w:rPr>
                <w:rFonts w:ascii="Arial" w:hAnsi="Arial" w:cs="Arial"/>
              </w:rPr>
            </w:pPr>
            <w:r w:rsidRPr="00D42B67">
              <w:rPr>
                <w:rFonts w:ascii="Arial" w:hAnsi="Arial" w:cs="Arial"/>
              </w:rPr>
              <w:t>None/mild</w:t>
            </w:r>
          </w:p>
        </w:tc>
        <w:tc>
          <w:tcPr>
            <w:tcW w:w="6300" w:type="dxa"/>
            <w:shd w:val="clear" w:color="auto" w:fill="auto"/>
          </w:tcPr>
          <w:p w14:paraId="5074EDC2"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No, isolated or very few neutrophils around single or small clusters of hepatocytes, typically &lt;15 per inflammatory focus</w:t>
            </w:r>
          </w:p>
        </w:tc>
      </w:tr>
      <w:tr w:rsidR="00C659E4" w:rsidRPr="00D42B67" w14:paraId="7813E88F" w14:textId="77777777" w:rsidTr="00B61B2E">
        <w:tc>
          <w:tcPr>
            <w:tcW w:w="1435" w:type="dxa"/>
            <w:vMerge/>
            <w:shd w:val="clear" w:color="auto" w:fill="auto"/>
          </w:tcPr>
          <w:p w14:paraId="073382CC"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5E2D729F" w14:textId="77777777" w:rsidR="00C659E4" w:rsidRPr="00D42B67" w:rsidRDefault="00C659E4" w:rsidP="00B61B2E">
            <w:pPr>
              <w:spacing w:line="360" w:lineRule="auto"/>
              <w:jc w:val="both"/>
              <w:rPr>
                <w:rFonts w:ascii="Arial" w:hAnsi="Arial" w:cs="Arial"/>
              </w:rPr>
            </w:pPr>
            <w:r w:rsidRPr="00D42B67">
              <w:rPr>
                <w:rFonts w:ascii="Arial" w:hAnsi="Arial" w:cs="Arial"/>
              </w:rPr>
              <w:t>Severe</w:t>
            </w:r>
          </w:p>
        </w:tc>
        <w:tc>
          <w:tcPr>
            <w:tcW w:w="6300" w:type="dxa"/>
            <w:shd w:val="clear" w:color="auto" w:fill="auto"/>
          </w:tcPr>
          <w:p w14:paraId="1093258A"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Neutrophils easily seen at low magnification, numerous in number, surrounding damaged hepatocytes</w:t>
            </w:r>
          </w:p>
        </w:tc>
      </w:tr>
      <w:tr w:rsidR="00C659E4" w:rsidRPr="00D42B67" w14:paraId="681CED10" w14:textId="77777777" w:rsidTr="00B61B2E">
        <w:tc>
          <w:tcPr>
            <w:tcW w:w="1435" w:type="dxa"/>
            <w:vMerge w:val="restart"/>
            <w:shd w:val="clear" w:color="auto" w:fill="auto"/>
          </w:tcPr>
          <w:p w14:paraId="2ECDB674" w14:textId="77777777" w:rsidR="00C659E4" w:rsidRPr="00D42B67" w:rsidRDefault="00C659E4" w:rsidP="00B61B2E">
            <w:pPr>
              <w:spacing w:line="360" w:lineRule="auto"/>
              <w:jc w:val="both"/>
              <w:rPr>
                <w:rFonts w:ascii="Arial" w:hAnsi="Arial" w:cs="Arial"/>
                <w:b/>
                <w:bCs/>
              </w:rPr>
            </w:pPr>
            <w:r w:rsidRPr="00D42B67">
              <w:rPr>
                <w:rFonts w:ascii="Arial" w:hAnsi="Arial" w:cs="Arial"/>
                <w:b/>
                <w:bCs/>
              </w:rPr>
              <w:t>Hepatocyte ballooning</w:t>
            </w:r>
          </w:p>
        </w:tc>
        <w:tc>
          <w:tcPr>
            <w:tcW w:w="1350" w:type="dxa"/>
            <w:shd w:val="clear" w:color="auto" w:fill="auto"/>
          </w:tcPr>
          <w:p w14:paraId="24DD4766" w14:textId="77777777" w:rsidR="00C659E4" w:rsidRPr="00D42B67" w:rsidRDefault="00C659E4" w:rsidP="00B61B2E">
            <w:pPr>
              <w:spacing w:line="360" w:lineRule="auto"/>
              <w:jc w:val="both"/>
              <w:rPr>
                <w:rFonts w:ascii="Arial" w:hAnsi="Arial" w:cs="Arial"/>
              </w:rPr>
            </w:pPr>
            <w:r w:rsidRPr="00D42B67">
              <w:rPr>
                <w:rFonts w:ascii="Arial" w:hAnsi="Arial" w:cs="Arial"/>
              </w:rPr>
              <w:t>Occasional</w:t>
            </w:r>
          </w:p>
        </w:tc>
        <w:tc>
          <w:tcPr>
            <w:tcW w:w="6300" w:type="dxa"/>
            <w:shd w:val="clear" w:color="auto" w:fill="auto"/>
          </w:tcPr>
          <w:p w14:paraId="5808E3ED"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Focal and dispersed ballooned hepatocytes, difficult to locate</w:t>
            </w:r>
          </w:p>
        </w:tc>
      </w:tr>
      <w:tr w:rsidR="00C659E4" w:rsidRPr="00D42B67" w14:paraId="25D99B74" w14:textId="77777777" w:rsidTr="00B61B2E">
        <w:tc>
          <w:tcPr>
            <w:tcW w:w="1435" w:type="dxa"/>
            <w:vMerge/>
            <w:shd w:val="clear" w:color="auto" w:fill="auto"/>
          </w:tcPr>
          <w:p w14:paraId="38BF6338"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214E1E1B" w14:textId="77777777" w:rsidR="00C659E4" w:rsidRPr="00D42B67" w:rsidRDefault="00C659E4" w:rsidP="00B61B2E">
            <w:pPr>
              <w:spacing w:line="360" w:lineRule="auto"/>
              <w:jc w:val="both"/>
              <w:rPr>
                <w:rFonts w:ascii="Arial" w:hAnsi="Arial" w:cs="Arial"/>
              </w:rPr>
            </w:pPr>
            <w:r w:rsidRPr="00D42B67">
              <w:rPr>
                <w:rFonts w:ascii="Arial" w:hAnsi="Arial" w:cs="Arial"/>
              </w:rPr>
              <w:t>Marked</w:t>
            </w:r>
          </w:p>
        </w:tc>
        <w:tc>
          <w:tcPr>
            <w:tcW w:w="6300" w:type="dxa"/>
            <w:shd w:val="clear" w:color="auto" w:fill="auto"/>
          </w:tcPr>
          <w:p w14:paraId="4CE5C594"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Sizeable groups of hepatocytes all demonstrating ballooning degeneration easily locate at low magnification</w:t>
            </w:r>
          </w:p>
        </w:tc>
      </w:tr>
      <w:tr w:rsidR="00C659E4" w:rsidRPr="00D42B67" w14:paraId="78203A69" w14:textId="77777777" w:rsidTr="00B61B2E">
        <w:tc>
          <w:tcPr>
            <w:tcW w:w="1435" w:type="dxa"/>
            <w:vMerge w:val="restart"/>
            <w:shd w:val="clear" w:color="auto" w:fill="auto"/>
          </w:tcPr>
          <w:p w14:paraId="282D7F11" w14:textId="77777777" w:rsidR="00C659E4" w:rsidRPr="00D42B67" w:rsidRDefault="00C659E4" w:rsidP="00B61B2E">
            <w:pPr>
              <w:spacing w:line="360" w:lineRule="auto"/>
              <w:jc w:val="both"/>
              <w:rPr>
                <w:rFonts w:ascii="Arial" w:hAnsi="Arial" w:cs="Arial"/>
                <w:b/>
                <w:bCs/>
              </w:rPr>
            </w:pPr>
            <w:r w:rsidRPr="00D42B67">
              <w:rPr>
                <w:rFonts w:ascii="Arial" w:hAnsi="Arial" w:cs="Arial"/>
                <w:b/>
                <w:bCs/>
              </w:rPr>
              <w:t>Fibrosis</w:t>
            </w:r>
          </w:p>
        </w:tc>
        <w:tc>
          <w:tcPr>
            <w:tcW w:w="1350" w:type="dxa"/>
            <w:shd w:val="clear" w:color="auto" w:fill="auto"/>
          </w:tcPr>
          <w:p w14:paraId="7470856A" w14:textId="77777777" w:rsidR="00C659E4" w:rsidRPr="00D42B67" w:rsidRDefault="00C659E4" w:rsidP="00B61B2E">
            <w:pPr>
              <w:spacing w:line="360" w:lineRule="auto"/>
              <w:jc w:val="both"/>
              <w:rPr>
                <w:rFonts w:ascii="Arial" w:hAnsi="Arial" w:cs="Arial"/>
              </w:rPr>
            </w:pPr>
            <w:r w:rsidRPr="00D42B67">
              <w:rPr>
                <w:rFonts w:ascii="Arial" w:hAnsi="Arial" w:cs="Arial"/>
              </w:rPr>
              <w:t>0</w:t>
            </w:r>
          </w:p>
        </w:tc>
        <w:tc>
          <w:tcPr>
            <w:tcW w:w="6300" w:type="dxa"/>
            <w:shd w:val="clear" w:color="auto" w:fill="auto"/>
          </w:tcPr>
          <w:p w14:paraId="1BBB3656" w14:textId="77777777" w:rsidR="00C659E4" w:rsidRPr="00D42B67" w:rsidRDefault="00C659E4" w:rsidP="00B61B2E">
            <w:pPr>
              <w:spacing w:line="360" w:lineRule="auto"/>
              <w:jc w:val="both"/>
              <w:rPr>
                <w:rFonts w:ascii="Arial" w:hAnsi="Arial" w:cs="Arial"/>
              </w:rPr>
            </w:pPr>
            <w:r w:rsidRPr="00D42B67">
              <w:rPr>
                <w:rFonts w:ascii="Arial" w:hAnsi="Arial" w:cs="Arial"/>
              </w:rPr>
              <w:t>No definite fibrosis</w:t>
            </w:r>
          </w:p>
        </w:tc>
      </w:tr>
      <w:tr w:rsidR="00C659E4" w:rsidRPr="00D42B67" w14:paraId="2F2224BE" w14:textId="77777777" w:rsidTr="00B61B2E">
        <w:tc>
          <w:tcPr>
            <w:tcW w:w="1435" w:type="dxa"/>
            <w:vMerge/>
            <w:shd w:val="clear" w:color="auto" w:fill="auto"/>
          </w:tcPr>
          <w:p w14:paraId="076DBEB1" w14:textId="77777777" w:rsidR="00C659E4" w:rsidRPr="00D42B67" w:rsidRDefault="00C659E4" w:rsidP="00B61B2E">
            <w:pPr>
              <w:spacing w:line="360" w:lineRule="auto"/>
              <w:jc w:val="both"/>
              <w:rPr>
                <w:rFonts w:ascii="Arial" w:hAnsi="Arial" w:cs="Arial"/>
                <w:b/>
                <w:bCs/>
              </w:rPr>
            </w:pPr>
          </w:p>
        </w:tc>
        <w:tc>
          <w:tcPr>
            <w:tcW w:w="1350" w:type="dxa"/>
            <w:shd w:val="clear" w:color="auto" w:fill="auto"/>
          </w:tcPr>
          <w:p w14:paraId="18393930" w14:textId="77777777" w:rsidR="00C659E4" w:rsidRPr="00D42B67" w:rsidRDefault="00C659E4" w:rsidP="00B61B2E">
            <w:pPr>
              <w:spacing w:line="360" w:lineRule="auto"/>
              <w:jc w:val="both"/>
              <w:rPr>
                <w:rFonts w:ascii="Arial" w:hAnsi="Arial" w:cs="Arial"/>
              </w:rPr>
            </w:pPr>
            <w:r w:rsidRPr="00D42B67">
              <w:rPr>
                <w:rFonts w:ascii="Arial" w:hAnsi="Arial" w:cs="Arial"/>
              </w:rPr>
              <w:t>1</w:t>
            </w:r>
          </w:p>
        </w:tc>
        <w:tc>
          <w:tcPr>
            <w:tcW w:w="6300" w:type="dxa"/>
            <w:shd w:val="clear" w:color="auto" w:fill="auto"/>
          </w:tcPr>
          <w:p w14:paraId="66539258"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Minimal fibrosis – no septa or rare thin septa; may have portal expansion or mild sinusoidal fibrosis</w:t>
            </w:r>
          </w:p>
        </w:tc>
      </w:tr>
      <w:tr w:rsidR="00C659E4" w:rsidRPr="00D42B67" w14:paraId="747CE516" w14:textId="77777777" w:rsidTr="00B61B2E">
        <w:tc>
          <w:tcPr>
            <w:tcW w:w="1435" w:type="dxa"/>
            <w:vMerge/>
            <w:shd w:val="clear" w:color="auto" w:fill="auto"/>
          </w:tcPr>
          <w:p w14:paraId="4BE860A5"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2CD068B1" w14:textId="77777777" w:rsidR="00C659E4" w:rsidRPr="00D42B67" w:rsidRDefault="00C659E4" w:rsidP="00B61B2E">
            <w:pPr>
              <w:spacing w:line="360" w:lineRule="auto"/>
              <w:jc w:val="both"/>
              <w:rPr>
                <w:rFonts w:ascii="Arial" w:hAnsi="Arial" w:cs="Arial"/>
              </w:rPr>
            </w:pPr>
            <w:r w:rsidRPr="00D42B67">
              <w:rPr>
                <w:rFonts w:ascii="Arial" w:hAnsi="Arial" w:cs="Arial"/>
              </w:rPr>
              <w:t>2</w:t>
            </w:r>
          </w:p>
        </w:tc>
        <w:tc>
          <w:tcPr>
            <w:tcW w:w="6300" w:type="dxa"/>
            <w:shd w:val="clear" w:color="auto" w:fill="auto"/>
          </w:tcPr>
          <w:p w14:paraId="524D2478"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Mild fibrosis - occasional thin septa</w:t>
            </w:r>
          </w:p>
        </w:tc>
      </w:tr>
      <w:tr w:rsidR="00C659E4" w:rsidRPr="00D42B67" w14:paraId="492C9FCA" w14:textId="77777777" w:rsidTr="00B61B2E">
        <w:tc>
          <w:tcPr>
            <w:tcW w:w="1435" w:type="dxa"/>
            <w:vMerge/>
            <w:shd w:val="clear" w:color="auto" w:fill="auto"/>
          </w:tcPr>
          <w:p w14:paraId="766D607E"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5D1BCA5E" w14:textId="77777777" w:rsidR="00C659E4" w:rsidRPr="00D42B67" w:rsidRDefault="00C659E4" w:rsidP="00B61B2E">
            <w:pPr>
              <w:spacing w:line="360" w:lineRule="auto"/>
              <w:jc w:val="both"/>
              <w:rPr>
                <w:rFonts w:ascii="Arial" w:hAnsi="Arial" w:cs="Arial"/>
              </w:rPr>
            </w:pPr>
            <w:r w:rsidRPr="00D42B67">
              <w:rPr>
                <w:rFonts w:ascii="Arial" w:hAnsi="Arial" w:cs="Arial"/>
              </w:rPr>
              <w:t>3</w:t>
            </w:r>
          </w:p>
        </w:tc>
        <w:tc>
          <w:tcPr>
            <w:tcW w:w="6300" w:type="dxa"/>
            <w:shd w:val="clear" w:color="auto" w:fill="auto"/>
          </w:tcPr>
          <w:p w14:paraId="0E2F5716"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Moderate fibrosis – thin septa; up to incomplete cirrhosis</w:t>
            </w:r>
          </w:p>
        </w:tc>
      </w:tr>
      <w:tr w:rsidR="00C659E4" w:rsidRPr="00D42B67" w14:paraId="71806DDD" w14:textId="77777777" w:rsidTr="00B61B2E">
        <w:tc>
          <w:tcPr>
            <w:tcW w:w="1435" w:type="dxa"/>
            <w:vMerge/>
            <w:shd w:val="clear" w:color="auto" w:fill="auto"/>
          </w:tcPr>
          <w:p w14:paraId="4FFAD615"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64F3CB54" w14:textId="77777777" w:rsidR="00C659E4" w:rsidRPr="00D42B67" w:rsidRDefault="00C659E4" w:rsidP="00B61B2E">
            <w:pPr>
              <w:spacing w:line="360" w:lineRule="auto"/>
              <w:jc w:val="both"/>
              <w:rPr>
                <w:rFonts w:ascii="Arial" w:hAnsi="Arial" w:cs="Arial"/>
              </w:rPr>
            </w:pPr>
            <w:r w:rsidRPr="00D42B67">
              <w:rPr>
                <w:rFonts w:ascii="Arial" w:hAnsi="Arial" w:cs="Arial"/>
              </w:rPr>
              <w:t>4A/4</w:t>
            </w:r>
          </w:p>
        </w:tc>
        <w:tc>
          <w:tcPr>
            <w:tcW w:w="6300" w:type="dxa"/>
            <w:shd w:val="clear" w:color="auto" w:fill="auto"/>
          </w:tcPr>
          <w:p w14:paraId="77CC3E56"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Mild cirrhosis – Definite or probable</w:t>
            </w:r>
          </w:p>
        </w:tc>
      </w:tr>
      <w:tr w:rsidR="00C659E4" w:rsidRPr="00D42B67" w14:paraId="07C7EFD7" w14:textId="77777777" w:rsidTr="00B61B2E">
        <w:tc>
          <w:tcPr>
            <w:tcW w:w="1435" w:type="dxa"/>
            <w:vMerge/>
            <w:shd w:val="clear" w:color="auto" w:fill="auto"/>
          </w:tcPr>
          <w:p w14:paraId="6703A49A"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11CEA8C0" w14:textId="77777777" w:rsidR="00C659E4" w:rsidRPr="00D42B67" w:rsidRDefault="00C659E4" w:rsidP="00B61B2E">
            <w:pPr>
              <w:spacing w:line="360" w:lineRule="auto"/>
              <w:jc w:val="both"/>
              <w:rPr>
                <w:rFonts w:ascii="Arial" w:hAnsi="Arial" w:cs="Arial"/>
              </w:rPr>
            </w:pPr>
            <w:r w:rsidRPr="00D42B67">
              <w:rPr>
                <w:rFonts w:ascii="Arial" w:hAnsi="Arial" w:cs="Arial"/>
              </w:rPr>
              <w:t>4B/5</w:t>
            </w:r>
          </w:p>
        </w:tc>
        <w:tc>
          <w:tcPr>
            <w:tcW w:w="6300" w:type="dxa"/>
            <w:shd w:val="clear" w:color="auto" w:fill="auto"/>
          </w:tcPr>
          <w:p w14:paraId="402C8A71"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Moderate cirrhosis – at least 2 broad septa</w:t>
            </w:r>
          </w:p>
        </w:tc>
      </w:tr>
      <w:tr w:rsidR="00C659E4" w:rsidRPr="00D42B67" w14:paraId="4E045531" w14:textId="77777777" w:rsidTr="00B61B2E">
        <w:tc>
          <w:tcPr>
            <w:tcW w:w="1435" w:type="dxa"/>
            <w:vMerge/>
            <w:shd w:val="clear" w:color="auto" w:fill="auto"/>
          </w:tcPr>
          <w:p w14:paraId="1C48B5F8" w14:textId="77777777" w:rsidR="00C659E4" w:rsidRPr="00D42B67" w:rsidRDefault="00C659E4" w:rsidP="00B61B2E">
            <w:pPr>
              <w:spacing w:line="360" w:lineRule="auto"/>
              <w:jc w:val="both"/>
              <w:rPr>
                <w:rFonts w:ascii="Arial" w:hAnsi="Arial" w:cs="Arial"/>
                <w:b/>
                <w:bCs/>
                <w:lang w:val="en-US"/>
              </w:rPr>
            </w:pPr>
          </w:p>
        </w:tc>
        <w:tc>
          <w:tcPr>
            <w:tcW w:w="1350" w:type="dxa"/>
            <w:shd w:val="clear" w:color="auto" w:fill="auto"/>
          </w:tcPr>
          <w:p w14:paraId="2C799AAD" w14:textId="77777777" w:rsidR="00C659E4" w:rsidRPr="00D42B67" w:rsidRDefault="00C659E4" w:rsidP="00B61B2E">
            <w:pPr>
              <w:spacing w:line="360" w:lineRule="auto"/>
              <w:jc w:val="both"/>
              <w:rPr>
                <w:rFonts w:ascii="Arial" w:hAnsi="Arial" w:cs="Arial"/>
              </w:rPr>
            </w:pPr>
            <w:r w:rsidRPr="00D42B67">
              <w:rPr>
                <w:rFonts w:ascii="Arial" w:hAnsi="Arial" w:cs="Arial"/>
              </w:rPr>
              <w:t>4C/6</w:t>
            </w:r>
          </w:p>
        </w:tc>
        <w:tc>
          <w:tcPr>
            <w:tcW w:w="6300" w:type="dxa"/>
            <w:shd w:val="clear" w:color="auto" w:fill="auto"/>
          </w:tcPr>
          <w:p w14:paraId="502F9F6F" w14:textId="77777777" w:rsidR="00C659E4" w:rsidRPr="00D42B67" w:rsidRDefault="00C659E4" w:rsidP="00B61B2E">
            <w:pPr>
              <w:spacing w:line="360" w:lineRule="auto"/>
              <w:jc w:val="both"/>
              <w:rPr>
                <w:rFonts w:ascii="Arial" w:hAnsi="Arial" w:cs="Arial"/>
                <w:lang w:val="en-US"/>
              </w:rPr>
            </w:pPr>
            <w:r w:rsidRPr="00D42B67">
              <w:rPr>
                <w:rFonts w:ascii="Arial" w:hAnsi="Arial" w:cs="Arial"/>
                <w:lang w:val="en-US"/>
              </w:rPr>
              <w:t>Severe cirrhosis – at least one very broad septum or many minute nodules</w:t>
            </w:r>
          </w:p>
        </w:tc>
      </w:tr>
    </w:tbl>
    <w:p w14:paraId="174519E9" w14:textId="77777777" w:rsidR="00C659E4" w:rsidRPr="00D42B67" w:rsidRDefault="00C659E4" w:rsidP="00C659E4">
      <w:pPr>
        <w:spacing w:before="240" w:line="360" w:lineRule="auto"/>
        <w:jc w:val="both"/>
        <w:rPr>
          <w:rFonts w:ascii="Arial" w:hAnsi="Arial" w:cs="Arial"/>
          <w:color w:val="0000FF"/>
          <w:lang w:val="en-US"/>
        </w:rPr>
      </w:pPr>
      <w:r w:rsidRPr="00D42B67">
        <w:rPr>
          <w:rFonts w:ascii="Arial" w:hAnsi="Arial" w:cs="Arial"/>
          <w:lang w:val="en-US"/>
        </w:rPr>
        <w:t xml:space="preserve">Neutrophilic inflammation, hepatocyte ballooning and fibrosis were semi-quantitatively graded as indicated above. The criteria used for grading neutrophilic infiltration and hepatocyte ballooning were derived from </w:t>
      </w:r>
      <w:proofErr w:type="spellStart"/>
      <w:r w:rsidRPr="00D42B67">
        <w:rPr>
          <w:rFonts w:ascii="Arial" w:hAnsi="Arial" w:cs="Arial"/>
          <w:lang w:val="en-US"/>
        </w:rPr>
        <w:t>Altimirano</w:t>
      </w:r>
      <w:proofErr w:type="spellEnd"/>
      <w:r w:rsidRPr="00D42B67">
        <w:rPr>
          <w:rFonts w:ascii="Arial" w:hAnsi="Arial" w:cs="Arial"/>
          <w:lang w:val="en-US"/>
        </w:rPr>
        <w:t xml:space="preserve"> </w:t>
      </w:r>
      <w:r w:rsidRPr="00D42B67">
        <w:rPr>
          <w:rFonts w:ascii="Arial" w:hAnsi="Arial" w:cs="Arial"/>
          <w:iCs/>
          <w:lang w:val="en-US"/>
        </w:rPr>
        <w:t>et al</w:t>
      </w:r>
      <w:r w:rsidRPr="00D42B67">
        <w:rPr>
          <w:rFonts w:ascii="Arial" w:hAnsi="Arial" w:cs="Arial"/>
          <w:i/>
          <w:iCs/>
          <w:lang w:val="en-US"/>
        </w:rPr>
        <w:t>.</w:t>
      </w:r>
      <w:r w:rsidR="00A43D8A" w:rsidRPr="00D42B67">
        <w:rPr>
          <w:rFonts w:ascii="Arial" w:hAnsi="Arial" w:cs="Arial"/>
          <w:vertAlign w:val="superscript"/>
          <w:lang w:val="en-US"/>
        </w:rPr>
        <w:t>4</w:t>
      </w:r>
      <w:r w:rsidRPr="00D42B67">
        <w:rPr>
          <w:rFonts w:ascii="Arial" w:hAnsi="Arial" w:cs="Arial"/>
          <w:vertAlign w:val="superscript"/>
          <w:lang w:val="en-US"/>
        </w:rPr>
        <w:t xml:space="preserve"> </w:t>
      </w:r>
      <w:r w:rsidRPr="00D42B67">
        <w:rPr>
          <w:rFonts w:ascii="Arial" w:hAnsi="Arial" w:cs="Arial"/>
          <w:lang w:val="en-US"/>
        </w:rPr>
        <w:t xml:space="preserve">in the derivation of the alcoholic hepatitis histological scoring system (AHHS). Fibrosis grades were derived from the Laennec scoring system as described by </w:t>
      </w:r>
      <w:proofErr w:type="spellStart"/>
      <w:r w:rsidRPr="00D42B67">
        <w:rPr>
          <w:rFonts w:ascii="Arial" w:hAnsi="Arial" w:cs="Arial"/>
          <w:lang w:val="en-US"/>
        </w:rPr>
        <w:t>Wanless</w:t>
      </w:r>
      <w:proofErr w:type="spellEnd"/>
      <w:r w:rsidRPr="00D42B67">
        <w:rPr>
          <w:rFonts w:ascii="Arial" w:hAnsi="Arial" w:cs="Arial"/>
          <w:lang w:val="en-US"/>
        </w:rPr>
        <w:t xml:space="preserve"> </w:t>
      </w:r>
      <w:r w:rsidRPr="00D42B67">
        <w:rPr>
          <w:rFonts w:ascii="Arial" w:hAnsi="Arial" w:cs="Arial"/>
          <w:iCs/>
          <w:lang w:val="en-US"/>
        </w:rPr>
        <w:t>et al.</w:t>
      </w:r>
      <w:r w:rsidR="00A43D8A" w:rsidRPr="00D42B67">
        <w:rPr>
          <w:rFonts w:ascii="Arial" w:hAnsi="Arial" w:cs="Arial"/>
          <w:vertAlign w:val="superscript"/>
          <w:lang w:val="en-US"/>
        </w:rPr>
        <w:t>5</w:t>
      </w:r>
      <w:r w:rsidRPr="00D42B67">
        <w:rPr>
          <w:rFonts w:ascii="Arial" w:hAnsi="Arial" w:cs="Arial"/>
          <w:lang w:val="en-US"/>
        </w:rPr>
        <w:t>.</w:t>
      </w:r>
    </w:p>
    <w:p w14:paraId="50FFC2B4" w14:textId="77777777" w:rsidR="0041094E" w:rsidRPr="00D42B67" w:rsidRDefault="0041094E" w:rsidP="00C659E4">
      <w:pPr>
        <w:jc w:val="both"/>
        <w:rPr>
          <w:rFonts w:ascii="Arial" w:hAnsi="Arial" w:cs="Arial"/>
          <w:b/>
          <w:noProof/>
          <w:lang w:val="en-US" w:eastAsia="de-DE"/>
        </w:rPr>
      </w:pPr>
    </w:p>
    <w:p w14:paraId="7EDD6308" w14:textId="77777777" w:rsidR="00AA763F" w:rsidRPr="00D42B67" w:rsidRDefault="00AA763F" w:rsidP="0041094E">
      <w:pPr>
        <w:rPr>
          <w:rFonts w:ascii="Arial" w:hAnsi="Arial" w:cs="Arial"/>
          <w:b/>
          <w:bCs/>
          <w:lang w:val="en-US"/>
        </w:rPr>
      </w:pPr>
    </w:p>
    <w:p w14:paraId="0E2D1C7A" w14:textId="77777777" w:rsidR="00AA763F" w:rsidRPr="00D42B67" w:rsidRDefault="00AA763F" w:rsidP="0041094E">
      <w:pPr>
        <w:rPr>
          <w:rFonts w:ascii="Arial" w:hAnsi="Arial" w:cs="Arial"/>
          <w:b/>
          <w:bCs/>
          <w:lang w:val="en-US"/>
        </w:rPr>
      </w:pPr>
    </w:p>
    <w:p w14:paraId="73AA1D74" w14:textId="77777777" w:rsidR="0041094E" w:rsidRPr="00D42B67" w:rsidRDefault="0041094E" w:rsidP="0041094E">
      <w:pPr>
        <w:rPr>
          <w:rFonts w:ascii="Arial" w:hAnsi="Arial" w:cs="Arial"/>
          <w:sz w:val="18"/>
          <w:lang w:val="en-US"/>
        </w:rPr>
      </w:pPr>
      <w:r w:rsidRPr="00D42B67">
        <w:rPr>
          <w:rFonts w:ascii="Arial" w:hAnsi="Arial" w:cs="Arial"/>
          <w:b/>
          <w:bCs/>
          <w:lang w:val="en-US"/>
        </w:rPr>
        <w:lastRenderedPageBreak/>
        <w:t>Supplementary Table 2</w:t>
      </w:r>
      <w:r w:rsidR="00AA763F" w:rsidRPr="00D42B67">
        <w:rPr>
          <w:rFonts w:ascii="Arial" w:hAnsi="Arial" w:cs="Arial"/>
          <w:b/>
          <w:bCs/>
          <w:lang w:val="en-US"/>
        </w:rPr>
        <w:t>.</w:t>
      </w:r>
      <w:r w:rsidRPr="00D42B67">
        <w:rPr>
          <w:rFonts w:ascii="Arial" w:hAnsi="Arial" w:cs="Arial"/>
          <w:szCs w:val="23"/>
          <w:lang w:val="en-US"/>
        </w:rPr>
        <w:t xml:space="preserve"> Control cohort characteristics.</w:t>
      </w:r>
    </w:p>
    <w:tbl>
      <w:tblPr>
        <w:tblStyle w:val="TableGrid"/>
        <w:tblW w:w="0" w:type="auto"/>
        <w:tblLook w:val="04A0" w:firstRow="1" w:lastRow="0" w:firstColumn="1" w:lastColumn="0" w:noHBand="0" w:noVBand="1"/>
      </w:tblPr>
      <w:tblGrid>
        <w:gridCol w:w="2410"/>
        <w:gridCol w:w="2878"/>
        <w:gridCol w:w="2792"/>
      </w:tblGrid>
      <w:tr w:rsidR="003D730A" w:rsidRPr="00D42B67" w14:paraId="16DF57B2" w14:textId="77777777" w:rsidTr="00705716">
        <w:tc>
          <w:tcPr>
            <w:tcW w:w="2410" w:type="dxa"/>
            <w:tcBorders>
              <w:top w:val="single" w:sz="4" w:space="0" w:color="auto"/>
              <w:left w:val="nil"/>
              <w:bottom w:val="single" w:sz="4" w:space="0" w:color="auto"/>
              <w:right w:val="nil"/>
            </w:tcBorders>
          </w:tcPr>
          <w:p w14:paraId="6038E0A0" w14:textId="77777777" w:rsidR="0041094E" w:rsidRPr="00D42B67" w:rsidRDefault="0041094E" w:rsidP="00705716">
            <w:pPr>
              <w:spacing w:after="0" w:line="240" w:lineRule="auto"/>
              <w:rPr>
                <w:rFonts w:ascii="Arial" w:hAnsi="Arial" w:cs="Arial"/>
                <w:szCs w:val="20"/>
                <w:vertAlign w:val="superscript"/>
              </w:rPr>
            </w:pPr>
            <w:r w:rsidRPr="00D42B67">
              <w:rPr>
                <w:rFonts w:ascii="Arial" w:hAnsi="Arial" w:cs="Arial"/>
                <w:szCs w:val="20"/>
              </w:rPr>
              <w:t>Variables:</w:t>
            </w:r>
          </w:p>
          <w:p w14:paraId="010E5323" w14:textId="77777777" w:rsidR="0041094E" w:rsidRPr="00D42B67" w:rsidRDefault="0041094E" w:rsidP="00705716">
            <w:pPr>
              <w:spacing w:after="0" w:line="240" w:lineRule="auto"/>
              <w:rPr>
                <w:rFonts w:ascii="Arial" w:hAnsi="Arial" w:cs="Arial"/>
                <w:szCs w:val="20"/>
              </w:rPr>
            </w:pPr>
            <w:r w:rsidRPr="00D42B67">
              <w:rPr>
                <w:rFonts w:ascii="Arial" w:hAnsi="Arial" w:cs="Arial"/>
                <w:szCs w:val="20"/>
              </w:rPr>
              <w:t>Median (interquartile range)</w:t>
            </w:r>
          </w:p>
          <w:p w14:paraId="1D98269B" w14:textId="77777777" w:rsidR="0041094E" w:rsidRPr="00D42B67" w:rsidRDefault="0041094E" w:rsidP="00705716">
            <w:pPr>
              <w:spacing w:after="0" w:line="240" w:lineRule="auto"/>
              <w:rPr>
                <w:rFonts w:ascii="Arial" w:hAnsi="Arial" w:cs="Arial"/>
                <w:szCs w:val="20"/>
              </w:rPr>
            </w:pPr>
          </w:p>
        </w:tc>
        <w:tc>
          <w:tcPr>
            <w:tcW w:w="2878" w:type="dxa"/>
            <w:tcBorders>
              <w:top w:val="single" w:sz="4" w:space="0" w:color="auto"/>
              <w:left w:val="nil"/>
              <w:bottom w:val="single" w:sz="4" w:space="0" w:color="auto"/>
              <w:right w:val="nil"/>
            </w:tcBorders>
          </w:tcPr>
          <w:p w14:paraId="710DC752" w14:textId="77777777" w:rsidR="0041094E" w:rsidRPr="00D42B67" w:rsidRDefault="0041094E" w:rsidP="00705716">
            <w:pPr>
              <w:spacing w:after="0" w:line="240" w:lineRule="auto"/>
              <w:jc w:val="center"/>
              <w:rPr>
                <w:rFonts w:ascii="Arial" w:hAnsi="Arial" w:cs="Arial"/>
                <w:szCs w:val="20"/>
                <w:lang w:val="en-US"/>
              </w:rPr>
            </w:pPr>
            <w:r w:rsidRPr="00D42B67">
              <w:rPr>
                <w:rFonts w:ascii="Arial" w:hAnsi="Arial" w:cs="Arial"/>
                <w:szCs w:val="20"/>
                <w:lang w:val="en-US"/>
              </w:rPr>
              <w:t xml:space="preserve">Compensated alcoholic cirrhosis cohort </w:t>
            </w:r>
          </w:p>
          <w:p w14:paraId="38A49747" w14:textId="77777777" w:rsidR="0041094E" w:rsidRPr="00D42B67" w:rsidRDefault="00705716" w:rsidP="00705716">
            <w:pPr>
              <w:spacing w:after="0" w:line="240" w:lineRule="auto"/>
              <w:jc w:val="center"/>
              <w:rPr>
                <w:rFonts w:ascii="Arial" w:hAnsi="Arial" w:cs="Arial"/>
                <w:szCs w:val="20"/>
                <w:lang w:val="en-US"/>
              </w:rPr>
            </w:pPr>
            <w:r w:rsidRPr="00D42B67">
              <w:rPr>
                <w:rFonts w:ascii="Arial" w:hAnsi="Arial" w:cs="Arial"/>
                <w:szCs w:val="20"/>
                <w:lang w:val="en-US"/>
              </w:rPr>
              <w:t>[</w:t>
            </w:r>
            <w:r w:rsidR="0041094E" w:rsidRPr="00D42B67">
              <w:rPr>
                <w:rFonts w:ascii="Arial" w:hAnsi="Arial" w:cs="Arial"/>
                <w:szCs w:val="20"/>
                <w:lang w:val="en-US"/>
              </w:rPr>
              <w:t>n=76</w:t>
            </w:r>
            <w:r w:rsidRPr="00D42B67">
              <w:rPr>
                <w:rFonts w:ascii="Arial" w:hAnsi="Arial" w:cs="Arial"/>
                <w:szCs w:val="20"/>
                <w:lang w:val="en-US"/>
              </w:rPr>
              <w:t>]</w:t>
            </w:r>
          </w:p>
        </w:tc>
        <w:tc>
          <w:tcPr>
            <w:tcW w:w="2792" w:type="dxa"/>
            <w:tcBorders>
              <w:top w:val="single" w:sz="4" w:space="0" w:color="auto"/>
              <w:left w:val="nil"/>
              <w:bottom w:val="single" w:sz="4" w:space="0" w:color="auto"/>
              <w:right w:val="nil"/>
            </w:tcBorders>
          </w:tcPr>
          <w:p w14:paraId="1D4C520A" w14:textId="77777777" w:rsidR="0041094E" w:rsidRPr="00D42B67" w:rsidRDefault="0041094E" w:rsidP="00705716">
            <w:pPr>
              <w:spacing w:after="0" w:line="240" w:lineRule="auto"/>
              <w:jc w:val="center"/>
              <w:rPr>
                <w:rFonts w:ascii="Arial" w:hAnsi="Arial" w:cs="Arial"/>
                <w:szCs w:val="20"/>
                <w:lang w:val="en-US"/>
              </w:rPr>
            </w:pPr>
            <w:r w:rsidRPr="00D42B67">
              <w:rPr>
                <w:rFonts w:ascii="Arial" w:hAnsi="Arial" w:cs="Arial"/>
                <w:szCs w:val="20"/>
                <w:lang w:val="en-US"/>
              </w:rPr>
              <w:t xml:space="preserve">Decompensated alcoholic cirrhosis cohort </w:t>
            </w:r>
          </w:p>
          <w:p w14:paraId="13F41BE8" w14:textId="77777777" w:rsidR="0041094E" w:rsidRPr="00D42B67" w:rsidRDefault="0041094E" w:rsidP="00705716">
            <w:pPr>
              <w:spacing w:after="0" w:line="240" w:lineRule="auto"/>
              <w:jc w:val="center"/>
              <w:rPr>
                <w:rFonts w:ascii="Arial" w:hAnsi="Arial" w:cs="Arial"/>
                <w:szCs w:val="20"/>
                <w:lang w:val="en-US"/>
              </w:rPr>
            </w:pPr>
            <w:r w:rsidRPr="00D42B67">
              <w:rPr>
                <w:rFonts w:ascii="Arial" w:hAnsi="Arial" w:cs="Arial"/>
                <w:szCs w:val="20"/>
                <w:lang w:val="en-US"/>
              </w:rPr>
              <w:t xml:space="preserve"> </w:t>
            </w:r>
            <w:r w:rsidR="00705716" w:rsidRPr="00D42B67">
              <w:rPr>
                <w:rFonts w:ascii="Arial" w:hAnsi="Arial" w:cs="Arial"/>
                <w:szCs w:val="20"/>
                <w:lang w:val="en-US"/>
              </w:rPr>
              <w:t>[</w:t>
            </w:r>
            <w:r w:rsidRPr="00D42B67">
              <w:rPr>
                <w:rFonts w:ascii="Arial" w:hAnsi="Arial" w:cs="Arial"/>
                <w:szCs w:val="20"/>
                <w:lang w:val="en-US"/>
              </w:rPr>
              <w:t>n=10</w:t>
            </w:r>
            <w:r w:rsidR="00705716" w:rsidRPr="00D42B67">
              <w:rPr>
                <w:rFonts w:ascii="Arial" w:hAnsi="Arial" w:cs="Arial"/>
                <w:szCs w:val="20"/>
                <w:lang w:val="en-US"/>
              </w:rPr>
              <w:t>]</w:t>
            </w:r>
          </w:p>
        </w:tc>
      </w:tr>
      <w:tr w:rsidR="003D730A" w:rsidRPr="00D42B67" w14:paraId="65534279" w14:textId="77777777" w:rsidTr="00705716">
        <w:tc>
          <w:tcPr>
            <w:tcW w:w="2410" w:type="dxa"/>
            <w:tcBorders>
              <w:top w:val="single" w:sz="4" w:space="0" w:color="auto"/>
              <w:left w:val="nil"/>
              <w:bottom w:val="nil"/>
              <w:right w:val="nil"/>
            </w:tcBorders>
          </w:tcPr>
          <w:p w14:paraId="1133F4ED" w14:textId="77777777" w:rsidR="0041094E" w:rsidRPr="00D42B67" w:rsidRDefault="0041094E" w:rsidP="00AA763F">
            <w:pPr>
              <w:spacing w:before="240" w:after="0" w:line="480" w:lineRule="auto"/>
              <w:rPr>
                <w:rFonts w:ascii="Arial" w:hAnsi="Arial" w:cs="Arial"/>
                <w:szCs w:val="20"/>
              </w:rPr>
            </w:pPr>
            <w:r w:rsidRPr="00D42B67">
              <w:rPr>
                <w:rFonts w:ascii="Arial" w:hAnsi="Arial" w:cs="Arial"/>
                <w:szCs w:val="20"/>
              </w:rPr>
              <w:t>Age, years</w:t>
            </w:r>
          </w:p>
        </w:tc>
        <w:tc>
          <w:tcPr>
            <w:tcW w:w="2878" w:type="dxa"/>
            <w:tcBorders>
              <w:top w:val="single" w:sz="4" w:space="0" w:color="auto"/>
              <w:left w:val="nil"/>
              <w:bottom w:val="nil"/>
              <w:right w:val="nil"/>
            </w:tcBorders>
            <w:vAlign w:val="bottom"/>
          </w:tcPr>
          <w:p w14:paraId="1147D07D" w14:textId="77777777" w:rsidR="0041094E" w:rsidRPr="00D42B67" w:rsidRDefault="0041094E" w:rsidP="00AA763F">
            <w:pPr>
              <w:spacing w:before="240" w:after="0" w:line="480" w:lineRule="auto"/>
              <w:jc w:val="center"/>
              <w:rPr>
                <w:rFonts w:ascii="Arial" w:hAnsi="Arial" w:cs="Arial"/>
                <w:szCs w:val="20"/>
              </w:rPr>
            </w:pPr>
            <w:r w:rsidRPr="00D42B67">
              <w:rPr>
                <w:rFonts w:ascii="Arial" w:hAnsi="Arial" w:cs="Arial"/>
                <w:szCs w:val="20"/>
              </w:rPr>
              <w:t>61.5 (55.3-67.8)</w:t>
            </w:r>
          </w:p>
        </w:tc>
        <w:tc>
          <w:tcPr>
            <w:tcW w:w="2792" w:type="dxa"/>
            <w:tcBorders>
              <w:top w:val="single" w:sz="4" w:space="0" w:color="auto"/>
              <w:left w:val="nil"/>
              <w:bottom w:val="nil"/>
              <w:right w:val="nil"/>
            </w:tcBorders>
            <w:vAlign w:val="bottom"/>
          </w:tcPr>
          <w:p w14:paraId="0B15FB38" w14:textId="77777777" w:rsidR="0041094E" w:rsidRPr="00D42B67" w:rsidRDefault="0041094E" w:rsidP="00AA763F">
            <w:pPr>
              <w:spacing w:before="240" w:after="0" w:line="480" w:lineRule="auto"/>
              <w:jc w:val="center"/>
              <w:rPr>
                <w:rFonts w:ascii="Arial" w:hAnsi="Arial" w:cs="Arial"/>
                <w:szCs w:val="20"/>
              </w:rPr>
            </w:pPr>
            <w:r w:rsidRPr="00D42B67">
              <w:rPr>
                <w:rFonts w:ascii="Arial" w:hAnsi="Arial" w:cs="Arial"/>
                <w:szCs w:val="20"/>
              </w:rPr>
              <w:t>52.9 (46.6-59.2)</w:t>
            </w:r>
          </w:p>
        </w:tc>
      </w:tr>
      <w:tr w:rsidR="003D730A" w:rsidRPr="00D42B67" w14:paraId="4D9ED2BE" w14:textId="77777777" w:rsidTr="00705716">
        <w:tc>
          <w:tcPr>
            <w:tcW w:w="2410" w:type="dxa"/>
            <w:tcBorders>
              <w:top w:val="nil"/>
              <w:left w:val="nil"/>
              <w:bottom w:val="nil"/>
              <w:right w:val="nil"/>
            </w:tcBorders>
          </w:tcPr>
          <w:p w14:paraId="4629FF76" w14:textId="77777777" w:rsidR="0041094E" w:rsidRPr="00D42B67" w:rsidRDefault="0041094E" w:rsidP="00B61B2E">
            <w:pPr>
              <w:spacing w:line="480" w:lineRule="auto"/>
              <w:rPr>
                <w:rFonts w:ascii="Arial" w:hAnsi="Arial" w:cs="Arial"/>
                <w:szCs w:val="20"/>
              </w:rPr>
            </w:pPr>
            <w:r w:rsidRPr="00D42B67">
              <w:rPr>
                <w:rFonts w:ascii="Arial" w:hAnsi="Arial" w:cs="Arial"/>
                <w:szCs w:val="20"/>
              </w:rPr>
              <w:t>Females, %</w:t>
            </w:r>
          </w:p>
        </w:tc>
        <w:tc>
          <w:tcPr>
            <w:tcW w:w="2878" w:type="dxa"/>
            <w:tcBorders>
              <w:top w:val="nil"/>
              <w:left w:val="nil"/>
              <w:bottom w:val="nil"/>
              <w:right w:val="nil"/>
            </w:tcBorders>
          </w:tcPr>
          <w:p w14:paraId="543A3419"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20 %</w:t>
            </w:r>
          </w:p>
        </w:tc>
        <w:tc>
          <w:tcPr>
            <w:tcW w:w="2792" w:type="dxa"/>
            <w:tcBorders>
              <w:top w:val="nil"/>
              <w:left w:val="nil"/>
              <w:bottom w:val="nil"/>
              <w:right w:val="nil"/>
            </w:tcBorders>
          </w:tcPr>
          <w:p w14:paraId="57ED81F1"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70 %</w:t>
            </w:r>
          </w:p>
        </w:tc>
      </w:tr>
      <w:tr w:rsidR="003D730A" w:rsidRPr="00D42B67" w14:paraId="73216E5E" w14:textId="77777777" w:rsidTr="00705716">
        <w:tc>
          <w:tcPr>
            <w:tcW w:w="2410" w:type="dxa"/>
            <w:tcBorders>
              <w:top w:val="nil"/>
              <w:left w:val="nil"/>
              <w:bottom w:val="nil"/>
              <w:right w:val="nil"/>
            </w:tcBorders>
          </w:tcPr>
          <w:p w14:paraId="610794D8" w14:textId="77777777" w:rsidR="0041094E" w:rsidRPr="00D42B67" w:rsidRDefault="0041094E" w:rsidP="00705716">
            <w:pPr>
              <w:spacing w:after="240" w:line="240" w:lineRule="auto"/>
              <w:rPr>
                <w:rFonts w:ascii="Arial" w:hAnsi="Arial" w:cs="Arial"/>
                <w:szCs w:val="20"/>
              </w:rPr>
            </w:pPr>
            <w:r w:rsidRPr="00D42B67">
              <w:rPr>
                <w:rFonts w:ascii="Arial" w:hAnsi="Arial" w:cs="Arial"/>
                <w:szCs w:val="20"/>
              </w:rPr>
              <w:t>Alcohol intake, units/week</w:t>
            </w:r>
          </w:p>
        </w:tc>
        <w:tc>
          <w:tcPr>
            <w:tcW w:w="2878" w:type="dxa"/>
            <w:tcBorders>
              <w:top w:val="nil"/>
              <w:left w:val="nil"/>
              <w:bottom w:val="nil"/>
              <w:right w:val="nil"/>
            </w:tcBorders>
          </w:tcPr>
          <w:p w14:paraId="7AE609CB" w14:textId="77777777" w:rsidR="0041094E" w:rsidRPr="00D42B67" w:rsidRDefault="0041094E" w:rsidP="00705716">
            <w:pPr>
              <w:spacing w:line="480" w:lineRule="auto"/>
              <w:jc w:val="center"/>
              <w:rPr>
                <w:rFonts w:ascii="Arial" w:hAnsi="Arial" w:cs="Arial"/>
                <w:szCs w:val="20"/>
              </w:rPr>
            </w:pPr>
            <w:r w:rsidRPr="00D42B67">
              <w:rPr>
                <w:rFonts w:ascii="Arial" w:hAnsi="Arial" w:cs="Arial"/>
                <w:szCs w:val="20"/>
              </w:rPr>
              <w:t xml:space="preserve">0   </w:t>
            </w:r>
            <w:r w:rsidR="00705716" w:rsidRPr="00D42B67">
              <w:rPr>
                <w:rFonts w:ascii="Arial" w:hAnsi="Arial" w:cs="Arial"/>
                <w:szCs w:val="20"/>
              </w:rPr>
              <w:t>(</w:t>
            </w:r>
            <w:r w:rsidRPr="00D42B67">
              <w:rPr>
                <w:rFonts w:ascii="Arial" w:hAnsi="Arial" w:cs="Arial"/>
                <w:szCs w:val="20"/>
              </w:rPr>
              <w:t>max 105</w:t>
            </w:r>
            <w:r w:rsidR="00705716" w:rsidRPr="00D42B67">
              <w:rPr>
                <w:rFonts w:ascii="Arial" w:hAnsi="Arial" w:cs="Arial"/>
                <w:szCs w:val="20"/>
              </w:rPr>
              <w:t>) [n=67]</w:t>
            </w:r>
          </w:p>
        </w:tc>
        <w:tc>
          <w:tcPr>
            <w:tcW w:w="2792" w:type="dxa"/>
            <w:tcBorders>
              <w:top w:val="nil"/>
              <w:left w:val="nil"/>
              <w:bottom w:val="nil"/>
              <w:right w:val="nil"/>
            </w:tcBorders>
          </w:tcPr>
          <w:p w14:paraId="66129D17"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 xml:space="preserve">0 </w:t>
            </w:r>
            <w:r w:rsidR="00705716" w:rsidRPr="00D42B67">
              <w:rPr>
                <w:rFonts w:ascii="Arial" w:hAnsi="Arial" w:cs="Arial"/>
                <w:szCs w:val="20"/>
              </w:rPr>
              <w:t>(</w:t>
            </w:r>
            <w:r w:rsidRPr="00D42B67">
              <w:rPr>
                <w:rFonts w:ascii="Arial" w:hAnsi="Arial" w:cs="Arial"/>
                <w:szCs w:val="20"/>
              </w:rPr>
              <w:t>max 320</w:t>
            </w:r>
            <w:r w:rsidR="00705716" w:rsidRPr="00D42B67">
              <w:rPr>
                <w:rFonts w:ascii="Arial" w:hAnsi="Arial" w:cs="Arial"/>
                <w:szCs w:val="20"/>
              </w:rPr>
              <w:t>)</w:t>
            </w:r>
          </w:p>
        </w:tc>
      </w:tr>
      <w:tr w:rsidR="003D730A" w:rsidRPr="00D42B67" w14:paraId="06B97A49" w14:textId="77777777" w:rsidTr="00705716">
        <w:tc>
          <w:tcPr>
            <w:tcW w:w="2410" w:type="dxa"/>
            <w:tcBorders>
              <w:top w:val="nil"/>
              <w:left w:val="nil"/>
              <w:bottom w:val="nil"/>
              <w:right w:val="nil"/>
            </w:tcBorders>
          </w:tcPr>
          <w:p w14:paraId="64940561" w14:textId="77777777" w:rsidR="0041094E" w:rsidRPr="00D42B67" w:rsidRDefault="0041094E" w:rsidP="00B61B2E">
            <w:pPr>
              <w:spacing w:line="480" w:lineRule="auto"/>
              <w:rPr>
                <w:rFonts w:ascii="Arial" w:hAnsi="Arial" w:cs="Arial"/>
                <w:szCs w:val="20"/>
              </w:rPr>
            </w:pPr>
            <w:r w:rsidRPr="00D42B67">
              <w:rPr>
                <w:rFonts w:ascii="Arial" w:hAnsi="Arial" w:cs="Arial"/>
                <w:szCs w:val="20"/>
              </w:rPr>
              <w:t>ALT, U/L</w:t>
            </w:r>
          </w:p>
        </w:tc>
        <w:tc>
          <w:tcPr>
            <w:tcW w:w="2878" w:type="dxa"/>
            <w:tcBorders>
              <w:top w:val="nil"/>
              <w:left w:val="nil"/>
              <w:bottom w:val="nil"/>
              <w:right w:val="nil"/>
            </w:tcBorders>
          </w:tcPr>
          <w:p w14:paraId="1D9F568C"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26.0 [15.5-36.5]</w:t>
            </w:r>
          </w:p>
        </w:tc>
        <w:tc>
          <w:tcPr>
            <w:tcW w:w="2792" w:type="dxa"/>
            <w:tcBorders>
              <w:top w:val="nil"/>
              <w:left w:val="nil"/>
              <w:bottom w:val="nil"/>
              <w:right w:val="nil"/>
            </w:tcBorders>
          </w:tcPr>
          <w:p w14:paraId="04C7F974"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31.0 [20.0-42.0]</w:t>
            </w:r>
          </w:p>
        </w:tc>
      </w:tr>
      <w:tr w:rsidR="003D730A" w:rsidRPr="00D42B67" w14:paraId="125CA541" w14:textId="77777777" w:rsidTr="00705716">
        <w:tc>
          <w:tcPr>
            <w:tcW w:w="2410" w:type="dxa"/>
            <w:tcBorders>
              <w:top w:val="nil"/>
              <w:left w:val="nil"/>
              <w:bottom w:val="nil"/>
              <w:right w:val="nil"/>
            </w:tcBorders>
          </w:tcPr>
          <w:p w14:paraId="1494FD44" w14:textId="77777777" w:rsidR="0041094E" w:rsidRPr="00D42B67" w:rsidRDefault="0041094E" w:rsidP="00B61B2E">
            <w:pPr>
              <w:spacing w:line="480" w:lineRule="auto"/>
              <w:rPr>
                <w:rFonts w:ascii="Arial" w:hAnsi="Arial" w:cs="Arial"/>
                <w:szCs w:val="20"/>
              </w:rPr>
            </w:pPr>
            <w:r w:rsidRPr="00D42B67">
              <w:rPr>
                <w:rFonts w:ascii="Arial" w:hAnsi="Arial" w:cs="Arial"/>
                <w:szCs w:val="20"/>
              </w:rPr>
              <w:t>AST, U/L</w:t>
            </w:r>
          </w:p>
        </w:tc>
        <w:tc>
          <w:tcPr>
            <w:tcW w:w="2878" w:type="dxa"/>
            <w:tcBorders>
              <w:top w:val="nil"/>
              <w:left w:val="nil"/>
              <w:bottom w:val="nil"/>
              <w:right w:val="nil"/>
            </w:tcBorders>
          </w:tcPr>
          <w:p w14:paraId="32C4DCC4"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32.5 (18.0-47.0) [n=74]</w:t>
            </w:r>
          </w:p>
        </w:tc>
        <w:tc>
          <w:tcPr>
            <w:tcW w:w="2792" w:type="dxa"/>
            <w:tcBorders>
              <w:top w:val="nil"/>
              <w:left w:val="nil"/>
              <w:bottom w:val="nil"/>
              <w:right w:val="nil"/>
            </w:tcBorders>
          </w:tcPr>
          <w:p w14:paraId="4556147C"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54.0 (20.0-88.0)</w:t>
            </w:r>
          </w:p>
        </w:tc>
      </w:tr>
      <w:tr w:rsidR="003D730A" w:rsidRPr="00D42B67" w14:paraId="498291DD" w14:textId="77777777" w:rsidTr="00705716">
        <w:tc>
          <w:tcPr>
            <w:tcW w:w="2410" w:type="dxa"/>
            <w:tcBorders>
              <w:top w:val="nil"/>
              <w:left w:val="nil"/>
              <w:bottom w:val="nil"/>
              <w:right w:val="nil"/>
            </w:tcBorders>
          </w:tcPr>
          <w:p w14:paraId="073C57AE" w14:textId="77777777" w:rsidR="0041094E" w:rsidRPr="00D42B67" w:rsidRDefault="0041094E" w:rsidP="00B61B2E">
            <w:pPr>
              <w:spacing w:line="480" w:lineRule="auto"/>
              <w:rPr>
                <w:rFonts w:ascii="Arial" w:hAnsi="Arial" w:cs="Arial"/>
                <w:szCs w:val="20"/>
              </w:rPr>
            </w:pPr>
            <w:r w:rsidRPr="00D42B67">
              <w:rPr>
                <w:rFonts w:ascii="Arial" w:hAnsi="Arial" w:cs="Arial"/>
                <w:szCs w:val="20"/>
              </w:rPr>
              <w:t>Bilirubin, umol/L</w:t>
            </w:r>
          </w:p>
        </w:tc>
        <w:tc>
          <w:tcPr>
            <w:tcW w:w="2878" w:type="dxa"/>
            <w:tcBorders>
              <w:top w:val="nil"/>
              <w:left w:val="nil"/>
              <w:bottom w:val="nil"/>
              <w:right w:val="nil"/>
            </w:tcBorders>
          </w:tcPr>
          <w:p w14:paraId="30FC5001"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13.0 (6.5-19.5)</w:t>
            </w:r>
          </w:p>
        </w:tc>
        <w:tc>
          <w:tcPr>
            <w:tcW w:w="2792" w:type="dxa"/>
            <w:tcBorders>
              <w:top w:val="nil"/>
              <w:left w:val="nil"/>
              <w:bottom w:val="nil"/>
              <w:right w:val="nil"/>
            </w:tcBorders>
          </w:tcPr>
          <w:p w14:paraId="5A960D21"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30.5 (15.5-45.5)</w:t>
            </w:r>
          </w:p>
        </w:tc>
      </w:tr>
      <w:tr w:rsidR="003D730A" w:rsidRPr="00D42B67" w14:paraId="0D266DFC" w14:textId="77777777" w:rsidTr="00705716">
        <w:tc>
          <w:tcPr>
            <w:tcW w:w="2410" w:type="dxa"/>
            <w:tcBorders>
              <w:top w:val="nil"/>
              <w:left w:val="nil"/>
              <w:bottom w:val="nil"/>
              <w:right w:val="nil"/>
            </w:tcBorders>
          </w:tcPr>
          <w:p w14:paraId="3122B430" w14:textId="77777777" w:rsidR="0041094E" w:rsidRPr="00D42B67" w:rsidRDefault="0041094E" w:rsidP="00B61B2E">
            <w:pPr>
              <w:spacing w:line="480" w:lineRule="auto"/>
              <w:rPr>
                <w:rFonts w:ascii="Arial" w:hAnsi="Arial" w:cs="Arial"/>
                <w:szCs w:val="20"/>
              </w:rPr>
            </w:pPr>
            <w:r w:rsidRPr="00D42B67">
              <w:rPr>
                <w:rFonts w:ascii="Arial" w:hAnsi="Arial" w:cs="Arial"/>
                <w:szCs w:val="20"/>
              </w:rPr>
              <w:t>Creatinine, umol/L</w:t>
            </w:r>
          </w:p>
        </w:tc>
        <w:tc>
          <w:tcPr>
            <w:tcW w:w="2878" w:type="dxa"/>
            <w:tcBorders>
              <w:top w:val="nil"/>
              <w:left w:val="nil"/>
              <w:bottom w:val="nil"/>
              <w:right w:val="nil"/>
            </w:tcBorders>
          </w:tcPr>
          <w:p w14:paraId="1B67544E"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83.0 (67.5-98.5)</w:t>
            </w:r>
          </w:p>
        </w:tc>
        <w:tc>
          <w:tcPr>
            <w:tcW w:w="2792" w:type="dxa"/>
            <w:tcBorders>
              <w:top w:val="nil"/>
              <w:left w:val="nil"/>
              <w:bottom w:val="nil"/>
              <w:right w:val="nil"/>
            </w:tcBorders>
          </w:tcPr>
          <w:p w14:paraId="6619F705"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61.5 (48.0-75.0)</w:t>
            </w:r>
          </w:p>
        </w:tc>
      </w:tr>
      <w:tr w:rsidR="003D730A" w:rsidRPr="00D42B67" w14:paraId="320B5EBA" w14:textId="77777777" w:rsidTr="00705716">
        <w:tc>
          <w:tcPr>
            <w:tcW w:w="2410" w:type="dxa"/>
            <w:tcBorders>
              <w:top w:val="nil"/>
              <w:left w:val="nil"/>
              <w:bottom w:val="nil"/>
              <w:right w:val="nil"/>
            </w:tcBorders>
          </w:tcPr>
          <w:p w14:paraId="165616FE" w14:textId="77777777" w:rsidR="0041094E" w:rsidRPr="00D42B67" w:rsidRDefault="0041094E" w:rsidP="00B61B2E">
            <w:pPr>
              <w:spacing w:line="480" w:lineRule="auto"/>
              <w:rPr>
                <w:rFonts w:ascii="Arial" w:hAnsi="Arial" w:cs="Arial"/>
                <w:szCs w:val="20"/>
              </w:rPr>
            </w:pPr>
            <w:r w:rsidRPr="00D42B67">
              <w:rPr>
                <w:rFonts w:ascii="Arial" w:hAnsi="Arial" w:cs="Arial"/>
                <w:szCs w:val="20"/>
              </w:rPr>
              <w:t>Sodium, mmol/L</w:t>
            </w:r>
          </w:p>
        </w:tc>
        <w:tc>
          <w:tcPr>
            <w:tcW w:w="2878" w:type="dxa"/>
            <w:tcBorders>
              <w:top w:val="nil"/>
              <w:left w:val="nil"/>
              <w:bottom w:val="nil"/>
              <w:right w:val="nil"/>
            </w:tcBorders>
          </w:tcPr>
          <w:p w14:paraId="7FBCDBD2"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138.0 (135.5-140.5)</w:t>
            </w:r>
          </w:p>
        </w:tc>
        <w:tc>
          <w:tcPr>
            <w:tcW w:w="2792" w:type="dxa"/>
            <w:tcBorders>
              <w:top w:val="nil"/>
              <w:left w:val="nil"/>
              <w:bottom w:val="nil"/>
              <w:right w:val="nil"/>
            </w:tcBorders>
          </w:tcPr>
          <w:p w14:paraId="0B4A076C" w14:textId="77777777" w:rsidR="0041094E" w:rsidRPr="00D42B67" w:rsidRDefault="0041094E" w:rsidP="00B61B2E">
            <w:pPr>
              <w:spacing w:line="480" w:lineRule="auto"/>
              <w:jc w:val="center"/>
              <w:rPr>
                <w:rFonts w:ascii="Arial" w:hAnsi="Arial" w:cs="Arial"/>
                <w:szCs w:val="20"/>
              </w:rPr>
            </w:pPr>
            <w:r w:rsidRPr="00D42B67">
              <w:rPr>
                <w:rFonts w:ascii="Arial" w:hAnsi="Arial" w:cs="Arial"/>
                <w:szCs w:val="20"/>
              </w:rPr>
              <w:t>135.5 (132.0-139.0)</w:t>
            </w:r>
          </w:p>
        </w:tc>
      </w:tr>
      <w:tr w:rsidR="003D730A" w:rsidRPr="00D42B67" w14:paraId="08E7B85C" w14:textId="77777777" w:rsidTr="00705716">
        <w:tc>
          <w:tcPr>
            <w:tcW w:w="2410" w:type="dxa"/>
            <w:tcBorders>
              <w:top w:val="nil"/>
              <w:left w:val="nil"/>
              <w:bottom w:val="nil"/>
              <w:right w:val="nil"/>
            </w:tcBorders>
          </w:tcPr>
          <w:p w14:paraId="793DCAA7" w14:textId="5558FD00" w:rsidR="0041094E" w:rsidRPr="00D42B67" w:rsidRDefault="009821B6" w:rsidP="00B61B2E">
            <w:pPr>
              <w:spacing w:line="480" w:lineRule="auto"/>
              <w:rPr>
                <w:rFonts w:ascii="Arial" w:hAnsi="Arial" w:cs="Arial"/>
                <w:szCs w:val="20"/>
              </w:rPr>
            </w:pPr>
            <w:r w:rsidRPr="00D42B67">
              <w:rPr>
                <w:rFonts w:ascii="Arial" w:hAnsi="Arial" w:cs="Arial"/>
                <w:szCs w:val="20"/>
              </w:rPr>
              <w:t>K18</w:t>
            </w:r>
            <w:r w:rsidR="0041094E" w:rsidRPr="00D42B67">
              <w:rPr>
                <w:rFonts w:ascii="Arial" w:hAnsi="Arial" w:cs="Arial"/>
                <w:szCs w:val="20"/>
              </w:rPr>
              <w:t>-M30, k</w:t>
            </w:r>
            <w:r w:rsidR="00BE55F4" w:rsidRPr="00D42B67">
              <w:rPr>
                <w:rFonts w:ascii="Arial" w:hAnsi="Arial" w:cs="Arial"/>
                <w:szCs w:val="20"/>
              </w:rPr>
              <w:t>I</w:t>
            </w:r>
            <w:r w:rsidR="0041094E" w:rsidRPr="00D42B67">
              <w:rPr>
                <w:rFonts w:ascii="Arial" w:hAnsi="Arial" w:cs="Arial"/>
                <w:szCs w:val="20"/>
              </w:rPr>
              <w:t>U/L</w:t>
            </w:r>
          </w:p>
        </w:tc>
        <w:tc>
          <w:tcPr>
            <w:tcW w:w="2878" w:type="dxa"/>
            <w:tcBorders>
              <w:top w:val="nil"/>
              <w:left w:val="nil"/>
              <w:bottom w:val="nil"/>
              <w:right w:val="nil"/>
            </w:tcBorders>
          </w:tcPr>
          <w:p w14:paraId="529454A4" w14:textId="77777777" w:rsidR="0041094E" w:rsidRPr="00D42B67" w:rsidRDefault="0041094E" w:rsidP="00705716">
            <w:pPr>
              <w:spacing w:line="240" w:lineRule="auto"/>
              <w:jc w:val="center"/>
              <w:rPr>
                <w:rFonts w:ascii="Arial" w:hAnsi="Arial" w:cs="Arial"/>
                <w:szCs w:val="20"/>
              </w:rPr>
            </w:pPr>
            <w:r w:rsidRPr="00D42B67">
              <w:rPr>
                <w:rFonts w:ascii="Arial" w:hAnsi="Arial" w:cs="Arial"/>
                <w:szCs w:val="20"/>
              </w:rPr>
              <w:t>0.125 (0.066-0.184) [n=74] range 0.031-0.893</w:t>
            </w:r>
          </w:p>
        </w:tc>
        <w:tc>
          <w:tcPr>
            <w:tcW w:w="2792" w:type="dxa"/>
            <w:tcBorders>
              <w:top w:val="nil"/>
              <w:left w:val="nil"/>
              <w:bottom w:val="nil"/>
              <w:right w:val="nil"/>
            </w:tcBorders>
          </w:tcPr>
          <w:p w14:paraId="1F7FE7AE" w14:textId="77777777" w:rsidR="0041094E" w:rsidRPr="00D42B67" w:rsidRDefault="0041094E" w:rsidP="00705716">
            <w:pPr>
              <w:spacing w:line="240" w:lineRule="auto"/>
              <w:jc w:val="center"/>
              <w:rPr>
                <w:rFonts w:ascii="Arial" w:hAnsi="Arial" w:cs="Arial"/>
                <w:szCs w:val="20"/>
              </w:rPr>
            </w:pPr>
            <w:r w:rsidRPr="00D42B67">
              <w:rPr>
                <w:rFonts w:ascii="Arial" w:hAnsi="Arial" w:cs="Arial"/>
                <w:szCs w:val="20"/>
              </w:rPr>
              <w:t>0.168 (0.0983-0.240) range 0.069-0.989</w:t>
            </w:r>
          </w:p>
        </w:tc>
      </w:tr>
      <w:tr w:rsidR="003D730A" w:rsidRPr="00D42B67" w14:paraId="79E50F39" w14:textId="77777777" w:rsidTr="00705716">
        <w:tc>
          <w:tcPr>
            <w:tcW w:w="2410" w:type="dxa"/>
            <w:tcBorders>
              <w:top w:val="nil"/>
              <w:left w:val="nil"/>
              <w:bottom w:val="single" w:sz="4" w:space="0" w:color="auto"/>
              <w:right w:val="nil"/>
            </w:tcBorders>
          </w:tcPr>
          <w:p w14:paraId="3C98531A" w14:textId="4F9E84D0" w:rsidR="0041094E" w:rsidRPr="00D42B67" w:rsidRDefault="009821B6" w:rsidP="00B61B2E">
            <w:pPr>
              <w:spacing w:line="480" w:lineRule="auto"/>
              <w:rPr>
                <w:rFonts w:ascii="Arial" w:hAnsi="Arial" w:cs="Arial"/>
                <w:szCs w:val="20"/>
              </w:rPr>
            </w:pPr>
            <w:r w:rsidRPr="00D42B67">
              <w:rPr>
                <w:rFonts w:ascii="Arial" w:hAnsi="Arial" w:cs="Arial"/>
                <w:szCs w:val="20"/>
              </w:rPr>
              <w:t>K18</w:t>
            </w:r>
            <w:r w:rsidR="0041094E" w:rsidRPr="00D42B67">
              <w:rPr>
                <w:rFonts w:ascii="Arial" w:hAnsi="Arial" w:cs="Arial"/>
                <w:szCs w:val="20"/>
              </w:rPr>
              <w:t>-M65, k</w:t>
            </w:r>
            <w:r w:rsidR="00BE55F4" w:rsidRPr="00D42B67">
              <w:rPr>
                <w:rFonts w:ascii="Arial" w:hAnsi="Arial" w:cs="Arial"/>
                <w:szCs w:val="20"/>
              </w:rPr>
              <w:t>I</w:t>
            </w:r>
            <w:r w:rsidR="0041094E" w:rsidRPr="00D42B67">
              <w:rPr>
                <w:rFonts w:ascii="Arial" w:hAnsi="Arial" w:cs="Arial"/>
                <w:szCs w:val="20"/>
              </w:rPr>
              <w:t>U/L</w:t>
            </w:r>
          </w:p>
        </w:tc>
        <w:tc>
          <w:tcPr>
            <w:tcW w:w="2878" w:type="dxa"/>
            <w:tcBorders>
              <w:top w:val="nil"/>
              <w:left w:val="nil"/>
              <w:bottom w:val="single" w:sz="4" w:space="0" w:color="auto"/>
              <w:right w:val="nil"/>
            </w:tcBorders>
          </w:tcPr>
          <w:p w14:paraId="3AB8D055" w14:textId="77777777" w:rsidR="0041094E" w:rsidRPr="00D42B67" w:rsidRDefault="0041094E" w:rsidP="00705716">
            <w:pPr>
              <w:spacing w:line="240" w:lineRule="auto"/>
              <w:jc w:val="center"/>
              <w:rPr>
                <w:rFonts w:ascii="Arial" w:hAnsi="Arial" w:cs="Arial"/>
                <w:szCs w:val="20"/>
              </w:rPr>
            </w:pPr>
            <w:r w:rsidRPr="00D42B67">
              <w:rPr>
                <w:rFonts w:ascii="Arial" w:hAnsi="Arial" w:cs="Arial"/>
                <w:szCs w:val="20"/>
              </w:rPr>
              <w:t>0.119 (0.024-0.213) [n=75] range 0.031-1.208</w:t>
            </w:r>
          </w:p>
        </w:tc>
        <w:tc>
          <w:tcPr>
            <w:tcW w:w="2792" w:type="dxa"/>
            <w:tcBorders>
              <w:top w:val="nil"/>
              <w:left w:val="nil"/>
              <w:bottom w:val="single" w:sz="4" w:space="0" w:color="auto"/>
              <w:right w:val="nil"/>
            </w:tcBorders>
          </w:tcPr>
          <w:p w14:paraId="5F1D1615" w14:textId="77777777" w:rsidR="0041094E" w:rsidRPr="00D42B67" w:rsidRDefault="0041094E" w:rsidP="00705716">
            <w:pPr>
              <w:spacing w:line="240" w:lineRule="auto"/>
              <w:jc w:val="center"/>
              <w:rPr>
                <w:rFonts w:ascii="Arial" w:hAnsi="Arial" w:cs="Arial"/>
                <w:szCs w:val="20"/>
              </w:rPr>
            </w:pPr>
            <w:r w:rsidRPr="00D42B67">
              <w:rPr>
                <w:rFonts w:ascii="Arial" w:hAnsi="Arial" w:cs="Arial"/>
                <w:szCs w:val="20"/>
              </w:rPr>
              <w:t>0.134 (0.042-0.225) [n=9] range 0.093-1.968</w:t>
            </w:r>
          </w:p>
        </w:tc>
      </w:tr>
    </w:tbl>
    <w:p w14:paraId="6385F79D" w14:textId="0D38ED56" w:rsidR="0041094E" w:rsidRPr="00D42B67" w:rsidRDefault="0041094E" w:rsidP="0041094E">
      <w:pPr>
        <w:autoSpaceDE w:val="0"/>
        <w:autoSpaceDN w:val="0"/>
        <w:adjustRightInd w:val="0"/>
        <w:spacing w:after="0" w:line="240" w:lineRule="auto"/>
        <w:rPr>
          <w:rFonts w:ascii="Arial" w:hAnsi="Arial" w:cs="Arial"/>
          <w:lang w:val="en-US"/>
        </w:rPr>
      </w:pPr>
      <w:r w:rsidRPr="00D42B67">
        <w:rPr>
          <w:rFonts w:ascii="Arial" w:hAnsi="Arial" w:cs="Arial"/>
          <w:lang w:val="en-US"/>
        </w:rPr>
        <w:t xml:space="preserve">ALT, alanine transaminase; AST, </w:t>
      </w:r>
      <w:r w:rsidR="00AA763F" w:rsidRPr="00D42B67">
        <w:rPr>
          <w:rFonts w:ascii="Arial" w:hAnsi="Arial" w:cs="Arial"/>
          <w:szCs w:val="20"/>
          <w:lang w:val="en-US"/>
        </w:rPr>
        <w:t>aspartate transaminase</w:t>
      </w:r>
      <w:r w:rsidR="00AA763F" w:rsidRPr="00D42B67">
        <w:rPr>
          <w:rFonts w:ascii="Arial" w:hAnsi="Arial" w:cs="Arial"/>
          <w:lang w:val="en-US"/>
        </w:rPr>
        <w:t xml:space="preserve">; </w:t>
      </w:r>
      <w:r w:rsidR="009821B6" w:rsidRPr="00D42B67">
        <w:rPr>
          <w:rFonts w:ascii="Arial" w:hAnsi="Arial" w:cs="Arial"/>
          <w:lang w:val="en-US"/>
        </w:rPr>
        <w:t>K18</w:t>
      </w:r>
      <w:r w:rsidR="00AA763F" w:rsidRPr="00D42B67">
        <w:rPr>
          <w:rFonts w:ascii="Arial" w:hAnsi="Arial" w:cs="Arial"/>
          <w:lang w:val="en-US"/>
        </w:rPr>
        <w:t>, keratin-</w:t>
      </w:r>
      <w:r w:rsidR="00705716" w:rsidRPr="00D42B67">
        <w:rPr>
          <w:rFonts w:ascii="Arial" w:hAnsi="Arial" w:cs="Arial"/>
          <w:lang w:val="en-US"/>
        </w:rPr>
        <w:t>18.</w:t>
      </w:r>
    </w:p>
    <w:p w14:paraId="25793042" w14:textId="77777777" w:rsidR="0041094E" w:rsidRPr="00D42B67" w:rsidRDefault="0041094E" w:rsidP="00C659E4">
      <w:pPr>
        <w:jc w:val="both"/>
        <w:rPr>
          <w:rFonts w:ascii="Arial" w:hAnsi="Arial" w:cs="Arial"/>
          <w:b/>
          <w:noProof/>
          <w:lang w:val="en-US" w:eastAsia="de-DE"/>
        </w:rPr>
      </w:pPr>
    </w:p>
    <w:p w14:paraId="0F9FE6C5" w14:textId="4AB35725" w:rsidR="002C3030" w:rsidRPr="00D42B67" w:rsidRDefault="00935E61" w:rsidP="002C3030">
      <w:pPr>
        <w:widowControl w:val="0"/>
        <w:spacing w:after="240" w:line="360" w:lineRule="auto"/>
        <w:ind w:right="-91"/>
        <w:rPr>
          <w:rFonts w:ascii="Arial" w:hAnsi="Arial" w:cs="Arial"/>
          <w:noProof/>
          <w:lang w:val="en-US" w:eastAsia="de-DE"/>
        </w:rPr>
      </w:pPr>
      <w:r w:rsidRPr="00D42B67">
        <w:rPr>
          <w:rFonts w:ascii="Arial" w:hAnsi="Arial" w:cs="Arial"/>
          <w:b/>
          <w:noProof/>
          <w:lang w:val="en-US" w:eastAsia="de-DE"/>
        </w:rPr>
        <w:br w:type="page"/>
      </w:r>
      <w:r w:rsidR="002C3030" w:rsidRPr="00D42B67">
        <w:rPr>
          <w:rFonts w:ascii="Arial" w:hAnsi="Arial" w:cs="Arial"/>
          <w:b/>
          <w:noProof/>
          <w:lang w:val="en-US" w:eastAsia="de-DE"/>
        </w:rPr>
        <w:lastRenderedPageBreak/>
        <w:t>Supplementary Table 3:</w:t>
      </w:r>
      <w:r w:rsidR="002C3030" w:rsidRPr="00D42B67">
        <w:rPr>
          <w:rFonts w:ascii="Arial" w:hAnsi="Arial" w:cs="Arial"/>
          <w:noProof/>
          <w:lang w:val="en-US" w:eastAsia="de-DE"/>
        </w:rPr>
        <w:t xml:space="preserve"> Baseline demographics of populations defined by prednisolone treatment status and mortality at ninety days.</w:t>
      </w:r>
    </w:p>
    <w:tbl>
      <w:tblPr>
        <w:tblStyle w:val="GridTable5Dark-Accent11"/>
        <w:tblW w:w="92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2552"/>
        <w:gridCol w:w="1701"/>
        <w:gridCol w:w="1701"/>
        <w:gridCol w:w="1701"/>
        <w:gridCol w:w="1609"/>
      </w:tblGrid>
      <w:tr w:rsidR="002C3030" w:rsidRPr="00D42B67" w14:paraId="138E9CDD" w14:textId="77777777" w:rsidTr="005C28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right w:val="none" w:sz="0" w:space="0" w:color="auto"/>
            </w:tcBorders>
            <w:shd w:val="clear" w:color="auto" w:fill="FFFFFF" w:themeFill="background1"/>
          </w:tcPr>
          <w:p w14:paraId="0464BD75" w14:textId="77777777" w:rsidR="002C3030" w:rsidRPr="00D42B67" w:rsidRDefault="002C3030" w:rsidP="005C283F">
            <w:pPr>
              <w:spacing w:beforeLines="20" w:before="48" w:afterLines="20" w:after="48"/>
              <w:jc w:val="both"/>
              <w:rPr>
                <w:rFonts w:ascii="Arial" w:hAnsi="Arial" w:cs="Arial"/>
                <w:color w:val="000000" w:themeColor="text1"/>
                <w:sz w:val="18"/>
                <w:szCs w:val="18"/>
                <w:lang w:val="en-US"/>
              </w:rPr>
            </w:pPr>
          </w:p>
        </w:tc>
        <w:tc>
          <w:tcPr>
            <w:tcW w:w="3402" w:type="dxa"/>
            <w:gridSpan w:val="2"/>
            <w:tcBorders>
              <w:top w:val="none" w:sz="0" w:space="0" w:color="auto"/>
              <w:left w:val="none" w:sz="0" w:space="0" w:color="auto"/>
              <w:right w:val="none" w:sz="0" w:space="0" w:color="auto"/>
            </w:tcBorders>
            <w:shd w:val="clear" w:color="auto" w:fill="FFFFFF" w:themeFill="background1"/>
          </w:tcPr>
          <w:p w14:paraId="27C4D339" w14:textId="77777777" w:rsidR="002C3030" w:rsidRPr="00D42B67" w:rsidRDefault="002C3030" w:rsidP="005C283F">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D42B67">
              <w:rPr>
                <w:rFonts w:ascii="Arial" w:hAnsi="Arial" w:cs="Arial"/>
                <w:color w:val="000000" w:themeColor="text1"/>
                <w:sz w:val="18"/>
                <w:szCs w:val="18"/>
              </w:rPr>
              <w:t>Placebo (n=417)</w:t>
            </w:r>
          </w:p>
        </w:tc>
        <w:tc>
          <w:tcPr>
            <w:tcW w:w="3310" w:type="dxa"/>
            <w:gridSpan w:val="2"/>
            <w:tcBorders>
              <w:top w:val="none" w:sz="0" w:space="0" w:color="auto"/>
              <w:left w:val="none" w:sz="0" w:space="0" w:color="auto"/>
              <w:right w:val="none" w:sz="0" w:space="0" w:color="auto"/>
            </w:tcBorders>
            <w:shd w:val="clear" w:color="auto" w:fill="FFFFFF" w:themeFill="background1"/>
          </w:tcPr>
          <w:p w14:paraId="44E80181" w14:textId="77777777" w:rsidR="002C3030" w:rsidRPr="00D42B67" w:rsidRDefault="002C3030" w:rsidP="005C283F">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D42B67">
              <w:rPr>
                <w:rFonts w:ascii="Arial" w:hAnsi="Arial" w:cs="Arial"/>
                <w:color w:val="000000" w:themeColor="text1"/>
                <w:sz w:val="18"/>
                <w:szCs w:val="18"/>
              </w:rPr>
              <w:t>Prednisolone (n=407)</w:t>
            </w:r>
          </w:p>
        </w:tc>
      </w:tr>
      <w:tr w:rsidR="002C3030" w:rsidRPr="00D42B67" w14:paraId="0454D033"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61248C72" w14:textId="77777777" w:rsidR="002C3030" w:rsidRPr="00D42B67" w:rsidRDefault="002C3030" w:rsidP="005C283F">
            <w:pPr>
              <w:spacing w:beforeLines="20" w:before="48" w:afterLines="20" w:after="48"/>
              <w:jc w:val="both"/>
              <w:rPr>
                <w:rFonts w:ascii="Arial" w:hAnsi="Arial" w:cs="Arial"/>
                <w:sz w:val="18"/>
                <w:szCs w:val="20"/>
                <w:lang w:val="en-US"/>
              </w:rPr>
            </w:pPr>
            <w:r w:rsidRPr="00D42B67">
              <w:rPr>
                <w:rFonts w:ascii="Arial" w:hAnsi="Arial" w:cs="Arial"/>
                <w:color w:val="auto"/>
                <w:sz w:val="18"/>
                <w:szCs w:val="20"/>
                <w:lang w:val="en-US"/>
              </w:rPr>
              <w:t>Variable Median (interquartile range) or ‘n’ (%)</w:t>
            </w:r>
          </w:p>
        </w:tc>
        <w:tc>
          <w:tcPr>
            <w:tcW w:w="1701" w:type="dxa"/>
            <w:shd w:val="clear" w:color="auto" w:fill="FFFFFF" w:themeFill="background1"/>
          </w:tcPr>
          <w:p w14:paraId="522CDA2A"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42B67">
              <w:rPr>
                <w:rFonts w:ascii="Arial" w:hAnsi="Arial" w:cs="Arial"/>
                <w:color w:val="000000" w:themeColor="text1"/>
                <w:sz w:val="18"/>
                <w:szCs w:val="18"/>
              </w:rPr>
              <w:t>Survivors (n=320)</w:t>
            </w:r>
          </w:p>
        </w:tc>
        <w:tc>
          <w:tcPr>
            <w:tcW w:w="1701" w:type="dxa"/>
            <w:shd w:val="clear" w:color="auto" w:fill="FFFFFF" w:themeFill="background1"/>
          </w:tcPr>
          <w:p w14:paraId="1DBA548D"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42B67">
              <w:rPr>
                <w:rFonts w:ascii="Arial" w:hAnsi="Arial" w:cs="Arial"/>
                <w:color w:val="000000" w:themeColor="text1"/>
                <w:sz w:val="18"/>
                <w:szCs w:val="18"/>
              </w:rPr>
              <w:t>Died (n=97)</w:t>
            </w:r>
          </w:p>
        </w:tc>
        <w:tc>
          <w:tcPr>
            <w:tcW w:w="1701" w:type="dxa"/>
            <w:shd w:val="clear" w:color="auto" w:fill="FFFFFF" w:themeFill="background1"/>
          </w:tcPr>
          <w:p w14:paraId="104A7027"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42B67">
              <w:rPr>
                <w:rFonts w:ascii="Arial" w:hAnsi="Arial" w:cs="Arial"/>
                <w:color w:val="000000" w:themeColor="text1"/>
                <w:sz w:val="18"/>
                <w:szCs w:val="18"/>
              </w:rPr>
              <w:t>Survivors (n=310)</w:t>
            </w:r>
          </w:p>
        </w:tc>
        <w:tc>
          <w:tcPr>
            <w:tcW w:w="1609" w:type="dxa"/>
            <w:shd w:val="clear" w:color="auto" w:fill="FFFFFF" w:themeFill="background1"/>
          </w:tcPr>
          <w:p w14:paraId="12BD5439"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42B67">
              <w:rPr>
                <w:rFonts w:ascii="Arial" w:hAnsi="Arial" w:cs="Arial"/>
                <w:color w:val="000000" w:themeColor="text1"/>
                <w:sz w:val="18"/>
                <w:szCs w:val="18"/>
              </w:rPr>
              <w:t>Died (n=97)</w:t>
            </w:r>
          </w:p>
        </w:tc>
      </w:tr>
      <w:tr w:rsidR="002C3030" w:rsidRPr="00D42B67" w14:paraId="34738BB8"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44C3DE90"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Age (years)</w:t>
            </w:r>
          </w:p>
        </w:tc>
        <w:tc>
          <w:tcPr>
            <w:tcW w:w="1701" w:type="dxa"/>
            <w:shd w:val="clear" w:color="auto" w:fill="FFFFFF" w:themeFill="background1"/>
          </w:tcPr>
          <w:p w14:paraId="293E105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47.6 (41.4 – 54.3)</w:t>
            </w:r>
          </w:p>
        </w:tc>
        <w:tc>
          <w:tcPr>
            <w:tcW w:w="1701" w:type="dxa"/>
            <w:shd w:val="clear" w:color="auto" w:fill="FFFFFF" w:themeFill="background1"/>
          </w:tcPr>
          <w:p w14:paraId="4D05546F"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50.6 (43.0 – 59.5)</w:t>
            </w:r>
          </w:p>
        </w:tc>
        <w:tc>
          <w:tcPr>
            <w:tcW w:w="1701" w:type="dxa"/>
            <w:shd w:val="clear" w:color="auto" w:fill="FFFFFF" w:themeFill="background1"/>
          </w:tcPr>
          <w:p w14:paraId="60851212"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47.6 (40.9 – 54.1)</w:t>
            </w:r>
          </w:p>
        </w:tc>
        <w:tc>
          <w:tcPr>
            <w:tcW w:w="1609" w:type="dxa"/>
            <w:shd w:val="clear" w:color="auto" w:fill="FFFFFF" w:themeFill="background1"/>
          </w:tcPr>
          <w:p w14:paraId="6C131E0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55.0 (48.1 – 62.0)</w:t>
            </w:r>
          </w:p>
        </w:tc>
      </w:tr>
      <w:tr w:rsidR="002C3030" w:rsidRPr="00D42B67" w14:paraId="3D27D885"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4FC3ECE2"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Sex (male)</w:t>
            </w:r>
          </w:p>
        </w:tc>
        <w:tc>
          <w:tcPr>
            <w:tcW w:w="1701" w:type="dxa"/>
            <w:shd w:val="clear" w:color="auto" w:fill="FFFFFF" w:themeFill="background1"/>
          </w:tcPr>
          <w:p w14:paraId="2A63682E"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191 (60%)</w:t>
            </w:r>
          </w:p>
        </w:tc>
        <w:tc>
          <w:tcPr>
            <w:tcW w:w="1701" w:type="dxa"/>
            <w:shd w:val="clear" w:color="auto" w:fill="FFFFFF" w:themeFill="background1"/>
          </w:tcPr>
          <w:p w14:paraId="42A06A87"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65 (67%)</w:t>
            </w:r>
          </w:p>
        </w:tc>
        <w:tc>
          <w:tcPr>
            <w:tcW w:w="1701" w:type="dxa"/>
            <w:shd w:val="clear" w:color="auto" w:fill="FFFFFF" w:themeFill="background1"/>
          </w:tcPr>
          <w:p w14:paraId="1F239144"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195 (63%)</w:t>
            </w:r>
          </w:p>
        </w:tc>
        <w:tc>
          <w:tcPr>
            <w:tcW w:w="1609" w:type="dxa"/>
            <w:shd w:val="clear" w:color="auto" w:fill="FFFFFF" w:themeFill="background1"/>
          </w:tcPr>
          <w:p w14:paraId="32889779"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69 (71%)</w:t>
            </w:r>
          </w:p>
        </w:tc>
      </w:tr>
      <w:tr w:rsidR="002C3030" w:rsidRPr="00D42B67" w14:paraId="3A1605B8"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3CAA3ECF"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Alcohol (units/week)</w:t>
            </w:r>
          </w:p>
        </w:tc>
        <w:tc>
          <w:tcPr>
            <w:tcW w:w="1701" w:type="dxa"/>
            <w:shd w:val="clear" w:color="auto" w:fill="FFFFFF" w:themeFill="background1"/>
          </w:tcPr>
          <w:p w14:paraId="6A385287"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140 (90 – 210)</w:t>
            </w:r>
          </w:p>
        </w:tc>
        <w:tc>
          <w:tcPr>
            <w:tcW w:w="1701" w:type="dxa"/>
            <w:shd w:val="clear" w:color="auto" w:fill="FFFFFF" w:themeFill="background1"/>
          </w:tcPr>
          <w:p w14:paraId="0DC30240"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105 (75 – 168)</w:t>
            </w:r>
          </w:p>
        </w:tc>
        <w:tc>
          <w:tcPr>
            <w:tcW w:w="1701" w:type="dxa"/>
            <w:shd w:val="clear" w:color="auto" w:fill="FFFFFF" w:themeFill="background1"/>
          </w:tcPr>
          <w:p w14:paraId="0D3A18BC"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129 (90 – 210)</w:t>
            </w:r>
          </w:p>
        </w:tc>
        <w:tc>
          <w:tcPr>
            <w:tcW w:w="1609" w:type="dxa"/>
            <w:shd w:val="clear" w:color="auto" w:fill="FFFFFF" w:themeFill="background1"/>
          </w:tcPr>
          <w:p w14:paraId="08D3A2B7"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140 (86 – 200)</w:t>
            </w:r>
          </w:p>
        </w:tc>
      </w:tr>
      <w:tr w:rsidR="002C3030" w:rsidRPr="00D42B67" w14:paraId="4DAAF9D3"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79E6495E"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Pentoxifylline</w:t>
            </w:r>
          </w:p>
        </w:tc>
        <w:tc>
          <w:tcPr>
            <w:tcW w:w="1701" w:type="dxa"/>
            <w:shd w:val="clear" w:color="auto" w:fill="FFFFFF" w:themeFill="background1"/>
          </w:tcPr>
          <w:p w14:paraId="1299A013"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157 (49%)</w:t>
            </w:r>
          </w:p>
        </w:tc>
        <w:tc>
          <w:tcPr>
            <w:tcW w:w="1701" w:type="dxa"/>
            <w:shd w:val="clear" w:color="auto" w:fill="FFFFFF" w:themeFill="background1"/>
          </w:tcPr>
          <w:p w14:paraId="2A9EB55F"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56 (58%)</w:t>
            </w:r>
          </w:p>
        </w:tc>
        <w:tc>
          <w:tcPr>
            <w:tcW w:w="1701" w:type="dxa"/>
            <w:shd w:val="clear" w:color="auto" w:fill="FFFFFF" w:themeFill="background1"/>
          </w:tcPr>
          <w:p w14:paraId="25A0C765"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160 (52%)</w:t>
            </w:r>
          </w:p>
        </w:tc>
        <w:tc>
          <w:tcPr>
            <w:tcW w:w="1609" w:type="dxa"/>
            <w:shd w:val="clear" w:color="auto" w:fill="FFFFFF" w:themeFill="background1"/>
          </w:tcPr>
          <w:p w14:paraId="240E24EA"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42 (43%)</w:t>
            </w:r>
          </w:p>
        </w:tc>
      </w:tr>
      <w:tr w:rsidR="002C3030" w:rsidRPr="00D42B67" w14:paraId="4CE4F116"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333F052B"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 xml:space="preserve">Encephalopathy </w:t>
            </w:r>
          </w:p>
        </w:tc>
        <w:tc>
          <w:tcPr>
            <w:tcW w:w="1701" w:type="dxa"/>
            <w:shd w:val="clear" w:color="auto" w:fill="FFFFFF" w:themeFill="background1"/>
          </w:tcPr>
          <w:p w14:paraId="13B6239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shd w:val="clear" w:color="auto" w:fill="FFFFFF" w:themeFill="background1"/>
          </w:tcPr>
          <w:p w14:paraId="4D7FC041"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shd w:val="clear" w:color="auto" w:fill="FFFFFF" w:themeFill="background1"/>
          </w:tcPr>
          <w:p w14:paraId="38FF4F23"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09" w:type="dxa"/>
            <w:shd w:val="clear" w:color="auto" w:fill="FFFFFF" w:themeFill="background1"/>
          </w:tcPr>
          <w:p w14:paraId="358BBD2B"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C3030" w:rsidRPr="00D42B67" w14:paraId="1B7700D2"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0601CA5D"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b/>
              <w:t>Grade 0</w:t>
            </w:r>
          </w:p>
        </w:tc>
        <w:tc>
          <w:tcPr>
            <w:tcW w:w="1701" w:type="dxa"/>
            <w:shd w:val="clear" w:color="auto" w:fill="FFFFFF" w:themeFill="background1"/>
          </w:tcPr>
          <w:p w14:paraId="0DBCFE72"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238 (79%)</w:t>
            </w:r>
          </w:p>
        </w:tc>
        <w:tc>
          <w:tcPr>
            <w:tcW w:w="1701" w:type="dxa"/>
            <w:shd w:val="clear" w:color="auto" w:fill="FFFFFF" w:themeFill="background1"/>
          </w:tcPr>
          <w:p w14:paraId="267A18C8"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57 (60%)</w:t>
            </w:r>
          </w:p>
        </w:tc>
        <w:tc>
          <w:tcPr>
            <w:tcW w:w="1701" w:type="dxa"/>
            <w:shd w:val="clear" w:color="auto" w:fill="FFFFFF" w:themeFill="background1"/>
          </w:tcPr>
          <w:p w14:paraId="3515816E"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234 (77%)</w:t>
            </w:r>
          </w:p>
        </w:tc>
        <w:tc>
          <w:tcPr>
            <w:tcW w:w="1609" w:type="dxa"/>
            <w:shd w:val="clear" w:color="auto" w:fill="FFFFFF" w:themeFill="background1"/>
          </w:tcPr>
          <w:p w14:paraId="15132B76"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54 (60%)</w:t>
            </w:r>
          </w:p>
        </w:tc>
      </w:tr>
      <w:tr w:rsidR="002C3030" w:rsidRPr="00D42B67" w14:paraId="6EF9B284"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3F673F8C"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b/>
              <w:t>Grade 1</w:t>
            </w:r>
          </w:p>
        </w:tc>
        <w:tc>
          <w:tcPr>
            <w:tcW w:w="1701" w:type="dxa"/>
            <w:shd w:val="clear" w:color="auto" w:fill="FFFFFF" w:themeFill="background1"/>
          </w:tcPr>
          <w:p w14:paraId="76FDADBB"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45 (15%)</w:t>
            </w:r>
          </w:p>
        </w:tc>
        <w:tc>
          <w:tcPr>
            <w:tcW w:w="1701" w:type="dxa"/>
            <w:shd w:val="clear" w:color="auto" w:fill="FFFFFF" w:themeFill="background1"/>
          </w:tcPr>
          <w:p w14:paraId="7CFED0E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27 (28%)</w:t>
            </w:r>
          </w:p>
        </w:tc>
        <w:tc>
          <w:tcPr>
            <w:tcW w:w="1701" w:type="dxa"/>
            <w:shd w:val="clear" w:color="auto" w:fill="FFFFFF" w:themeFill="background1"/>
          </w:tcPr>
          <w:p w14:paraId="56A0EC08"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50 (17%)</w:t>
            </w:r>
          </w:p>
        </w:tc>
        <w:tc>
          <w:tcPr>
            <w:tcW w:w="1609" w:type="dxa"/>
            <w:shd w:val="clear" w:color="auto" w:fill="FFFFFF" w:themeFill="background1"/>
          </w:tcPr>
          <w:p w14:paraId="768BDF12"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22 (24%)</w:t>
            </w:r>
          </w:p>
        </w:tc>
      </w:tr>
      <w:tr w:rsidR="002C3030" w:rsidRPr="00D42B67" w14:paraId="170708BC"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7C427141"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b/>
              <w:t>Grade 2</w:t>
            </w:r>
          </w:p>
        </w:tc>
        <w:tc>
          <w:tcPr>
            <w:tcW w:w="1701" w:type="dxa"/>
            <w:shd w:val="clear" w:color="auto" w:fill="FFFFFF" w:themeFill="background1"/>
          </w:tcPr>
          <w:p w14:paraId="1BFFBBD5"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14 (5%)</w:t>
            </w:r>
          </w:p>
        </w:tc>
        <w:tc>
          <w:tcPr>
            <w:tcW w:w="1701" w:type="dxa"/>
            <w:shd w:val="clear" w:color="auto" w:fill="FFFFFF" w:themeFill="background1"/>
          </w:tcPr>
          <w:p w14:paraId="3CD59F8A"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6 (6%)</w:t>
            </w:r>
          </w:p>
        </w:tc>
        <w:tc>
          <w:tcPr>
            <w:tcW w:w="1701" w:type="dxa"/>
            <w:shd w:val="clear" w:color="auto" w:fill="FFFFFF" w:themeFill="background1"/>
          </w:tcPr>
          <w:p w14:paraId="6A563DB5"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15 (5%)</w:t>
            </w:r>
          </w:p>
        </w:tc>
        <w:tc>
          <w:tcPr>
            <w:tcW w:w="1609" w:type="dxa"/>
            <w:shd w:val="clear" w:color="auto" w:fill="FFFFFF" w:themeFill="background1"/>
          </w:tcPr>
          <w:p w14:paraId="098A3B06"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9 (10%)</w:t>
            </w:r>
          </w:p>
        </w:tc>
      </w:tr>
      <w:tr w:rsidR="002C3030" w:rsidRPr="00D42B67" w14:paraId="7CE820E1"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03E6C694"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b/>
              <w:t>Grade 3</w:t>
            </w:r>
          </w:p>
        </w:tc>
        <w:tc>
          <w:tcPr>
            <w:tcW w:w="1701" w:type="dxa"/>
            <w:shd w:val="clear" w:color="auto" w:fill="FFFFFF" w:themeFill="background1"/>
          </w:tcPr>
          <w:p w14:paraId="475CCAAC"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 (1%)</w:t>
            </w:r>
          </w:p>
        </w:tc>
        <w:tc>
          <w:tcPr>
            <w:tcW w:w="1701" w:type="dxa"/>
            <w:shd w:val="clear" w:color="auto" w:fill="FFFFFF" w:themeFill="background1"/>
          </w:tcPr>
          <w:p w14:paraId="4DD7F71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 (5%)</w:t>
            </w:r>
          </w:p>
        </w:tc>
        <w:tc>
          <w:tcPr>
            <w:tcW w:w="1701" w:type="dxa"/>
            <w:shd w:val="clear" w:color="auto" w:fill="FFFFFF" w:themeFill="background1"/>
          </w:tcPr>
          <w:p w14:paraId="712ECF38"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4 (1%)</w:t>
            </w:r>
          </w:p>
        </w:tc>
        <w:tc>
          <w:tcPr>
            <w:tcW w:w="1609" w:type="dxa"/>
            <w:shd w:val="clear" w:color="auto" w:fill="FFFFFF" w:themeFill="background1"/>
          </w:tcPr>
          <w:p w14:paraId="2BD09B72"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 (6%)</w:t>
            </w:r>
          </w:p>
        </w:tc>
      </w:tr>
      <w:tr w:rsidR="002C3030" w:rsidRPr="00D42B67" w14:paraId="4DA2AEFC"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704247FA"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Haemoglobin (g/L)</w:t>
            </w:r>
          </w:p>
        </w:tc>
        <w:tc>
          <w:tcPr>
            <w:tcW w:w="1701" w:type="dxa"/>
            <w:shd w:val="clear" w:color="auto" w:fill="FFFFFF" w:themeFill="background1"/>
          </w:tcPr>
          <w:p w14:paraId="39D045EB"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108 (95 – 121)</w:t>
            </w:r>
          </w:p>
        </w:tc>
        <w:tc>
          <w:tcPr>
            <w:tcW w:w="1701" w:type="dxa"/>
            <w:shd w:val="clear" w:color="auto" w:fill="FFFFFF" w:themeFill="background1"/>
          </w:tcPr>
          <w:p w14:paraId="06172B35"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100 (89 – 113)</w:t>
            </w:r>
          </w:p>
        </w:tc>
        <w:tc>
          <w:tcPr>
            <w:tcW w:w="1701" w:type="dxa"/>
            <w:shd w:val="clear" w:color="auto" w:fill="FFFFFF" w:themeFill="background1"/>
          </w:tcPr>
          <w:p w14:paraId="41E133C5"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107 (95 – 119)</w:t>
            </w:r>
          </w:p>
        </w:tc>
        <w:tc>
          <w:tcPr>
            <w:tcW w:w="1609" w:type="dxa"/>
            <w:shd w:val="clear" w:color="auto" w:fill="FFFFFF" w:themeFill="background1"/>
          </w:tcPr>
          <w:p w14:paraId="778BEA26"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104 (91 – 116)</w:t>
            </w:r>
          </w:p>
        </w:tc>
      </w:tr>
      <w:tr w:rsidR="002C3030" w:rsidRPr="00D42B67" w14:paraId="602C9292"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751FEB0F" w14:textId="77777777" w:rsidR="002C3030" w:rsidRPr="00D42B67" w:rsidRDefault="002C3030" w:rsidP="005C283F">
            <w:pPr>
              <w:spacing w:beforeLines="20" w:before="48" w:afterLines="20" w:after="48"/>
              <w:jc w:val="both"/>
              <w:rPr>
                <w:rFonts w:ascii="Arial" w:hAnsi="Arial" w:cs="Arial"/>
                <w:color w:val="auto"/>
                <w:sz w:val="18"/>
                <w:szCs w:val="18"/>
                <w:lang w:val="en-US"/>
              </w:rPr>
            </w:pPr>
            <w:r w:rsidRPr="00D42B67">
              <w:rPr>
                <w:rFonts w:ascii="Arial" w:hAnsi="Arial" w:cs="Arial"/>
                <w:color w:val="auto"/>
                <w:sz w:val="18"/>
                <w:szCs w:val="18"/>
                <w:lang w:val="en-US"/>
              </w:rPr>
              <w:t>White cell count (x10</w:t>
            </w:r>
            <w:r w:rsidRPr="00D42B67">
              <w:rPr>
                <w:rFonts w:ascii="Arial" w:hAnsi="Arial" w:cs="Arial"/>
                <w:color w:val="auto"/>
                <w:sz w:val="18"/>
                <w:szCs w:val="18"/>
                <w:vertAlign w:val="superscript"/>
                <w:lang w:val="en-US"/>
              </w:rPr>
              <w:t>6</w:t>
            </w:r>
            <w:r w:rsidRPr="00D42B67">
              <w:rPr>
                <w:rFonts w:ascii="Arial" w:hAnsi="Arial" w:cs="Arial"/>
                <w:color w:val="auto"/>
                <w:sz w:val="18"/>
                <w:szCs w:val="18"/>
                <w:lang w:val="en-US"/>
              </w:rPr>
              <w:t>/mm</w:t>
            </w:r>
            <w:r w:rsidRPr="00D42B67">
              <w:rPr>
                <w:rFonts w:ascii="Arial" w:hAnsi="Arial" w:cs="Arial"/>
                <w:color w:val="auto"/>
                <w:sz w:val="18"/>
                <w:szCs w:val="18"/>
                <w:vertAlign w:val="superscript"/>
                <w:lang w:val="en-US"/>
              </w:rPr>
              <w:t>3</w:t>
            </w:r>
            <w:r w:rsidRPr="00D42B67">
              <w:rPr>
                <w:rFonts w:ascii="Arial" w:hAnsi="Arial" w:cs="Arial"/>
                <w:color w:val="auto"/>
                <w:sz w:val="18"/>
                <w:szCs w:val="18"/>
                <w:lang w:val="en-US"/>
              </w:rPr>
              <w:t>)</w:t>
            </w:r>
          </w:p>
        </w:tc>
        <w:tc>
          <w:tcPr>
            <w:tcW w:w="1701" w:type="dxa"/>
            <w:shd w:val="clear" w:color="auto" w:fill="FFFFFF" w:themeFill="background1"/>
          </w:tcPr>
          <w:p w14:paraId="6489A5C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8.0 (5.8 – 12.3)</w:t>
            </w:r>
          </w:p>
        </w:tc>
        <w:tc>
          <w:tcPr>
            <w:tcW w:w="1701" w:type="dxa"/>
            <w:shd w:val="clear" w:color="auto" w:fill="FFFFFF" w:themeFill="background1"/>
          </w:tcPr>
          <w:p w14:paraId="0FA9523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10.1 (7.0 – 14.4)</w:t>
            </w:r>
          </w:p>
        </w:tc>
        <w:tc>
          <w:tcPr>
            <w:tcW w:w="1701" w:type="dxa"/>
            <w:shd w:val="clear" w:color="auto" w:fill="FFFFFF" w:themeFill="background1"/>
          </w:tcPr>
          <w:p w14:paraId="6DC37459"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8.2 (5.9 – 11.4)</w:t>
            </w:r>
          </w:p>
        </w:tc>
        <w:tc>
          <w:tcPr>
            <w:tcW w:w="1609" w:type="dxa"/>
            <w:shd w:val="clear" w:color="auto" w:fill="FFFFFF" w:themeFill="background1"/>
          </w:tcPr>
          <w:p w14:paraId="7E5363E7"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10.0 (7.0 – 13.6)</w:t>
            </w:r>
          </w:p>
        </w:tc>
      </w:tr>
      <w:tr w:rsidR="002C3030" w:rsidRPr="00D42B67" w14:paraId="545CEFD1"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28FFDC68"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Neutrophils (x10</w:t>
            </w:r>
            <w:r w:rsidRPr="00D42B67">
              <w:rPr>
                <w:rFonts w:ascii="Arial" w:hAnsi="Arial" w:cs="Arial"/>
                <w:color w:val="auto"/>
                <w:sz w:val="18"/>
                <w:szCs w:val="18"/>
                <w:vertAlign w:val="superscript"/>
              </w:rPr>
              <w:t>6</w:t>
            </w:r>
            <w:r w:rsidRPr="00D42B67">
              <w:rPr>
                <w:rFonts w:ascii="Arial" w:hAnsi="Arial" w:cs="Arial"/>
                <w:color w:val="auto"/>
                <w:sz w:val="18"/>
                <w:szCs w:val="18"/>
              </w:rPr>
              <w:t>/mm</w:t>
            </w:r>
            <w:r w:rsidRPr="00D42B67">
              <w:rPr>
                <w:rFonts w:ascii="Arial" w:hAnsi="Arial" w:cs="Arial"/>
                <w:color w:val="auto"/>
                <w:sz w:val="18"/>
                <w:szCs w:val="18"/>
                <w:vertAlign w:val="superscript"/>
              </w:rPr>
              <w:t>3</w:t>
            </w:r>
            <w:r w:rsidRPr="00D42B67">
              <w:rPr>
                <w:rFonts w:ascii="Arial" w:hAnsi="Arial" w:cs="Arial"/>
                <w:color w:val="auto"/>
                <w:sz w:val="18"/>
                <w:szCs w:val="18"/>
              </w:rPr>
              <w:t>)</w:t>
            </w:r>
          </w:p>
        </w:tc>
        <w:tc>
          <w:tcPr>
            <w:tcW w:w="1701" w:type="dxa"/>
            <w:shd w:val="clear" w:color="auto" w:fill="FFFFFF" w:themeFill="background1"/>
          </w:tcPr>
          <w:p w14:paraId="7AB754CC"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5.6 (3.8 – 9.3)</w:t>
            </w:r>
          </w:p>
        </w:tc>
        <w:tc>
          <w:tcPr>
            <w:tcW w:w="1701" w:type="dxa"/>
            <w:shd w:val="clear" w:color="auto" w:fill="FFFFFF" w:themeFill="background1"/>
          </w:tcPr>
          <w:p w14:paraId="663D2033"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7.8 (4.8 – 11.3)</w:t>
            </w:r>
          </w:p>
        </w:tc>
        <w:tc>
          <w:tcPr>
            <w:tcW w:w="1701" w:type="dxa"/>
            <w:shd w:val="clear" w:color="auto" w:fill="FFFFFF" w:themeFill="background1"/>
          </w:tcPr>
          <w:p w14:paraId="52093BBD"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5.7 (4.0 – 8.8)</w:t>
            </w:r>
          </w:p>
        </w:tc>
        <w:tc>
          <w:tcPr>
            <w:tcW w:w="1609" w:type="dxa"/>
            <w:shd w:val="clear" w:color="auto" w:fill="FFFFFF" w:themeFill="background1"/>
          </w:tcPr>
          <w:p w14:paraId="47459B20"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7.3 (5.1 – 10.6)</w:t>
            </w:r>
          </w:p>
        </w:tc>
      </w:tr>
      <w:tr w:rsidR="002C3030" w:rsidRPr="00D42B67" w14:paraId="76540E4A"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0C6912ED"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Bilirubin (µmol/L)</w:t>
            </w:r>
          </w:p>
        </w:tc>
        <w:tc>
          <w:tcPr>
            <w:tcW w:w="1701" w:type="dxa"/>
            <w:shd w:val="clear" w:color="auto" w:fill="FFFFFF" w:themeFill="background1"/>
          </w:tcPr>
          <w:p w14:paraId="3607B416"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244 (164 – 374)</w:t>
            </w:r>
          </w:p>
        </w:tc>
        <w:tc>
          <w:tcPr>
            <w:tcW w:w="1701" w:type="dxa"/>
            <w:shd w:val="clear" w:color="auto" w:fill="FFFFFF" w:themeFill="background1"/>
          </w:tcPr>
          <w:p w14:paraId="60948D5A"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361 (211 – 463)</w:t>
            </w:r>
          </w:p>
        </w:tc>
        <w:tc>
          <w:tcPr>
            <w:tcW w:w="1701" w:type="dxa"/>
            <w:shd w:val="clear" w:color="auto" w:fill="FFFFFF" w:themeFill="background1"/>
          </w:tcPr>
          <w:p w14:paraId="3DFF9BF9"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256 (144 – 376)</w:t>
            </w:r>
          </w:p>
        </w:tc>
        <w:tc>
          <w:tcPr>
            <w:tcW w:w="1609" w:type="dxa"/>
            <w:shd w:val="clear" w:color="auto" w:fill="FFFFFF" w:themeFill="background1"/>
          </w:tcPr>
          <w:p w14:paraId="120F76FA"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309 (188 – 464)</w:t>
            </w:r>
          </w:p>
        </w:tc>
      </w:tr>
      <w:tr w:rsidR="002C3030" w:rsidRPr="00D42B67" w14:paraId="63FF52C3"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11B512F0"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ALT (IU/L)</w:t>
            </w:r>
          </w:p>
        </w:tc>
        <w:tc>
          <w:tcPr>
            <w:tcW w:w="1701" w:type="dxa"/>
            <w:shd w:val="clear" w:color="auto" w:fill="FFFFFF" w:themeFill="background1"/>
          </w:tcPr>
          <w:p w14:paraId="6AA443F2"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42 (30 – 60)</w:t>
            </w:r>
          </w:p>
        </w:tc>
        <w:tc>
          <w:tcPr>
            <w:tcW w:w="1701" w:type="dxa"/>
            <w:shd w:val="clear" w:color="auto" w:fill="FFFFFF" w:themeFill="background1"/>
          </w:tcPr>
          <w:p w14:paraId="3ACF950C"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43 (30 – 59)</w:t>
            </w:r>
          </w:p>
        </w:tc>
        <w:tc>
          <w:tcPr>
            <w:tcW w:w="1701" w:type="dxa"/>
            <w:shd w:val="clear" w:color="auto" w:fill="FFFFFF" w:themeFill="background1"/>
          </w:tcPr>
          <w:p w14:paraId="4895CA0C"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41 (29 – 61)</w:t>
            </w:r>
          </w:p>
        </w:tc>
        <w:tc>
          <w:tcPr>
            <w:tcW w:w="1609" w:type="dxa"/>
            <w:shd w:val="clear" w:color="auto" w:fill="FFFFFF" w:themeFill="background1"/>
          </w:tcPr>
          <w:p w14:paraId="3574FC49"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47 (31 – 63)</w:t>
            </w:r>
          </w:p>
        </w:tc>
      </w:tr>
      <w:tr w:rsidR="002C3030" w:rsidRPr="00D42B67" w14:paraId="7FD52FD0"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5516DF4D"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AST (IU/L)</w:t>
            </w:r>
          </w:p>
        </w:tc>
        <w:tc>
          <w:tcPr>
            <w:tcW w:w="1701" w:type="dxa"/>
            <w:shd w:val="clear" w:color="auto" w:fill="FFFFFF" w:themeFill="background1"/>
          </w:tcPr>
          <w:p w14:paraId="69816C5B"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115 (84 – 162)</w:t>
            </w:r>
          </w:p>
        </w:tc>
        <w:tc>
          <w:tcPr>
            <w:tcW w:w="1701" w:type="dxa"/>
            <w:shd w:val="clear" w:color="auto" w:fill="FFFFFF" w:themeFill="background1"/>
          </w:tcPr>
          <w:p w14:paraId="2526C1AB"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115 (81 – 158)</w:t>
            </w:r>
          </w:p>
        </w:tc>
        <w:tc>
          <w:tcPr>
            <w:tcW w:w="1701" w:type="dxa"/>
            <w:shd w:val="clear" w:color="auto" w:fill="FFFFFF" w:themeFill="background1"/>
          </w:tcPr>
          <w:p w14:paraId="5AE07218"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118 (86 – 150)</w:t>
            </w:r>
          </w:p>
        </w:tc>
        <w:tc>
          <w:tcPr>
            <w:tcW w:w="1609" w:type="dxa"/>
            <w:shd w:val="clear" w:color="auto" w:fill="FFFFFF" w:themeFill="background1"/>
          </w:tcPr>
          <w:p w14:paraId="6F85ECAA"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118 (94 – 160)</w:t>
            </w:r>
          </w:p>
        </w:tc>
      </w:tr>
      <w:tr w:rsidR="002C3030" w:rsidRPr="00D42B67" w14:paraId="56ACBAE1"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30983AB8"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Albumin (g/L)</w:t>
            </w:r>
          </w:p>
        </w:tc>
        <w:tc>
          <w:tcPr>
            <w:tcW w:w="1701" w:type="dxa"/>
            <w:shd w:val="clear" w:color="auto" w:fill="FFFFFF" w:themeFill="background1"/>
          </w:tcPr>
          <w:p w14:paraId="5B117DEF"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26 (21 – 29)</w:t>
            </w:r>
          </w:p>
        </w:tc>
        <w:tc>
          <w:tcPr>
            <w:tcW w:w="1701" w:type="dxa"/>
            <w:shd w:val="clear" w:color="auto" w:fill="FFFFFF" w:themeFill="background1"/>
          </w:tcPr>
          <w:p w14:paraId="4919128A"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25 (21 – 31)</w:t>
            </w:r>
          </w:p>
        </w:tc>
        <w:tc>
          <w:tcPr>
            <w:tcW w:w="1701" w:type="dxa"/>
            <w:shd w:val="clear" w:color="auto" w:fill="FFFFFF" w:themeFill="background1"/>
          </w:tcPr>
          <w:p w14:paraId="61E9145E"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25 (22 – 29)</w:t>
            </w:r>
          </w:p>
        </w:tc>
        <w:tc>
          <w:tcPr>
            <w:tcW w:w="1609" w:type="dxa"/>
            <w:shd w:val="clear" w:color="auto" w:fill="FFFFFF" w:themeFill="background1"/>
          </w:tcPr>
          <w:p w14:paraId="45BF4AFE"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25 (20 – 29)</w:t>
            </w:r>
          </w:p>
        </w:tc>
      </w:tr>
      <w:tr w:rsidR="002C3030" w:rsidRPr="00D42B67" w14:paraId="1AF6E38E"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3B8A23F4"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Urea (mmol/L)</w:t>
            </w:r>
          </w:p>
        </w:tc>
        <w:tc>
          <w:tcPr>
            <w:tcW w:w="1701" w:type="dxa"/>
            <w:shd w:val="clear" w:color="auto" w:fill="FFFFFF" w:themeFill="background1"/>
          </w:tcPr>
          <w:p w14:paraId="3D9215CB"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3.0 (2.1 – 4.5)</w:t>
            </w:r>
          </w:p>
        </w:tc>
        <w:tc>
          <w:tcPr>
            <w:tcW w:w="1701" w:type="dxa"/>
            <w:shd w:val="clear" w:color="auto" w:fill="FFFFFF" w:themeFill="background1"/>
          </w:tcPr>
          <w:p w14:paraId="285AD188"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4.2 (2.8 – 7.7)</w:t>
            </w:r>
          </w:p>
        </w:tc>
        <w:tc>
          <w:tcPr>
            <w:tcW w:w="1701" w:type="dxa"/>
            <w:shd w:val="clear" w:color="auto" w:fill="FFFFFF" w:themeFill="background1"/>
          </w:tcPr>
          <w:p w14:paraId="3F251E81"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3.1 (2.0 – 4.8)</w:t>
            </w:r>
          </w:p>
        </w:tc>
        <w:tc>
          <w:tcPr>
            <w:tcW w:w="1609" w:type="dxa"/>
            <w:shd w:val="clear" w:color="auto" w:fill="FFFFFF" w:themeFill="background1"/>
          </w:tcPr>
          <w:p w14:paraId="0E101B60"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5.1 (2.9 – 7.5)</w:t>
            </w:r>
          </w:p>
        </w:tc>
      </w:tr>
      <w:tr w:rsidR="002C3030" w:rsidRPr="00D42B67" w14:paraId="3E188A54"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0C848279"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Creatinine (µmol/L)</w:t>
            </w:r>
          </w:p>
        </w:tc>
        <w:tc>
          <w:tcPr>
            <w:tcW w:w="1701" w:type="dxa"/>
            <w:shd w:val="clear" w:color="auto" w:fill="FFFFFF" w:themeFill="background1"/>
          </w:tcPr>
          <w:p w14:paraId="528E2529"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61 (51 – 74)</w:t>
            </w:r>
          </w:p>
        </w:tc>
        <w:tc>
          <w:tcPr>
            <w:tcW w:w="1701" w:type="dxa"/>
            <w:shd w:val="clear" w:color="auto" w:fill="FFFFFF" w:themeFill="background1"/>
          </w:tcPr>
          <w:p w14:paraId="3234817E"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74 (59 – 108)</w:t>
            </w:r>
          </w:p>
        </w:tc>
        <w:tc>
          <w:tcPr>
            <w:tcW w:w="1701" w:type="dxa"/>
            <w:shd w:val="clear" w:color="auto" w:fill="FFFFFF" w:themeFill="background1"/>
          </w:tcPr>
          <w:p w14:paraId="23589252"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62 (50 – 79)</w:t>
            </w:r>
          </w:p>
        </w:tc>
        <w:tc>
          <w:tcPr>
            <w:tcW w:w="1609" w:type="dxa"/>
            <w:shd w:val="clear" w:color="auto" w:fill="FFFFFF" w:themeFill="background1"/>
          </w:tcPr>
          <w:p w14:paraId="17F21B93"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78 (59 – 111)</w:t>
            </w:r>
          </w:p>
        </w:tc>
      </w:tr>
      <w:tr w:rsidR="002C3030" w:rsidRPr="00D42B67" w14:paraId="7CA3B003"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4E7F8DA2"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INR</w:t>
            </w:r>
          </w:p>
        </w:tc>
        <w:tc>
          <w:tcPr>
            <w:tcW w:w="1701" w:type="dxa"/>
            <w:shd w:val="clear" w:color="auto" w:fill="FFFFFF" w:themeFill="background1"/>
          </w:tcPr>
          <w:p w14:paraId="0E6966E2"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1.7 (1.5 – 2.0)</w:t>
            </w:r>
          </w:p>
        </w:tc>
        <w:tc>
          <w:tcPr>
            <w:tcW w:w="1701" w:type="dxa"/>
            <w:shd w:val="clear" w:color="auto" w:fill="FFFFFF" w:themeFill="background1"/>
          </w:tcPr>
          <w:p w14:paraId="7C9C963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1.9 (1.7 – 2.4)</w:t>
            </w:r>
          </w:p>
        </w:tc>
        <w:tc>
          <w:tcPr>
            <w:tcW w:w="1701" w:type="dxa"/>
            <w:shd w:val="clear" w:color="auto" w:fill="FFFFFF" w:themeFill="background1"/>
          </w:tcPr>
          <w:p w14:paraId="1E3B729B"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1.7 (1.5 – 2.0)</w:t>
            </w:r>
          </w:p>
        </w:tc>
        <w:tc>
          <w:tcPr>
            <w:tcW w:w="1609" w:type="dxa"/>
            <w:shd w:val="clear" w:color="auto" w:fill="FFFFFF" w:themeFill="background1"/>
          </w:tcPr>
          <w:p w14:paraId="69A867D1"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1.9 (1.7 – 2.2)</w:t>
            </w:r>
          </w:p>
        </w:tc>
      </w:tr>
      <w:tr w:rsidR="002C3030" w:rsidRPr="00D42B67" w14:paraId="2F9EA0BD"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2EA4634B"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DF</w:t>
            </w:r>
          </w:p>
        </w:tc>
        <w:tc>
          <w:tcPr>
            <w:tcW w:w="1701" w:type="dxa"/>
            <w:shd w:val="clear" w:color="auto" w:fill="FFFFFF" w:themeFill="background1"/>
          </w:tcPr>
          <w:p w14:paraId="738205FD"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53 (41 – 70)</w:t>
            </w:r>
          </w:p>
        </w:tc>
        <w:tc>
          <w:tcPr>
            <w:tcW w:w="1701" w:type="dxa"/>
            <w:shd w:val="clear" w:color="auto" w:fill="FFFFFF" w:themeFill="background1"/>
          </w:tcPr>
          <w:p w14:paraId="5E2CC1A1"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70 (54 – 91)</w:t>
            </w:r>
          </w:p>
        </w:tc>
        <w:tc>
          <w:tcPr>
            <w:tcW w:w="1701" w:type="dxa"/>
            <w:shd w:val="clear" w:color="auto" w:fill="FFFFFF" w:themeFill="background1"/>
          </w:tcPr>
          <w:p w14:paraId="760D2E1A"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52 (42 – 66)</w:t>
            </w:r>
          </w:p>
        </w:tc>
        <w:tc>
          <w:tcPr>
            <w:tcW w:w="1609" w:type="dxa"/>
            <w:shd w:val="clear" w:color="auto" w:fill="FFFFFF" w:themeFill="background1"/>
          </w:tcPr>
          <w:p w14:paraId="72AE9BDF"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68 (52 – 85)</w:t>
            </w:r>
          </w:p>
        </w:tc>
      </w:tr>
      <w:tr w:rsidR="002C3030" w:rsidRPr="00D42B67" w14:paraId="21E9004E"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73894DB2" w14:textId="77777777" w:rsidR="002C3030" w:rsidRPr="00D42B67" w:rsidRDefault="002C3030" w:rsidP="005C283F">
            <w:pPr>
              <w:spacing w:beforeLines="20" w:before="48" w:afterLines="20" w:after="48"/>
              <w:jc w:val="both"/>
              <w:rPr>
                <w:rFonts w:ascii="Arial" w:hAnsi="Arial" w:cs="Arial"/>
                <w:color w:val="auto"/>
                <w:sz w:val="18"/>
                <w:szCs w:val="18"/>
              </w:rPr>
            </w:pPr>
            <w:r w:rsidRPr="00D42B67">
              <w:rPr>
                <w:rFonts w:ascii="Arial" w:hAnsi="Arial" w:cs="Arial"/>
                <w:color w:val="auto"/>
                <w:sz w:val="18"/>
                <w:szCs w:val="18"/>
              </w:rPr>
              <w:t>MELD</w:t>
            </w:r>
          </w:p>
        </w:tc>
        <w:tc>
          <w:tcPr>
            <w:tcW w:w="1701" w:type="dxa"/>
            <w:shd w:val="clear" w:color="auto" w:fill="FFFFFF" w:themeFill="background1"/>
          </w:tcPr>
          <w:p w14:paraId="75769A1A"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23 (21 – 25)</w:t>
            </w:r>
          </w:p>
        </w:tc>
        <w:tc>
          <w:tcPr>
            <w:tcW w:w="1701" w:type="dxa"/>
            <w:shd w:val="clear" w:color="auto" w:fill="FFFFFF" w:themeFill="background1"/>
          </w:tcPr>
          <w:p w14:paraId="6202BBC6"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25 (23 – 30)</w:t>
            </w:r>
          </w:p>
        </w:tc>
        <w:tc>
          <w:tcPr>
            <w:tcW w:w="1701" w:type="dxa"/>
            <w:shd w:val="clear" w:color="auto" w:fill="FFFFFF" w:themeFill="background1"/>
          </w:tcPr>
          <w:p w14:paraId="1DEA7D2A"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22 (20 – 25)</w:t>
            </w:r>
          </w:p>
        </w:tc>
        <w:tc>
          <w:tcPr>
            <w:tcW w:w="1609" w:type="dxa"/>
            <w:shd w:val="clear" w:color="auto" w:fill="FFFFFF" w:themeFill="background1"/>
          </w:tcPr>
          <w:p w14:paraId="47D06CC1"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26 (23 – 29)</w:t>
            </w:r>
          </w:p>
        </w:tc>
      </w:tr>
      <w:tr w:rsidR="002C3030" w:rsidRPr="00D42B67" w14:paraId="6B96F21B"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02BD8229" w14:textId="77777777" w:rsidR="002C3030" w:rsidRPr="00D42B67" w:rsidRDefault="002C3030" w:rsidP="005C283F">
            <w:pPr>
              <w:spacing w:beforeLines="20" w:before="48" w:afterLines="20" w:after="48"/>
              <w:jc w:val="both"/>
              <w:rPr>
                <w:rFonts w:ascii="Arial" w:hAnsi="Arial" w:cs="Arial"/>
                <w:color w:val="000000" w:themeColor="text1"/>
                <w:sz w:val="18"/>
                <w:szCs w:val="18"/>
              </w:rPr>
            </w:pPr>
            <w:r w:rsidRPr="00D42B67">
              <w:rPr>
                <w:rFonts w:ascii="Arial" w:hAnsi="Arial" w:cs="Arial"/>
                <w:color w:val="000000" w:themeColor="text1"/>
                <w:sz w:val="18"/>
                <w:szCs w:val="18"/>
              </w:rPr>
              <w:t>K18-M30 (kIU/L)</w:t>
            </w:r>
          </w:p>
        </w:tc>
        <w:tc>
          <w:tcPr>
            <w:tcW w:w="1701" w:type="dxa"/>
            <w:shd w:val="clear" w:color="auto" w:fill="FFFFFF" w:themeFill="background1"/>
          </w:tcPr>
          <w:p w14:paraId="3B371FDC"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1.54 (0.89 – 3.07)</w:t>
            </w:r>
          </w:p>
        </w:tc>
        <w:tc>
          <w:tcPr>
            <w:tcW w:w="1701" w:type="dxa"/>
            <w:shd w:val="clear" w:color="auto" w:fill="FFFFFF" w:themeFill="background1"/>
          </w:tcPr>
          <w:p w14:paraId="4CCE00E8"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2.53 (1.11 – 6.06)</w:t>
            </w:r>
          </w:p>
        </w:tc>
        <w:tc>
          <w:tcPr>
            <w:tcW w:w="1701" w:type="dxa"/>
            <w:shd w:val="clear" w:color="auto" w:fill="FFFFFF" w:themeFill="background1"/>
          </w:tcPr>
          <w:p w14:paraId="1605A7CA"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1.50 (0.96 – 2.93)</w:t>
            </w:r>
          </w:p>
        </w:tc>
        <w:tc>
          <w:tcPr>
            <w:tcW w:w="1609" w:type="dxa"/>
            <w:shd w:val="clear" w:color="auto" w:fill="FFFFFF" w:themeFill="background1"/>
          </w:tcPr>
          <w:p w14:paraId="7202AC3F"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2.47 (1.21 – 4.34)</w:t>
            </w:r>
          </w:p>
        </w:tc>
      </w:tr>
      <w:tr w:rsidR="002C3030" w:rsidRPr="00D42B67" w14:paraId="798E5ACD"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18D2F484" w14:textId="77777777" w:rsidR="002C3030" w:rsidRPr="00D42B67" w:rsidRDefault="002C3030" w:rsidP="005C283F">
            <w:pPr>
              <w:spacing w:beforeLines="20" w:before="48" w:afterLines="20" w:after="48"/>
              <w:jc w:val="both"/>
              <w:rPr>
                <w:rFonts w:ascii="Arial" w:hAnsi="Arial" w:cs="Arial"/>
                <w:color w:val="000000" w:themeColor="text1"/>
                <w:sz w:val="18"/>
                <w:szCs w:val="18"/>
              </w:rPr>
            </w:pPr>
            <w:r w:rsidRPr="00D42B67">
              <w:rPr>
                <w:rFonts w:ascii="Arial" w:hAnsi="Arial" w:cs="Arial"/>
                <w:color w:val="000000" w:themeColor="text1"/>
                <w:sz w:val="18"/>
                <w:szCs w:val="18"/>
              </w:rPr>
              <w:t>K18-M65 (kIU/L)</w:t>
            </w:r>
          </w:p>
        </w:tc>
        <w:tc>
          <w:tcPr>
            <w:tcW w:w="1701" w:type="dxa"/>
            <w:shd w:val="clear" w:color="auto" w:fill="FFFFFF" w:themeFill="background1"/>
          </w:tcPr>
          <w:p w14:paraId="6FFB256C"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3.98 (2.31 – 6.21)</w:t>
            </w:r>
          </w:p>
        </w:tc>
        <w:tc>
          <w:tcPr>
            <w:tcW w:w="1701" w:type="dxa"/>
            <w:shd w:val="clear" w:color="auto" w:fill="FFFFFF" w:themeFill="background1"/>
          </w:tcPr>
          <w:p w14:paraId="10D7864A"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5.58 (3.19 – 9.58)</w:t>
            </w:r>
          </w:p>
        </w:tc>
        <w:tc>
          <w:tcPr>
            <w:tcW w:w="1701" w:type="dxa"/>
            <w:shd w:val="clear" w:color="auto" w:fill="FFFFFF" w:themeFill="background1"/>
          </w:tcPr>
          <w:p w14:paraId="374787A5"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3.94 (2.44 – 6.54)</w:t>
            </w:r>
          </w:p>
        </w:tc>
        <w:tc>
          <w:tcPr>
            <w:tcW w:w="1609" w:type="dxa"/>
            <w:shd w:val="clear" w:color="auto" w:fill="FFFFFF" w:themeFill="background1"/>
          </w:tcPr>
          <w:p w14:paraId="4E2B98B6"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5.86 (3.29 – 8.46)</w:t>
            </w:r>
          </w:p>
        </w:tc>
      </w:tr>
      <w:tr w:rsidR="002C3030" w:rsidRPr="00D42B67" w14:paraId="658E350A" w14:textId="77777777" w:rsidTr="005C28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tcBorders>
            <w:shd w:val="clear" w:color="auto" w:fill="FFFFFF" w:themeFill="background1"/>
          </w:tcPr>
          <w:p w14:paraId="653E5EC2" w14:textId="77777777" w:rsidR="002C3030" w:rsidRPr="00D42B67" w:rsidRDefault="002C3030" w:rsidP="005C283F">
            <w:pPr>
              <w:spacing w:beforeLines="20" w:before="48" w:afterLines="20" w:after="48"/>
              <w:jc w:val="both"/>
              <w:rPr>
                <w:rFonts w:ascii="Arial" w:hAnsi="Arial" w:cs="Arial"/>
                <w:color w:val="000000" w:themeColor="text1"/>
                <w:sz w:val="18"/>
                <w:szCs w:val="18"/>
              </w:rPr>
            </w:pPr>
            <w:r w:rsidRPr="00D42B67">
              <w:rPr>
                <w:rFonts w:ascii="Arial" w:hAnsi="Arial" w:cs="Arial"/>
                <w:color w:val="000000" w:themeColor="text1"/>
                <w:sz w:val="18"/>
                <w:szCs w:val="18"/>
              </w:rPr>
              <w:t>K18-M30:M65 ratio</w:t>
            </w:r>
          </w:p>
        </w:tc>
        <w:tc>
          <w:tcPr>
            <w:tcW w:w="1701" w:type="dxa"/>
            <w:shd w:val="clear" w:color="auto" w:fill="FFFFFF" w:themeFill="background1"/>
          </w:tcPr>
          <w:p w14:paraId="24C63516"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0.45 (0.39 – 0.53)</w:t>
            </w:r>
          </w:p>
        </w:tc>
        <w:tc>
          <w:tcPr>
            <w:tcW w:w="1701" w:type="dxa"/>
            <w:shd w:val="clear" w:color="auto" w:fill="FFFFFF" w:themeFill="background1"/>
          </w:tcPr>
          <w:p w14:paraId="62EF4317"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0.49 (0.38 – 0.65)</w:t>
            </w:r>
          </w:p>
        </w:tc>
        <w:tc>
          <w:tcPr>
            <w:tcW w:w="1701" w:type="dxa"/>
            <w:shd w:val="clear" w:color="auto" w:fill="FFFFFF" w:themeFill="background1"/>
          </w:tcPr>
          <w:p w14:paraId="0FEDA8BE"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0.45 (0.38 – 0.52)</w:t>
            </w:r>
          </w:p>
        </w:tc>
        <w:tc>
          <w:tcPr>
            <w:tcW w:w="1609" w:type="dxa"/>
            <w:shd w:val="clear" w:color="auto" w:fill="FFFFFF" w:themeFill="background1"/>
          </w:tcPr>
          <w:p w14:paraId="2B6F3D44" w14:textId="77777777" w:rsidR="002C3030" w:rsidRPr="00D42B67" w:rsidRDefault="002C3030" w:rsidP="005C283F">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2B67">
              <w:rPr>
                <w:rFonts w:ascii="Arial" w:hAnsi="Arial" w:cs="Arial"/>
                <w:sz w:val="18"/>
                <w:szCs w:val="18"/>
              </w:rPr>
              <w:t>0.47 (0.39 – 0.54)</w:t>
            </w:r>
          </w:p>
        </w:tc>
      </w:tr>
      <w:tr w:rsidR="002C3030" w:rsidRPr="00D42B67" w14:paraId="496D03E9" w14:textId="77777777" w:rsidTr="005C283F">
        <w:trPr>
          <w:jc w:val="center"/>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bottom w:val="none" w:sz="0" w:space="0" w:color="auto"/>
            </w:tcBorders>
            <w:shd w:val="clear" w:color="auto" w:fill="FFFFFF" w:themeFill="background1"/>
          </w:tcPr>
          <w:p w14:paraId="1B95AA95" w14:textId="77777777" w:rsidR="002C3030" w:rsidRPr="00D42B67" w:rsidRDefault="002C3030" w:rsidP="005C283F">
            <w:pPr>
              <w:spacing w:beforeLines="20" w:before="48" w:afterLines="20" w:after="48"/>
              <w:jc w:val="both"/>
              <w:rPr>
                <w:rFonts w:ascii="Arial" w:hAnsi="Arial" w:cs="Arial"/>
                <w:color w:val="000000" w:themeColor="text1"/>
                <w:sz w:val="18"/>
                <w:szCs w:val="18"/>
              </w:rPr>
            </w:pPr>
            <w:r w:rsidRPr="00D42B67">
              <w:rPr>
                <w:rFonts w:ascii="Arial" w:hAnsi="Arial" w:cs="Arial"/>
                <w:color w:val="000000" w:themeColor="text1"/>
                <w:sz w:val="18"/>
                <w:szCs w:val="18"/>
              </w:rPr>
              <w:t>High K18-M30*</w:t>
            </w:r>
          </w:p>
        </w:tc>
        <w:tc>
          <w:tcPr>
            <w:tcW w:w="1701" w:type="dxa"/>
            <w:shd w:val="clear" w:color="auto" w:fill="FFFFFF" w:themeFill="background1"/>
          </w:tcPr>
          <w:p w14:paraId="57BDE9D3"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26 (8%)</w:t>
            </w:r>
          </w:p>
        </w:tc>
        <w:tc>
          <w:tcPr>
            <w:tcW w:w="1701" w:type="dxa"/>
            <w:shd w:val="clear" w:color="auto" w:fill="FFFFFF" w:themeFill="background1"/>
          </w:tcPr>
          <w:p w14:paraId="2BC0195F"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30 (31%)</w:t>
            </w:r>
          </w:p>
        </w:tc>
        <w:tc>
          <w:tcPr>
            <w:tcW w:w="1701" w:type="dxa"/>
            <w:shd w:val="clear" w:color="auto" w:fill="FFFFFF" w:themeFill="background1"/>
          </w:tcPr>
          <w:p w14:paraId="039A2390"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32 (10%)</w:t>
            </w:r>
          </w:p>
        </w:tc>
        <w:tc>
          <w:tcPr>
            <w:tcW w:w="1609" w:type="dxa"/>
            <w:shd w:val="clear" w:color="auto" w:fill="FFFFFF" w:themeFill="background1"/>
          </w:tcPr>
          <w:p w14:paraId="4B52FAD1" w14:textId="77777777" w:rsidR="002C3030" w:rsidRPr="00D42B67" w:rsidRDefault="002C3030" w:rsidP="005C283F">
            <w:pPr>
              <w:spacing w:beforeLines="20" w:before="48" w:afterLines="20" w:after="4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67">
              <w:rPr>
                <w:rFonts w:ascii="Arial" w:hAnsi="Arial" w:cs="Arial"/>
                <w:sz w:val="18"/>
                <w:szCs w:val="18"/>
              </w:rPr>
              <w:t>16 (17%)</w:t>
            </w:r>
          </w:p>
        </w:tc>
      </w:tr>
    </w:tbl>
    <w:p w14:paraId="763BCF44" w14:textId="77777777" w:rsidR="002C3030" w:rsidRPr="00D42B67" w:rsidRDefault="002C3030" w:rsidP="002C3030">
      <w:pPr>
        <w:spacing w:before="120" w:after="0" w:line="240" w:lineRule="auto"/>
        <w:jc w:val="both"/>
        <w:rPr>
          <w:rFonts w:ascii="Arial" w:hAnsi="Arial" w:cs="Arial"/>
          <w:sz w:val="18"/>
          <w:szCs w:val="18"/>
          <w:lang w:val="en-US"/>
        </w:rPr>
      </w:pPr>
      <w:r w:rsidRPr="00D42B67">
        <w:rPr>
          <w:rFonts w:ascii="Arial" w:hAnsi="Arial" w:cs="Arial"/>
          <w:sz w:val="18"/>
          <w:szCs w:val="18"/>
          <w:lang w:val="en-US"/>
        </w:rPr>
        <w:t xml:space="preserve">*High K18-M30 defined as serum K18-M30 &gt;5 </w:t>
      </w:r>
      <w:proofErr w:type="spellStart"/>
      <w:r w:rsidRPr="00D42B67">
        <w:rPr>
          <w:rFonts w:ascii="Arial" w:hAnsi="Arial" w:cs="Arial"/>
          <w:sz w:val="18"/>
          <w:szCs w:val="18"/>
          <w:lang w:val="en-US"/>
        </w:rPr>
        <w:t>kIU</w:t>
      </w:r>
      <w:proofErr w:type="spellEnd"/>
      <w:r w:rsidRPr="00D42B67">
        <w:rPr>
          <w:rFonts w:ascii="Arial" w:hAnsi="Arial" w:cs="Arial"/>
          <w:sz w:val="18"/>
          <w:szCs w:val="18"/>
          <w:lang w:val="en-US"/>
        </w:rPr>
        <w:t>/L</w:t>
      </w:r>
    </w:p>
    <w:p w14:paraId="6F8B6ACC" w14:textId="5BF5C54C" w:rsidR="002C3030" w:rsidRPr="00D42B67" w:rsidRDefault="002C3030" w:rsidP="002C3030">
      <w:pPr>
        <w:spacing w:before="120" w:after="0" w:line="240" w:lineRule="auto"/>
        <w:jc w:val="both"/>
        <w:rPr>
          <w:rFonts w:ascii="Arial" w:hAnsi="Arial" w:cs="Arial"/>
          <w:sz w:val="18"/>
          <w:szCs w:val="18"/>
          <w:lang w:val="en-US"/>
        </w:rPr>
      </w:pPr>
      <w:r w:rsidRPr="00D42B67">
        <w:rPr>
          <w:rFonts w:ascii="Arial" w:hAnsi="Arial" w:cs="Arial"/>
          <w:sz w:val="18"/>
          <w:szCs w:val="18"/>
          <w:lang w:val="en-US"/>
        </w:rPr>
        <w:t xml:space="preserve">ALT, alanine transaminase; AST, aspartate transaminase; INR, International </w:t>
      </w:r>
      <w:proofErr w:type="spellStart"/>
      <w:r w:rsidRPr="00D42B67">
        <w:rPr>
          <w:rFonts w:ascii="Arial" w:hAnsi="Arial" w:cs="Arial"/>
          <w:sz w:val="18"/>
          <w:szCs w:val="18"/>
          <w:lang w:val="en-US"/>
        </w:rPr>
        <w:t>Normalised</w:t>
      </w:r>
      <w:proofErr w:type="spellEnd"/>
      <w:r w:rsidRPr="00D42B67">
        <w:rPr>
          <w:rFonts w:ascii="Arial" w:hAnsi="Arial" w:cs="Arial"/>
          <w:sz w:val="18"/>
          <w:szCs w:val="18"/>
          <w:lang w:val="en-US"/>
        </w:rPr>
        <w:t xml:space="preserve"> Ratio; </w:t>
      </w:r>
      <w:r w:rsidRPr="00D42B67">
        <w:rPr>
          <w:rFonts w:ascii="Arial" w:eastAsia="OTNEJMQuadraat" w:hAnsi="Arial" w:cs="Arial"/>
          <w:sz w:val="18"/>
          <w:szCs w:val="18"/>
          <w:lang w:val="en-GB"/>
        </w:rPr>
        <w:t xml:space="preserve">DF, </w:t>
      </w:r>
      <w:proofErr w:type="spellStart"/>
      <w:r w:rsidRPr="00D42B67">
        <w:rPr>
          <w:rFonts w:ascii="Arial" w:eastAsia="OTNEJMQuadraat" w:hAnsi="Arial" w:cs="Arial"/>
          <w:sz w:val="18"/>
          <w:szCs w:val="18"/>
          <w:lang w:val="en-GB"/>
        </w:rPr>
        <w:t>Maddrey’s</w:t>
      </w:r>
      <w:proofErr w:type="spellEnd"/>
      <w:r w:rsidRPr="00D42B67">
        <w:rPr>
          <w:rFonts w:ascii="Arial" w:eastAsia="OTNEJMQuadraat" w:hAnsi="Arial" w:cs="Arial"/>
          <w:sz w:val="18"/>
          <w:szCs w:val="18"/>
          <w:lang w:val="en-GB"/>
        </w:rPr>
        <w:t xml:space="preserve"> discriminant function</w:t>
      </w:r>
      <w:r w:rsidRPr="00D42B67">
        <w:rPr>
          <w:rFonts w:ascii="Arial" w:hAnsi="Arial" w:cs="Arial"/>
          <w:sz w:val="18"/>
          <w:szCs w:val="18"/>
          <w:lang w:val="en-US"/>
        </w:rPr>
        <w:t>; MELD, Model for End-stage Liver Disease score; K18, keratin-18.</w:t>
      </w:r>
    </w:p>
    <w:p w14:paraId="528D0121" w14:textId="77777777" w:rsidR="002C3030" w:rsidRPr="00D42B67" w:rsidRDefault="002C3030" w:rsidP="002C3030">
      <w:pPr>
        <w:spacing w:after="160" w:line="259" w:lineRule="auto"/>
        <w:rPr>
          <w:rFonts w:ascii="Arial" w:hAnsi="Arial" w:cs="Arial"/>
          <w:b/>
          <w:noProof/>
          <w:lang w:val="en-US" w:eastAsia="de-DE"/>
        </w:rPr>
      </w:pPr>
      <w:r w:rsidRPr="00D42B67">
        <w:rPr>
          <w:rFonts w:ascii="Arial" w:hAnsi="Arial" w:cs="Arial"/>
          <w:b/>
          <w:noProof/>
          <w:lang w:val="en-US" w:eastAsia="de-DE"/>
        </w:rPr>
        <w:br w:type="page"/>
      </w:r>
    </w:p>
    <w:p w14:paraId="704BF432" w14:textId="23A07264" w:rsidR="00D81FD7" w:rsidRPr="00D42B67" w:rsidRDefault="00D81FD7" w:rsidP="00D81FD7">
      <w:pPr>
        <w:rPr>
          <w:rStyle w:val="Heading1Char"/>
          <w:rFonts w:ascii="Arial" w:eastAsiaTheme="minorHAnsi" w:hAnsi="Arial" w:cs="Arial"/>
          <w:color w:val="auto"/>
          <w:sz w:val="22"/>
          <w:lang w:val="en-US"/>
        </w:rPr>
      </w:pPr>
      <w:r w:rsidRPr="00D42B67">
        <w:rPr>
          <w:rStyle w:val="Heading1Char"/>
          <w:rFonts w:ascii="Arial" w:eastAsiaTheme="minorHAnsi" w:hAnsi="Arial" w:cs="Arial"/>
          <w:b/>
          <w:color w:val="auto"/>
          <w:sz w:val="22"/>
          <w:lang w:val="en-US"/>
        </w:rPr>
        <w:lastRenderedPageBreak/>
        <w:t xml:space="preserve">Supplementary Table </w:t>
      </w:r>
      <w:r w:rsidR="002C3030" w:rsidRPr="00D42B67">
        <w:rPr>
          <w:rStyle w:val="Heading1Char"/>
          <w:rFonts w:ascii="Arial" w:eastAsiaTheme="minorHAnsi" w:hAnsi="Arial" w:cs="Arial"/>
          <w:b/>
          <w:color w:val="auto"/>
          <w:sz w:val="22"/>
          <w:lang w:val="en-US"/>
        </w:rPr>
        <w:t>4</w:t>
      </w:r>
      <w:r w:rsidRPr="00D42B67">
        <w:rPr>
          <w:rStyle w:val="Heading1Char"/>
          <w:rFonts w:ascii="Arial" w:eastAsiaTheme="minorHAnsi" w:hAnsi="Arial" w:cs="Arial"/>
          <w:color w:val="auto"/>
          <w:sz w:val="22"/>
          <w:lang w:val="en-US"/>
        </w:rPr>
        <w:t>. Logistic regression analyses for serum K18 fragments in relation to 28-day mortality</w:t>
      </w:r>
    </w:p>
    <w:tbl>
      <w:tblPr>
        <w:tblStyle w:val="TableGrid"/>
        <w:tblW w:w="0" w:type="auto"/>
        <w:tblLook w:val="04A0" w:firstRow="1" w:lastRow="0" w:firstColumn="1" w:lastColumn="0" w:noHBand="0" w:noVBand="1"/>
      </w:tblPr>
      <w:tblGrid>
        <w:gridCol w:w="1696"/>
        <w:gridCol w:w="851"/>
        <w:gridCol w:w="1701"/>
        <w:gridCol w:w="992"/>
        <w:gridCol w:w="992"/>
        <w:gridCol w:w="1718"/>
        <w:gridCol w:w="1060"/>
      </w:tblGrid>
      <w:tr w:rsidR="00D81FD7" w:rsidRPr="00D42B67" w14:paraId="628A35F8" w14:textId="77777777" w:rsidTr="005C283F">
        <w:tc>
          <w:tcPr>
            <w:tcW w:w="1696" w:type="dxa"/>
          </w:tcPr>
          <w:p w14:paraId="2CE41E2C" w14:textId="77777777" w:rsidR="00D81FD7" w:rsidRPr="00D42B67" w:rsidRDefault="00D81FD7" w:rsidP="005C283F">
            <w:pPr>
              <w:spacing w:beforeLines="60" w:before="144" w:afterLines="60" w:after="144"/>
              <w:jc w:val="both"/>
              <w:rPr>
                <w:rFonts w:ascii="Arial" w:hAnsi="Arial" w:cs="Arial"/>
                <w:sz w:val="20"/>
                <w:szCs w:val="20"/>
                <w:lang w:val="en-US"/>
              </w:rPr>
            </w:pPr>
          </w:p>
        </w:tc>
        <w:tc>
          <w:tcPr>
            <w:tcW w:w="3544" w:type="dxa"/>
            <w:gridSpan w:val="3"/>
          </w:tcPr>
          <w:p w14:paraId="46664923"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Exploratory (- prednisolone)</w:t>
            </w:r>
          </w:p>
        </w:tc>
        <w:tc>
          <w:tcPr>
            <w:tcW w:w="3770" w:type="dxa"/>
            <w:gridSpan w:val="3"/>
          </w:tcPr>
          <w:p w14:paraId="5D10A4AC"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Validation (+ prednisolone)</w:t>
            </w:r>
          </w:p>
        </w:tc>
      </w:tr>
      <w:tr w:rsidR="00D81FD7" w:rsidRPr="00D42B67" w14:paraId="08B8FDC3" w14:textId="77777777" w:rsidTr="005C283F">
        <w:tc>
          <w:tcPr>
            <w:tcW w:w="1696" w:type="dxa"/>
          </w:tcPr>
          <w:p w14:paraId="6B4562FA" w14:textId="77777777" w:rsidR="00D81FD7" w:rsidRPr="00D42B67" w:rsidRDefault="00D81FD7" w:rsidP="005C283F">
            <w:pPr>
              <w:spacing w:beforeLines="60" w:before="144" w:afterLines="60" w:after="144"/>
              <w:jc w:val="both"/>
              <w:rPr>
                <w:rFonts w:ascii="Arial" w:hAnsi="Arial" w:cs="Arial"/>
                <w:sz w:val="20"/>
                <w:szCs w:val="20"/>
              </w:rPr>
            </w:pPr>
          </w:p>
        </w:tc>
        <w:tc>
          <w:tcPr>
            <w:tcW w:w="7314" w:type="dxa"/>
            <w:gridSpan w:val="6"/>
            <w:vAlign w:val="center"/>
          </w:tcPr>
          <w:p w14:paraId="5FF302A3"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Univariate Analysis</w:t>
            </w:r>
          </w:p>
        </w:tc>
      </w:tr>
      <w:tr w:rsidR="00D81FD7" w:rsidRPr="00D42B67" w14:paraId="64CEE9BA" w14:textId="77777777" w:rsidTr="005C283F">
        <w:tc>
          <w:tcPr>
            <w:tcW w:w="1696" w:type="dxa"/>
          </w:tcPr>
          <w:p w14:paraId="3BEBCD73" w14:textId="77777777" w:rsidR="00D81FD7" w:rsidRPr="00D42B67" w:rsidRDefault="00D81FD7" w:rsidP="005C283F">
            <w:pPr>
              <w:spacing w:beforeLines="60" w:before="144" w:afterLines="60" w:after="144"/>
              <w:jc w:val="both"/>
              <w:rPr>
                <w:rFonts w:ascii="Arial" w:hAnsi="Arial" w:cs="Arial"/>
                <w:sz w:val="20"/>
                <w:szCs w:val="20"/>
              </w:rPr>
            </w:pPr>
          </w:p>
        </w:tc>
        <w:tc>
          <w:tcPr>
            <w:tcW w:w="851" w:type="dxa"/>
          </w:tcPr>
          <w:p w14:paraId="603583AD"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OR*</w:t>
            </w:r>
          </w:p>
        </w:tc>
        <w:tc>
          <w:tcPr>
            <w:tcW w:w="1701" w:type="dxa"/>
          </w:tcPr>
          <w:p w14:paraId="000967F5"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95% CI</w:t>
            </w:r>
          </w:p>
        </w:tc>
        <w:tc>
          <w:tcPr>
            <w:tcW w:w="992" w:type="dxa"/>
          </w:tcPr>
          <w:p w14:paraId="03E5C8E5" w14:textId="77777777" w:rsidR="00D81FD7" w:rsidRPr="00D42B67" w:rsidRDefault="00D81FD7" w:rsidP="005C283F">
            <w:pPr>
              <w:spacing w:beforeLines="60" w:before="144" w:afterLines="60" w:after="144"/>
              <w:jc w:val="both"/>
              <w:rPr>
                <w:rFonts w:ascii="Arial" w:hAnsi="Arial" w:cs="Arial"/>
                <w:i/>
                <w:sz w:val="20"/>
                <w:szCs w:val="20"/>
              </w:rPr>
            </w:pPr>
            <w:r w:rsidRPr="00D42B67">
              <w:rPr>
                <w:rFonts w:ascii="Arial" w:hAnsi="Arial" w:cs="Arial"/>
                <w:i/>
                <w:sz w:val="20"/>
                <w:szCs w:val="20"/>
              </w:rPr>
              <w:t>p</w:t>
            </w:r>
          </w:p>
        </w:tc>
        <w:tc>
          <w:tcPr>
            <w:tcW w:w="992" w:type="dxa"/>
          </w:tcPr>
          <w:p w14:paraId="2158B716"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OR*</w:t>
            </w:r>
          </w:p>
        </w:tc>
        <w:tc>
          <w:tcPr>
            <w:tcW w:w="1718" w:type="dxa"/>
          </w:tcPr>
          <w:p w14:paraId="63748978"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sz w:val="20"/>
                <w:szCs w:val="20"/>
              </w:rPr>
              <w:t>95% CI</w:t>
            </w:r>
          </w:p>
        </w:tc>
        <w:tc>
          <w:tcPr>
            <w:tcW w:w="1060" w:type="dxa"/>
          </w:tcPr>
          <w:p w14:paraId="08CABD5A" w14:textId="77777777" w:rsidR="00D81FD7" w:rsidRPr="00D42B67" w:rsidRDefault="00D81FD7" w:rsidP="005C283F">
            <w:pPr>
              <w:spacing w:beforeLines="60" w:before="144" w:afterLines="60" w:after="144"/>
              <w:jc w:val="both"/>
              <w:rPr>
                <w:rFonts w:ascii="Arial" w:hAnsi="Arial" w:cs="Arial"/>
                <w:sz w:val="20"/>
                <w:szCs w:val="20"/>
              </w:rPr>
            </w:pPr>
            <w:r w:rsidRPr="00D42B67">
              <w:rPr>
                <w:rFonts w:ascii="Arial" w:hAnsi="Arial" w:cs="Arial"/>
                <w:i/>
                <w:sz w:val="20"/>
                <w:szCs w:val="20"/>
              </w:rPr>
              <w:t>p</w:t>
            </w:r>
          </w:p>
        </w:tc>
      </w:tr>
      <w:tr w:rsidR="008F12A7" w:rsidRPr="00D42B67" w14:paraId="48A9603B" w14:textId="77777777" w:rsidTr="005C283F">
        <w:tc>
          <w:tcPr>
            <w:tcW w:w="1696" w:type="dxa"/>
          </w:tcPr>
          <w:p w14:paraId="70E98213"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K18-M30 (kIU/L)</w:t>
            </w:r>
          </w:p>
        </w:tc>
        <w:tc>
          <w:tcPr>
            <w:tcW w:w="851" w:type="dxa"/>
          </w:tcPr>
          <w:p w14:paraId="492FF642" w14:textId="2A767A5B"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1.0918</w:t>
            </w:r>
          </w:p>
        </w:tc>
        <w:tc>
          <w:tcPr>
            <w:tcW w:w="1701" w:type="dxa"/>
          </w:tcPr>
          <w:p w14:paraId="5007166C" w14:textId="54AB9254"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1.0311 </w:t>
            </w:r>
            <w:r w:rsidR="008E79F7" w:rsidRPr="00D42B67">
              <w:rPr>
                <w:rFonts w:ascii="Arial" w:hAnsi="Arial" w:cs="Arial"/>
                <w:sz w:val="20"/>
                <w:szCs w:val="20"/>
              </w:rPr>
              <w:t xml:space="preserve">– </w:t>
            </w:r>
            <w:r w:rsidRPr="00D42B67">
              <w:rPr>
                <w:rFonts w:ascii="Arial" w:hAnsi="Arial" w:cs="Arial"/>
                <w:sz w:val="20"/>
                <w:szCs w:val="20"/>
              </w:rPr>
              <w:t>1.1605</w:t>
            </w:r>
          </w:p>
        </w:tc>
        <w:tc>
          <w:tcPr>
            <w:tcW w:w="992" w:type="dxa"/>
          </w:tcPr>
          <w:p w14:paraId="3AF3FBE9" w14:textId="34EF9A84"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0.0032</w:t>
            </w:r>
          </w:p>
        </w:tc>
        <w:tc>
          <w:tcPr>
            <w:tcW w:w="992" w:type="dxa"/>
          </w:tcPr>
          <w:p w14:paraId="3D13E8D8" w14:textId="2398F473"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1.0904</w:t>
            </w:r>
          </w:p>
        </w:tc>
        <w:tc>
          <w:tcPr>
            <w:tcW w:w="1718" w:type="dxa"/>
          </w:tcPr>
          <w:p w14:paraId="3FD88015" w14:textId="63202CAD"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1.0277 </w:t>
            </w:r>
            <w:r w:rsidR="008E79F7" w:rsidRPr="00D42B67">
              <w:rPr>
                <w:rFonts w:ascii="Arial" w:hAnsi="Arial" w:cs="Arial"/>
                <w:sz w:val="20"/>
                <w:szCs w:val="20"/>
              </w:rPr>
              <w:t xml:space="preserve">– </w:t>
            </w:r>
            <w:r w:rsidRPr="00D42B67">
              <w:rPr>
                <w:rFonts w:ascii="Arial" w:hAnsi="Arial" w:cs="Arial"/>
                <w:sz w:val="20"/>
                <w:szCs w:val="20"/>
              </w:rPr>
              <w:t>1.1679</w:t>
            </w:r>
          </w:p>
        </w:tc>
        <w:tc>
          <w:tcPr>
            <w:tcW w:w="1060" w:type="dxa"/>
          </w:tcPr>
          <w:p w14:paraId="6FB688C2" w14:textId="538920D1"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0.011</w:t>
            </w:r>
          </w:p>
        </w:tc>
      </w:tr>
      <w:tr w:rsidR="008F12A7" w:rsidRPr="00D42B67" w14:paraId="5A1AAF5D" w14:textId="77777777" w:rsidTr="005C283F">
        <w:tc>
          <w:tcPr>
            <w:tcW w:w="1696" w:type="dxa"/>
          </w:tcPr>
          <w:p w14:paraId="24DD84B0"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K18-M65 (kIU/L)</w:t>
            </w:r>
          </w:p>
        </w:tc>
        <w:tc>
          <w:tcPr>
            <w:tcW w:w="851" w:type="dxa"/>
          </w:tcPr>
          <w:p w14:paraId="613811D4" w14:textId="08A6319E"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1.0628</w:t>
            </w:r>
          </w:p>
        </w:tc>
        <w:tc>
          <w:tcPr>
            <w:tcW w:w="1701" w:type="dxa"/>
          </w:tcPr>
          <w:p w14:paraId="3F10CD34" w14:textId="23D83AAB"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1.0187 </w:t>
            </w:r>
            <w:r w:rsidR="008E79F7" w:rsidRPr="00D42B67">
              <w:rPr>
                <w:rFonts w:ascii="Arial" w:hAnsi="Arial" w:cs="Arial"/>
                <w:sz w:val="20"/>
                <w:szCs w:val="20"/>
              </w:rPr>
              <w:t xml:space="preserve">– </w:t>
            </w:r>
            <w:r w:rsidRPr="00D42B67">
              <w:rPr>
                <w:rFonts w:ascii="Arial" w:hAnsi="Arial" w:cs="Arial"/>
                <w:sz w:val="20"/>
                <w:szCs w:val="20"/>
              </w:rPr>
              <w:t>1.1075</w:t>
            </w:r>
          </w:p>
        </w:tc>
        <w:tc>
          <w:tcPr>
            <w:tcW w:w="992" w:type="dxa"/>
          </w:tcPr>
          <w:p w14:paraId="029D1FE8" w14:textId="69461C6F"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0.0039</w:t>
            </w:r>
          </w:p>
        </w:tc>
        <w:tc>
          <w:tcPr>
            <w:tcW w:w="992" w:type="dxa"/>
          </w:tcPr>
          <w:p w14:paraId="60DDBCDA" w14:textId="6A38DD82"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1.0763</w:t>
            </w:r>
          </w:p>
        </w:tc>
        <w:tc>
          <w:tcPr>
            <w:tcW w:w="1718" w:type="dxa"/>
          </w:tcPr>
          <w:p w14:paraId="35A2F288" w14:textId="3B3D939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1.0348 </w:t>
            </w:r>
            <w:r w:rsidR="008E79F7" w:rsidRPr="00D42B67">
              <w:rPr>
                <w:rFonts w:ascii="Arial" w:hAnsi="Arial" w:cs="Arial"/>
                <w:sz w:val="20"/>
                <w:szCs w:val="20"/>
              </w:rPr>
              <w:t xml:space="preserve">– </w:t>
            </w:r>
            <w:r w:rsidRPr="00D42B67">
              <w:rPr>
                <w:rFonts w:ascii="Arial" w:hAnsi="Arial" w:cs="Arial"/>
                <w:sz w:val="20"/>
                <w:szCs w:val="20"/>
              </w:rPr>
              <w:t>1.1247</w:t>
            </w:r>
          </w:p>
        </w:tc>
        <w:tc>
          <w:tcPr>
            <w:tcW w:w="1060" w:type="dxa"/>
          </w:tcPr>
          <w:p w14:paraId="473F1523" w14:textId="0837B878"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0.0005</w:t>
            </w:r>
          </w:p>
        </w:tc>
      </w:tr>
      <w:tr w:rsidR="008F12A7" w:rsidRPr="00D42B67" w14:paraId="686D3239" w14:textId="77777777" w:rsidTr="005C283F">
        <w:tc>
          <w:tcPr>
            <w:tcW w:w="1696" w:type="dxa"/>
          </w:tcPr>
          <w:p w14:paraId="4CC65FD8"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M30:M65 ratio</w:t>
            </w:r>
          </w:p>
        </w:tc>
        <w:tc>
          <w:tcPr>
            <w:tcW w:w="851" w:type="dxa"/>
          </w:tcPr>
          <w:p w14:paraId="7157D23C" w14:textId="07CD92F0"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5.3489</w:t>
            </w:r>
          </w:p>
        </w:tc>
        <w:tc>
          <w:tcPr>
            <w:tcW w:w="1701" w:type="dxa"/>
          </w:tcPr>
          <w:p w14:paraId="51292FCC" w14:textId="0D2A04C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1.194</w:t>
            </w:r>
            <w:r w:rsidR="008E79F7" w:rsidRPr="00D42B67">
              <w:rPr>
                <w:rFonts w:ascii="Arial" w:hAnsi="Arial" w:cs="Arial"/>
                <w:sz w:val="20"/>
                <w:szCs w:val="20"/>
              </w:rPr>
              <w:t>0</w:t>
            </w:r>
            <w:r w:rsidRPr="00D42B67">
              <w:rPr>
                <w:rFonts w:ascii="Arial" w:hAnsi="Arial" w:cs="Arial"/>
                <w:sz w:val="20"/>
                <w:szCs w:val="20"/>
              </w:rPr>
              <w:t xml:space="preserve"> </w:t>
            </w:r>
            <w:r w:rsidR="008E79F7" w:rsidRPr="00D42B67">
              <w:rPr>
                <w:rFonts w:ascii="Arial" w:hAnsi="Arial" w:cs="Arial"/>
                <w:sz w:val="20"/>
                <w:szCs w:val="20"/>
              </w:rPr>
              <w:t xml:space="preserve">– </w:t>
            </w:r>
            <w:r w:rsidRPr="00D42B67">
              <w:rPr>
                <w:rFonts w:ascii="Arial" w:hAnsi="Arial" w:cs="Arial"/>
                <w:sz w:val="20"/>
                <w:szCs w:val="20"/>
              </w:rPr>
              <w:t>23.195</w:t>
            </w:r>
          </w:p>
        </w:tc>
        <w:tc>
          <w:tcPr>
            <w:tcW w:w="992" w:type="dxa"/>
          </w:tcPr>
          <w:p w14:paraId="341B8372" w14:textId="07BD7562"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0.0254</w:t>
            </w:r>
          </w:p>
        </w:tc>
        <w:tc>
          <w:tcPr>
            <w:tcW w:w="992" w:type="dxa"/>
          </w:tcPr>
          <w:p w14:paraId="1E8E7A31" w14:textId="4668D080"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0.5835</w:t>
            </w:r>
          </w:p>
        </w:tc>
        <w:tc>
          <w:tcPr>
            <w:tcW w:w="1718" w:type="dxa"/>
          </w:tcPr>
          <w:p w14:paraId="5AF2721B" w14:textId="7003AEAF"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0.0585 </w:t>
            </w:r>
            <w:r w:rsidR="008E79F7" w:rsidRPr="00D42B67">
              <w:rPr>
                <w:rFonts w:ascii="Arial" w:hAnsi="Arial" w:cs="Arial"/>
                <w:sz w:val="20"/>
                <w:szCs w:val="20"/>
              </w:rPr>
              <w:t xml:space="preserve">– </w:t>
            </w:r>
            <w:r w:rsidRPr="00D42B67">
              <w:rPr>
                <w:rFonts w:ascii="Arial" w:hAnsi="Arial" w:cs="Arial"/>
                <w:sz w:val="20"/>
                <w:szCs w:val="20"/>
              </w:rPr>
              <w:t>4.2614</w:t>
            </w:r>
          </w:p>
        </w:tc>
        <w:tc>
          <w:tcPr>
            <w:tcW w:w="1060" w:type="dxa"/>
          </w:tcPr>
          <w:p w14:paraId="22105A84" w14:textId="0FC55EEB"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0.6228</w:t>
            </w:r>
          </w:p>
        </w:tc>
      </w:tr>
      <w:tr w:rsidR="00D81FD7" w:rsidRPr="00D42B67" w14:paraId="188B1BBA" w14:textId="77777777" w:rsidTr="005C283F">
        <w:tc>
          <w:tcPr>
            <w:tcW w:w="1696" w:type="dxa"/>
          </w:tcPr>
          <w:p w14:paraId="402C9E5B" w14:textId="77777777" w:rsidR="00D81FD7" w:rsidRPr="00D42B67" w:rsidRDefault="00D81FD7" w:rsidP="005C283F">
            <w:pPr>
              <w:spacing w:beforeLines="60" w:before="144" w:afterLines="60" w:after="144"/>
              <w:jc w:val="both"/>
              <w:rPr>
                <w:rFonts w:ascii="Arial" w:hAnsi="Arial" w:cs="Arial"/>
                <w:sz w:val="20"/>
                <w:szCs w:val="20"/>
              </w:rPr>
            </w:pPr>
          </w:p>
        </w:tc>
        <w:tc>
          <w:tcPr>
            <w:tcW w:w="7314" w:type="dxa"/>
            <w:gridSpan w:val="6"/>
            <w:vAlign w:val="center"/>
          </w:tcPr>
          <w:p w14:paraId="0AC3E73F" w14:textId="77777777" w:rsidR="00D81FD7" w:rsidRPr="00D42B67" w:rsidRDefault="00D81FD7" w:rsidP="005C283F">
            <w:pPr>
              <w:spacing w:beforeLines="60" w:before="144" w:afterLines="60" w:after="144"/>
              <w:jc w:val="both"/>
              <w:rPr>
                <w:rFonts w:ascii="Arial" w:hAnsi="Arial" w:cs="Arial"/>
                <w:sz w:val="20"/>
                <w:szCs w:val="20"/>
                <w:lang w:val="en-US"/>
              </w:rPr>
            </w:pPr>
            <w:r w:rsidRPr="00D42B67">
              <w:rPr>
                <w:rFonts w:ascii="Arial" w:hAnsi="Arial" w:cs="Arial"/>
                <w:sz w:val="20"/>
                <w:szCs w:val="20"/>
                <w:lang w:val="en-US"/>
              </w:rPr>
              <w:t>Multivariate Analysis for K18-M30</w:t>
            </w:r>
          </w:p>
        </w:tc>
      </w:tr>
      <w:tr w:rsidR="008F12A7" w:rsidRPr="00D42B67" w14:paraId="00B0C260" w14:textId="77777777" w:rsidTr="005C283F">
        <w:tc>
          <w:tcPr>
            <w:tcW w:w="1696" w:type="dxa"/>
          </w:tcPr>
          <w:p w14:paraId="2BB37F1F"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Age (years)</w:t>
            </w:r>
          </w:p>
        </w:tc>
        <w:tc>
          <w:tcPr>
            <w:tcW w:w="851" w:type="dxa"/>
          </w:tcPr>
          <w:p w14:paraId="202085DB" w14:textId="2808B8F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1.0426</w:t>
            </w:r>
          </w:p>
        </w:tc>
        <w:tc>
          <w:tcPr>
            <w:tcW w:w="1701" w:type="dxa"/>
          </w:tcPr>
          <w:p w14:paraId="1ABBE1E0" w14:textId="5F0586E4"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1.013 </w:t>
            </w:r>
            <w:r w:rsidR="008E79F7" w:rsidRPr="00D42B67">
              <w:rPr>
                <w:rFonts w:ascii="Arial" w:hAnsi="Arial" w:cs="Arial"/>
                <w:sz w:val="20"/>
                <w:szCs w:val="20"/>
              </w:rPr>
              <w:t xml:space="preserve">– </w:t>
            </w:r>
            <w:r w:rsidRPr="00D42B67">
              <w:rPr>
                <w:rFonts w:ascii="Arial" w:hAnsi="Arial" w:cs="Arial"/>
                <w:sz w:val="20"/>
                <w:szCs w:val="20"/>
              </w:rPr>
              <w:t>1.074</w:t>
            </w:r>
          </w:p>
        </w:tc>
        <w:tc>
          <w:tcPr>
            <w:tcW w:w="992" w:type="dxa"/>
          </w:tcPr>
          <w:p w14:paraId="34D51482" w14:textId="0571853F"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0.0050</w:t>
            </w:r>
          </w:p>
        </w:tc>
        <w:tc>
          <w:tcPr>
            <w:tcW w:w="992" w:type="dxa"/>
          </w:tcPr>
          <w:p w14:paraId="6D8099AA" w14:textId="4D89827B"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1.1581</w:t>
            </w:r>
          </w:p>
        </w:tc>
        <w:tc>
          <w:tcPr>
            <w:tcW w:w="1718" w:type="dxa"/>
          </w:tcPr>
          <w:p w14:paraId="7993F1CF" w14:textId="44DA999D"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1.1039 </w:t>
            </w:r>
            <w:r w:rsidR="008E79F7" w:rsidRPr="00D42B67">
              <w:rPr>
                <w:rFonts w:ascii="Arial" w:hAnsi="Arial" w:cs="Arial"/>
                <w:sz w:val="20"/>
                <w:szCs w:val="20"/>
              </w:rPr>
              <w:t xml:space="preserve">– </w:t>
            </w:r>
            <w:r w:rsidRPr="00D42B67">
              <w:rPr>
                <w:rFonts w:ascii="Arial" w:hAnsi="Arial" w:cs="Arial"/>
                <w:sz w:val="20"/>
                <w:szCs w:val="20"/>
              </w:rPr>
              <w:t>1.2247</w:t>
            </w:r>
          </w:p>
        </w:tc>
        <w:tc>
          <w:tcPr>
            <w:tcW w:w="1060" w:type="dxa"/>
          </w:tcPr>
          <w:p w14:paraId="3BB0977F" w14:textId="70FBA19D" w:rsidR="008F12A7" w:rsidRPr="00D42B67" w:rsidRDefault="00B13D1E" w:rsidP="008F12A7">
            <w:pPr>
              <w:spacing w:beforeLines="60" w:before="144" w:afterLines="60" w:after="144"/>
              <w:jc w:val="both"/>
              <w:rPr>
                <w:rFonts w:ascii="Arial" w:hAnsi="Arial" w:cs="Arial"/>
                <w:sz w:val="20"/>
                <w:szCs w:val="20"/>
              </w:rPr>
            </w:pPr>
            <w:r w:rsidRPr="00D42B67">
              <w:rPr>
                <w:rFonts w:ascii="Arial" w:hAnsi="Arial" w:cs="Arial"/>
                <w:sz w:val="20"/>
                <w:szCs w:val="20"/>
              </w:rPr>
              <w:t>&lt;0.0001</w:t>
            </w:r>
          </w:p>
        </w:tc>
      </w:tr>
      <w:tr w:rsidR="008F12A7" w:rsidRPr="00D42B67" w14:paraId="35AFE18D" w14:textId="77777777" w:rsidTr="005C283F">
        <w:tc>
          <w:tcPr>
            <w:tcW w:w="1696" w:type="dxa"/>
          </w:tcPr>
          <w:p w14:paraId="181D8B2F"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MELD (points)</w:t>
            </w:r>
          </w:p>
        </w:tc>
        <w:tc>
          <w:tcPr>
            <w:tcW w:w="851" w:type="dxa"/>
          </w:tcPr>
          <w:p w14:paraId="4071474B" w14:textId="4A3F5D81"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1.1966</w:t>
            </w:r>
          </w:p>
        </w:tc>
        <w:tc>
          <w:tcPr>
            <w:tcW w:w="1701" w:type="dxa"/>
          </w:tcPr>
          <w:p w14:paraId="54C8D695" w14:textId="21394339"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1.1239 </w:t>
            </w:r>
            <w:r w:rsidR="008E79F7" w:rsidRPr="00D42B67">
              <w:rPr>
                <w:rFonts w:ascii="Arial" w:hAnsi="Arial" w:cs="Arial"/>
                <w:sz w:val="20"/>
                <w:szCs w:val="20"/>
              </w:rPr>
              <w:t xml:space="preserve">– </w:t>
            </w:r>
            <w:r w:rsidRPr="00D42B67">
              <w:rPr>
                <w:rFonts w:ascii="Arial" w:hAnsi="Arial" w:cs="Arial"/>
                <w:sz w:val="20"/>
                <w:szCs w:val="20"/>
              </w:rPr>
              <w:t>1.2806</w:t>
            </w:r>
          </w:p>
        </w:tc>
        <w:tc>
          <w:tcPr>
            <w:tcW w:w="992" w:type="dxa"/>
          </w:tcPr>
          <w:p w14:paraId="37DCFB7B" w14:textId="704955E3" w:rsidR="008F12A7" w:rsidRPr="00D42B67" w:rsidRDefault="00B13D1E" w:rsidP="008F12A7">
            <w:pPr>
              <w:spacing w:beforeLines="60" w:before="144" w:afterLines="60" w:after="144"/>
              <w:jc w:val="both"/>
              <w:rPr>
                <w:rFonts w:ascii="Arial" w:hAnsi="Arial" w:cs="Arial"/>
                <w:sz w:val="20"/>
                <w:szCs w:val="20"/>
              </w:rPr>
            </w:pPr>
            <w:r w:rsidRPr="00D42B67">
              <w:rPr>
                <w:rFonts w:ascii="Arial" w:hAnsi="Arial" w:cs="Arial"/>
                <w:sz w:val="20"/>
                <w:szCs w:val="20"/>
              </w:rPr>
              <w:t>&lt;0.0001</w:t>
            </w:r>
          </w:p>
        </w:tc>
        <w:tc>
          <w:tcPr>
            <w:tcW w:w="992" w:type="dxa"/>
          </w:tcPr>
          <w:p w14:paraId="33A85FFF" w14:textId="0414F14B"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1.2942</w:t>
            </w:r>
          </w:p>
        </w:tc>
        <w:tc>
          <w:tcPr>
            <w:tcW w:w="1718" w:type="dxa"/>
          </w:tcPr>
          <w:p w14:paraId="5D7789F5" w14:textId="2969AD60"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1.2</w:t>
            </w:r>
            <w:r w:rsidR="008E79F7" w:rsidRPr="00D42B67">
              <w:rPr>
                <w:rFonts w:ascii="Arial" w:hAnsi="Arial" w:cs="Arial"/>
                <w:sz w:val="20"/>
                <w:szCs w:val="20"/>
              </w:rPr>
              <w:t>000</w:t>
            </w:r>
            <w:r w:rsidRPr="00D42B67">
              <w:rPr>
                <w:rFonts w:ascii="Arial" w:hAnsi="Arial" w:cs="Arial"/>
                <w:sz w:val="20"/>
                <w:szCs w:val="20"/>
              </w:rPr>
              <w:t xml:space="preserve"> </w:t>
            </w:r>
            <w:r w:rsidR="008E79F7" w:rsidRPr="00D42B67">
              <w:rPr>
                <w:rFonts w:ascii="Arial" w:hAnsi="Arial" w:cs="Arial"/>
                <w:sz w:val="20"/>
                <w:szCs w:val="20"/>
              </w:rPr>
              <w:t xml:space="preserve">– </w:t>
            </w:r>
            <w:r w:rsidRPr="00D42B67">
              <w:rPr>
                <w:rFonts w:ascii="Arial" w:hAnsi="Arial" w:cs="Arial"/>
                <w:sz w:val="20"/>
                <w:szCs w:val="20"/>
              </w:rPr>
              <w:t>1.409</w:t>
            </w:r>
            <w:r w:rsidR="008E79F7" w:rsidRPr="00D42B67">
              <w:rPr>
                <w:rFonts w:ascii="Arial" w:hAnsi="Arial" w:cs="Arial"/>
                <w:sz w:val="20"/>
                <w:szCs w:val="20"/>
              </w:rPr>
              <w:t>0</w:t>
            </w:r>
          </w:p>
        </w:tc>
        <w:tc>
          <w:tcPr>
            <w:tcW w:w="1060" w:type="dxa"/>
          </w:tcPr>
          <w:p w14:paraId="4DF4716A" w14:textId="6D7911CB" w:rsidR="008F12A7" w:rsidRPr="00D42B67" w:rsidRDefault="00B13D1E" w:rsidP="008F12A7">
            <w:pPr>
              <w:spacing w:beforeLines="60" w:before="144" w:afterLines="60" w:after="144"/>
              <w:jc w:val="both"/>
              <w:rPr>
                <w:rFonts w:ascii="Arial" w:hAnsi="Arial" w:cs="Arial"/>
                <w:sz w:val="20"/>
                <w:szCs w:val="20"/>
              </w:rPr>
            </w:pPr>
            <w:r w:rsidRPr="00D42B67">
              <w:rPr>
                <w:rFonts w:ascii="Arial" w:hAnsi="Arial" w:cs="Arial"/>
                <w:sz w:val="20"/>
                <w:szCs w:val="20"/>
              </w:rPr>
              <w:t>&lt;0.0001</w:t>
            </w:r>
          </w:p>
        </w:tc>
      </w:tr>
      <w:tr w:rsidR="008F12A7" w:rsidRPr="00D42B67" w14:paraId="6FBA973C" w14:textId="77777777" w:rsidTr="005C283F">
        <w:tc>
          <w:tcPr>
            <w:tcW w:w="1696" w:type="dxa"/>
          </w:tcPr>
          <w:p w14:paraId="376CA33C"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K18-M30 (kIU/L)</w:t>
            </w:r>
          </w:p>
        </w:tc>
        <w:tc>
          <w:tcPr>
            <w:tcW w:w="851" w:type="dxa"/>
          </w:tcPr>
          <w:p w14:paraId="5DBEF36F" w14:textId="5F24A77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1.0791</w:t>
            </w:r>
          </w:p>
        </w:tc>
        <w:tc>
          <w:tcPr>
            <w:tcW w:w="1701" w:type="dxa"/>
          </w:tcPr>
          <w:p w14:paraId="018DE3D6" w14:textId="75BED776"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1.0167 </w:t>
            </w:r>
            <w:r w:rsidR="008E79F7" w:rsidRPr="00D42B67">
              <w:rPr>
                <w:rFonts w:ascii="Arial" w:hAnsi="Arial" w:cs="Arial"/>
                <w:sz w:val="20"/>
                <w:szCs w:val="20"/>
              </w:rPr>
              <w:t xml:space="preserve">– </w:t>
            </w:r>
            <w:r w:rsidRPr="00D42B67">
              <w:rPr>
                <w:rFonts w:ascii="Arial" w:hAnsi="Arial" w:cs="Arial"/>
                <w:sz w:val="20"/>
                <w:szCs w:val="20"/>
              </w:rPr>
              <w:t>1.1469</w:t>
            </w:r>
          </w:p>
        </w:tc>
        <w:tc>
          <w:tcPr>
            <w:tcW w:w="992" w:type="dxa"/>
          </w:tcPr>
          <w:p w14:paraId="3B6A3B8B" w14:textId="72DC1468"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0.0109</w:t>
            </w:r>
          </w:p>
        </w:tc>
        <w:tc>
          <w:tcPr>
            <w:tcW w:w="992" w:type="dxa"/>
          </w:tcPr>
          <w:p w14:paraId="757B232E" w14:textId="0F3729B2"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1.0665</w:t>
            </w:r>
          </w:p>
        </w:tc>
        <w:tc>
          <w:tcPr>
            <w:tcW w:w="1718" w:type="dxa"/>
          </w:tcPr>
          <w:p w14:paraId="10017F4B" w14:textId="164011D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1.0022 </w:t>
            </w:r>
            <w:r w:rsidR="008E79F7" w:rsidRPr="00D42B67">
              <w:rPr>
                <w:rFonts w:ascii="Arial" w:hAnsi="Arial" w:cs="Arial"/>
                <w:sz w:val="20"/>
                <w:szCs w:val="20"/>
              </w:rPr>
              <w:t xml:space="preserve">– </w:t>
            </w:r>
            <w:r w:rsidRPr="00D42B67">
              <w:rPr>
                <w:rFonts w:ascii="Arial" w:hAnsi="Arial" w:cs="Arial"/>
                <w:sz w:val="20"/>
                <w:szCs w:val="20"/>
              </w:rPr>
              <w:t>1.16</w:t>
            </w:r>
            <w:r w:rsidR="008E79F7" w:rsidRPr="00D42B67">
              <w:rPr>
                <w:rFonts w:ascii="Arial" w:hAnsi="Arial" w:cs="Arial"/>
                <w:sz w:val="20"/>
                <w:szCs w:val="20"/>
              </w:rPr>
              <w:t>00</w:t>
            </w:r>
          </w:p>
        </w:tc>
        <w:tc>
          <w:tcPr>
            <w:tcW w:w="1060" w:type="dxa"/>
          </w:tcPr>
          <w:p w14:paraId="247D2329" w14:textId="11685C72"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0.1099</w:t>
            </w:r>
          </w:p>
        </w:tc>
      </w:tr>
      <w:tr w:rsidR="00D81FD7" w:rsidRPr="00D42B67" w14:paraId="3E71059E" w14:textId="77777777" w:rsidTr="005C283F">
        <w:tc>
          <w:tcPr>
            <w:tcW w:w="1696" w:type="dxa"/>
          </w:tcPr>
          <w:p w14:paraId="6448D39A" w14:textId="77777777" w:rsidR="00D81FD7" w:rsidRPr="00D42B67" w:rsidRDefault="00D81FD7" w:rsidP="005C283F">
            <w:pPr>
              <w:spacing w:beforeLines="60" w:before="144" w:afterLines="60" w:after="144"/>
              <w:jc w:val="both"/>
              <w:rPr>
                <w:rFonts w:ascii="Arial" w:hAnsi="Arial" w:cs="Arial"/>
                <w:sz w:val="20"/>
                <w:szCs w:val="20"/>
              </w:rPr>
            </w:pPr>
          </w:p>
        </w:tc>
        <w:tc>
          <w:tcPr>
            <w:tcW w:w="7314" w:type="dxa"/>
            <w:gridSpan w:val="6"/>
          </w:tcPr>
          <w:p w14:paraId="58EAB00F" w14:textId="77777777" w:rsidR="00D81FD7" w:rsidRPr="00D42B67" w:rsidRDefault="00D81FD7" w:rsidP="005C283F">
            <w:pPr>
              <w:spacing w:beforeLines="60" w:before="144" w:afterLines="60" w:after="144"/>
              <w:jc w:val="both"/>
              <w:rPr>
                <w:rFonts w:ascii="Arial" w:hAnsi="Arial" w:cs="Arial"/>
                <w:sz w:val="20"/>
                <w:szCs w:val="20"/>
                <w:lang w:val="en-US"/>
              </w:rPr>
            </w:pPr>
            <w:r w:rsidRPr="00D42B67">
              <w:rPr>
                <w:rFonts w:ascii="Arial" w:hAnsi="Arial" w:cs="Arial"/>
                <w:sz w:val="20"/>
                <w:szCs w:val="20"/>
                <w:lang w:val="en-US"/>
              </w:rPr>
              <w:t>Multivariate Analysis for K18-M65</w:t>
            </w:r>
          </w:p>
        </w:tc>
      </w:tr>
      <w:tr w:rsidR="008F12A7" w:rsidRPr="00D42B67" w14:paraId="19EA0FDF" w14:textId="77777777" w:rsidTr="005C283F">
        <w:tc>
          <w:tcPr>
            <w:tcW w:w="1696" w:type="dxa"/>
          </w:tcPr>
          <w:p w14:paraId="10F153E5"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Age (years)</w:t>
            </w:r>
          </w:p>
        </w:tc>
        <w:tc>
          <w:tcPr>
            <w:tcW w:w="851" w:type="dxa"/>
          </w:tcPr>
          <w:p w14:paraId="152C3556" w14:textId="7E6F381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1.0438</w:t>
            </w:r>
          </w:p>
        </w:tc>
        <w:tc>
          <w:tcPr>
            <w:tcW w:w="1701" w:type="dxa"/>
          </w:tcPr>
          <w:p w14:paraId="5C06E01C" w14:textId="32F5E174"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1.0144 </w:t>
            </w:r>
            <w:r w:rsidR="008E79F7" w:rsidRPr="00D42B67">
              <w:rPr>
                <w:rFonts w:ascii="Arial" w:hAnsi="Arial" w:cs="Arial"/>
                <w:sz w:val="20"/>
                <w:szCs w:val="20"/>
              </w:rPr>
              <w:t xml:space="preserve">– </w:t>
            </w:r>
            <w:r w:rsidRPr="00D42B67">
              <w:rPr>
                <w:rFonts w:ascii="Arial" w:hAnsi="Arial" w:cs="Arial"/>
                <w:sz w:val="20"/>
                <w:szCs w:val="20"/>
              </w:rPr>
              <w:t>1.075</w:t>
            </w:r>
            <w:r w:rsidR="008E79F7" w:rsidRPr="00D42B67">
              <w:rPr>
                <w:rFonts w:ascii="Arial" w:hAnsi="Arial" w:cs="Arial"/>
                <w:sz w:val="20"/>
                <w:szCs w:val="20"/>
              </w:rPr>
              <w:t>0</w:t>
            </w:r>
          </w:p>
        </w:tc>
        <w:tc>
          <w:tcPr>
            <w:tcW w:w="992" w:type="dxa"/>
          </w:tcPr>
          <w:p w14:paraId="0ED07109" w14:textId="1C288F9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0.0037</w:t>
            </w:r>
          </w:p>
        </w:tc>
        <w:tc>
          <w:tcPr>
            <w:tcW w:w="992" w:type="dxa"/>
          </w:tcPr>
          <w:p w14:paraId="6D8D1818" w14:textId="06D67299"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1.1617</w:t>
            </w:r>
          </w:p>
        </w:tc>
        <w:tc>
          <w:tcPr>
            <w:tcW w:w="1718" w:type="dxa"/>
          </w:tcPr>
          <w:p w14:paraId="58E248E7" w14:textId="2AFFD0B1"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1.1065 </w:t>
            </w:r>
            <w:r w:rsidR="008E79F7" w:rsidRPr="00D42B67">
              <w:rPr>
                <w:rFonts w:ascii="Arial" w:hAnsi="Arial" w:cs="Arial"/>
                <w:sz w:val="20"/>
                <w:szCs w:val="20"/>
              </w:rPr>
              <w:t xml:space="preserve">– </w:t>
            </w:r>
            <w:r w:rsidRPr="00D42B67">
              <w:rPr>
                <w:rFonts w:ascii="Arial" w:hAnsi="Arial" w:cs="Arial"/>
                <w:sz w:val="20"/>
                <w:szCs w:val="20"/>
              </w:rPr>
              <w:t>1.23</w:t>
            </w:r>
            <w:r w:rsidR="008E79F7" w:rsidRPr="00D42B67">
              <w:rPr>
                <w:rFonts w:ascii="Arial" w:hAnsi="Arial" w:cs="Arial"/>
                <w:sz w:val="20"/>
                <w:szCs w:val="20"/>
              </w:rPr>
              <w:t>00</w:t>
            </w:r>
          </w:p>
        </w:tc>
        <w:tc>
          <w:tcPr>
            <w:tcW w:w="1060" w:type="dxa"/>
          </w:tcPr>
          <w:p w14:paraId="7C13AD3E" w14:textId="7C30EA27" w:rsidR="008F12A7" w:rsidRPr="00D42B67" w:rsidRDefault="00B13D1E" w:rsidP="008F12A7">
            <w:pPr>
              <w:spacing w:beforeLines="60" w:before="144" w:afterLines="60" w:after="144"/>
              <w:jc w:val="both"/>
              <w:rPr>
                <w:rFonts w:ascii="Arial" w:hAnsi="Arial" w:cs="Arial"/>
                <w:sz w:val="20"/>
                <w:szCs w:val="20"/>
              </w:rPr>
            </w:pPr>
            <w:r w:rsidRPr="00D42B67">
              <w:rPr>
                <w:rFonts w:ascii="Arial" w:hAnsi="Arial" w:cs="Arial"/>
                <w:sz w:val="20"/>
                <w:szCs w:val="20"/>
              </w:rPr>
              <w:t>&lt;0.0001</w:t>
            </w:r>
          </w:p>
        </w:tc>
      </w:tr>
      <w:tr w:rsidR="008F12A7" w:rsidRPr="00D42B67" w14:paraId="0658EF96" w14:textId="77777777" w:rsidTr="005C283F">
        <w:tc>
          <w:tcPr>
            <w:tcW w:w="1696" w:type="dxa"/>
          </w:tcPr>
          <w:p w14:paraId="436FAAAA"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MELD (points)</w:t>
            </w:r>
          </w:p>
        </w:tc>
        <w:tc>
          <w:tcPr>
            <w:tcW w:w="851" w:type="dxa"/>
          </w:tcPr>
          <w:p w14:paraId="2DF30EA1" w14:textId="24C307BA"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1.1932</w:t>
            </w:r>
          </w:p>
        </w:tc>
        <w:tc>
          <w:tcPr>
            <w:tcW w:w="1701" w:type="dxa"/>
          </w:tcPr>
          <w:p w14:paraId="60850C48" w14:textId="129F9616"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1.1206 </w:t>
            </w:r>
            <w:r w:rsidR="008E79F7" w:rsidRPr="00D42B67">
              <w:rPr>
                <w:rFonts w:ascii="Arial" w:hAnsi="Arial" w:cs="Arial"/>
                <w:sz w:val="20"/>
                <w:szCs w:val="20"/>
              </w:rPr>
              <w:t xml:space="preserve">– </w:t>
            </w:r>
            <w:r w:rsidRPr="00D42B67">
              <w:rPr>
                <w:rFonts w:ascii="Arial" w:hAnsi="Arial" w:cs="Arial"/>
                <w:sz w:val="20"/>
                <w:szCs w:val="20"/>
              </w:rPr>
              <w:t>1.2769</w:t>
            </w:r>
          </w:p>
        </w:tc>
        <w:tc>
          <w:tcPr>
            <w:tcW w:w="992" w:type="dxa"/>
          </w:tcPr>
          <w:p w14:paraId="6B34FF2B" w14:textId="2BDA5D75" w:rsidR="008F12A7" w:rsidRPr="00D42B67" w:rsidRDefault="00B13D1E" w:rsidP="008F12A7">
            <w:pPr>
              <w:spacing w:beforeLines="60" w:before="144" w:afterLines="60" w:after="144"/>
              <w:jc w:val="both"/>
              <w:rPr>
                <w:rFonts w:ascii="Arial" w:hAnsi="Arial" w:cs="Arial"/>
                <w:sz w:val="20"/>
                <w:szCs w:val="20"/>
              </w:rPr>
            </w:pPr>
            <w:r w:rsidRPr="00D42B67">
              <w:rPr>
                <w:rFonts w:ascii="Arial" w:hAnsi="Arial" w:cs="Arial"/>
                <w:sz w:val="20"/>
                <w:szCs w:val="20"/>
              </w:rPr>
              <w:t>&lt;0.0001</w:t>
            </w:r>
          </w:p>
        </w:tc>
        <w:tc>
          <w:tcPr>
            <w:tcW w:w="992" w:type="dxa"/>
          </w:tcPr>
          <w:p w14:paraId="6B2E0CBB" w14:textId="5F7A7FB0"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1.2886</w:t>
            </w:r>
          </w:p>
        </w:tc>
        <w:tc>
          <w:tcPr>
            <w:tcW w:w="1718" w:type="dxa"/>
          </w:tcPr>
          <w:p w14:paraId="60AB425D" w14:textId="72736A75"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1.1946 </w:t>
            </w:r>
            <w:r w:rsidR="008E79F7" w:rsidRPr="00D42B67">
              <w:rPr>
                <w:rFonts w:ascii="Arial" w:hAnsi="Arial" w:cs="Arial"/>
                <w:sz w:val="20"/>
                <w:szCs w:val="20"/>
              </w:rPr>
              <w:t xml:space="preserve">– </w:t>
            </w:r>
            <w:r w:rsidRPr="00D42B67">
              <w:rPr>
                <w:rFonts w:ascii="Arial" w:hAnsi="Arial" w:cs="Arial"/>
                <w:sz w:val="20"/>
                <w:szCs w:val="20"/>
              </w:rPr>
              <w:t>1.4032</w:t>
            </w:r>
          </w:p>
        </w:tc>
        <w:tc>
          <w:tcPr>
            <w:tcW w:w="1060" w:type="dxa"/>
          </w:tcPr>
          <w:p w14:paraId="251DE14C" w14:textId="6F25232D" w:rsidR="008F12A7" w:rsidRPr="00D42B67" w:rsidRDefault="00B13D1E" w:rsidP="008F12A7">
            <w:pPr>
              <w:spacing w:beforeLines="60" w:before="144" w:afterLines="60" w:after="144"/>
              <w:jc w:val="both"/>
              <w:rPr>
                <w:rFonts w:ascii="Arial" w:hAnsi="Arial" w:cs="Arial"/>
                <w:sz w:val="20"/>
                <w:szCs w:val="20"/>
              </w:rPr>
            </w:pPr>
            <w:r w:rsidRPr="00D42B67">
              <w:rPr>
                <w:rFonts w:ascii="Arial" w:hAnsi="Arial" w:cs="Arial"/>
                <w:sz w:val="20"/>
                <w:szCs w:val="20"/>
              </w:rPr>
              <w:t>&lt;0.0001</w:t>
            </w:r>
          </w:p>
        </w:tc>
      </w:tr>
      <w:tr w:rsidR="008F12A7" w:rsidRPr="00D42B67" w14:paraId="3846D1F9" w14:textId="77777777" w:rsidTr="005C283F">
        <w:tc>
          <w:tcPr>
            <w:tcW w:w="1696" w:type="dxa"/>
          </w:tcPr>
          <w:p w14:paraId="1CEC1234" w14:textId="77777777"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K18-M65 (kIU/L)</w:t>
            </w:r>
          </w:p>
        </w:tc>
        <w:tc>
          <w:tcPr>
            <w:tcW w:w="851" w:type="dxa"/>
          </w:tcPr>
          <w:p w14:paraId="27831E06" w14:textId="4B5BC410"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1.0493</w:t>
            </w:r>
          </w:p>
        </w:tc>
        <w:tc>
          <w:tcPr>
            <w:tcW w:w="1701" w:type="dxa"/>
          </w:tcPr>
          <w:p w14:paraId="6C238A71" w14:textId="296066F3"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1.0015 </w:t>
            </w:r>
            <w:r w:rsidR="008E79F7" w:rsidRPr="00D42B67">
              <w:rPr>
                <w:rFonts w:ascii="Arial" w:hAnsi="Arial" w:cs="Arial"/>
                <w:sz w:val="20"/>
                <w:szCs w:val="20"/>
              </w:rPr>
              <w:t xml:space="preserve">– </w:t>
            </w:r>
            <w:r w:rsidRPr="00D42B67">
              <w:rPr>
                <w:rFonts w:ascii="Arial" w:hAnsi="Arial" w:cs="Arial"/>
                <w:sz w:val="20"/>
                <w:szCs w:val="20"/>
              </w:rPr>
              <w:t>1.0968</w:t>
            </w:r>
          </w:p>
        </w:tc>
        <w:tc>
          <w:tcPr>
            <w:tcW w:w="992" w:type="dxa"/>
          </w:tcPr>
          <w:p w14:paraId="2A830F15" w14:textId="59C4DF99"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0.0361</w:t>
            </w:r>
          </w:p>
        </w:tc>
        <w:tc>
          <w:tcPr>
            <w:tcW w:w="992" w:type="dxa"/>
          </w:tcPr>
          <w:p w14:paraId="00E66031" w14:textId="0795088F"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1.0715</w:t>
            </w:r>
          </w:p>
        </w:tc>
        <w:tc>
          <w:tcPr>
            <w:tcW w:w="1718" w:type="dxa"/>
          </w:tcPr>
          <w:p w14:paraId="2104D6D3" w14:textId="264108A4"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 xml:space="preserve">1.0181 </w:t>
            </w:r>
            <w:r w:rsidR="008E79F7" w:rsidRPr="00D42B67">
              <w:rPr>
                <w:rFonts w:ascii="Arial" w:hAnsi="Arial" w:cs="Arial"/>
                <w:sz w:val="20"/>
                <w:szCs w:val="20"/>
              </w:rPr>
              <w:t xml:space="preserve">– </w:t>
            </w:r>
            <w:r w:rsidRPr="00D42B67">
              <w:rPr>
                <w:rFonts w:ascii="Arial" w:hAnsi="Arial" w:cs="Arial"/>
                <w:sz w:val="20"/>
                <w:szCs w:val="20"/>
              </w:rPr>
              <w:t>1.1362</w:t>
            </w:r>
          </w:p>
        </w:tc>
        <w:tc>
          <w:tcPr>
            <w:tcW w:w="1060" w:type="dxa"/>
          </w:tcPr>
          <w:p w14:paraId="51B217C5" w14:textId="7B4E8104" w:rsidR="008F12A7" w:rsidRPr="00D42B67" w:rsidRDefault="008F12A7" w:rsidP="008F12A7">
            <w:pPr>
              <w:spacing w:beforeLines="60" w:before="144" w:afterLines="60" w:after="144"/>
              <w:jc w:val="both"/>
              <w:rPr>
                <w:rFonts w:ascii="Arial" w:hAnsi="Arial" w:cs="Arial"/>
                <w:sz w:val="20"/>
                <w:szCs w:val="20"/>
              </w:rPr>
            </w:pPr>
            <w:r w:rsidRPr="00D42B67">
              <w:rPr>
                <w:rFonts w:ascii="Arial" w:hAnsi="Arial" w:cs="Arial"/>
                <w:sz w:val="20"/>
                <w:szCs w:val="20"/>
              </w:rPr>
              <w:t>0.0136</w:t>
            </w:r>
          </w:p>
        </w:tc>
      </w:tr>
    </w:tbl>
    <w:p w14:paraId="0FF200BF" w14:textId="77777777" w:rsidR="00D81FD7" w:rsidRPr="00D42B67" w:rsidRDefault="00D81FD7" w:rsidP="00D81FD7">
      <w:pPr>
        <w:jc w:val="both"/>
        <w:rPr>
          <w:rFonts w:ascii="Arial" w:hAnsi="Arial" w:cs="Arial"/>
          <w:szCs w:val="20"/>
          <w:lang w:val="en-US"/>
        </w:rPr>
      </w:pPr>
      <w:r w:rsidRPr="00D42B67">
        <w:rPr>
          <w:rFonts w:ascii="Arial" w:hAnsi="Arial" w:cs="Arial"/>
          <w:szCs w:val="20"/>
          <w:lang w:val="en-US"/>
        </w:rPr>
        <w:t xml:space="preserve">*Odds ratios (OR) are quoted per 1 unit increase in the predictor variable. For K18-M30 and -M65 the ORs are per 1 </w:t>
      </w:r>
      <w:proofErr w:type="spellStart"/>
      <w:r w:rsidRPr="00D42B67">
        <w:rPr>
          <w:rFonts w:ascii="Arial" w:hAnsi="Arial" w:cs="Arial"/>
          <w:szCs w:val="20"/>
          <w:lang w:val="en-US"/>
        </w:rPr>
        <w:t>kIU</w:t>
      </w:r>
      <w:proofErr w:type="spellEnd"/>
      <w:r w:rsidRPr="00D42B67">
        <w:rPr>
          <w:rFonts w:ascii="Arial" w:hAnsi="Arial" w:cs="Arial"/>
          <w:szCs w:val="20"/>
          <w:lang w:val="en-US"/>
        </w:rPr>
        <w:t>/L increase in serum concentration, for age it is per additional year and MELD score per whole point increase. For K18 M30:M65 ratio the OR is quoted per whole number increase.</w:t>
      </w:r>
    </w:p>
    <w:p w14:paraId="52135735" w14:textId="7E9ED244" w:rsidR="00D81FD7" w:rsidRPr="00D42B67" w:rsidRDefault="00D81FD7" w:rsidP="00D81FD7">
      <w:pPr>
        <w:jc w:val="both"/>
        <w:rPr>
          <w:rFonts w:ascii="Arial" w:hAnsi="Arial" w:cs="Arial"/>
          <w:lang w:val="en-US"/>
        </w:rPr>
      </w:pPr>
      <w:r w:rsidRPr="00D42B67">
        <w:rPr>
          <w:rFonts w:ascii="Arial" w:hAnsi="Arial" w:cs="Arial"/>
          <w:szCs w:val="20"/>
          <w:lang w:val="en-US"/>
        </w:rPr>
        <w:t>K18, keratin-18; OR, Odds Ratio; CI, confidence interval; MELD, Model for End-stage Liver Disease score.</w:t>
      </w:r>
      <w:r w:rsidRPr="00D42B67">
        <w:rPr>
          <w:rFonts w:ascii="Arial" w:hAnsi="Arial" w:cs="Arial"/>
          <w:lang w:val="en-US"/>
        </w:rPr>
        <w:t xml:space="preserve"> </w:t>
      </w:r>
      <w:r w:rsidRPr="00D42B67">
        <w:rPr>
          <w:rFonts w:ascii="Arial" w:hAnsi="Arial" w:cs="Arial"/>
          <w:lang w:val="en-US"/>
        </w:rPr>
        <w:br w:type="page"/>
      </w:r>
    </w:p>
    <w:p w14:paraId="353D0EDF" w14:textId="0E251495" w:rsidR="00935E61" w:rsidRPr="00D42B67" w:rsidRDefault="00935E61" w:rsidP="00935E61">
      <w:pPr>
        <w:spacing w:line="360" w:lineRule="auto"/>
        <w:jc w:val="both"/>
        <w:rPr>
          <w:rFonts w:ascii="Arial" w:eastAsiaTheme="minorHAnsi" w:hAnsi="Arial" w:cs="Arial"/>
          <w:sz w:val="16"/>
          <w:lang w:val="en-US"/>
        </w:rPr>
      </w:pPr>
      <w:r w:rsidRPr="00D42B67">
        <w:rPr>
          <w:rFonts w:ascii="Arial" w:hAnsi="Arial" w:cs="Arial"/>
          <w:b/>
          <w:noProof/>
          <w:lang w:val="en-US" w:eastAsia="de-DE"/>
        </w:rPr>
        <w:lastRenderedPageBreak/>
        <w:t xml:space="preserve">Supplementary </w:t>
      </w:r>
      <w:r w:rsidRPr="00D42B67">
        <w:rPr>
          <w:rStyle w:val="Heading1Char"/>
          <w:rFonts w:ascii="Arial" w:eastAsiaTheme="minorHAnsi" w:hAnsi="Arial" w:cs="Arial"/>
          <w:b/>
          <w:color w:val="auto"/>
          <w:sz w:val="22"/>
          <w:lang w:val="en-US"/>
        </w:rPr>
        <w:t xml:space="preserve">Table </w:t>
      </w:r>
      <w:r w:rsidR="00D81FD7" w:rsidRPr="00D42B67">
        <w:rPr>
          <w:rStyle w:val="Heading1Char"/>
          <w:rFonts w:ascii="Arial" w:eastAsiaTheme="minorHAnsi" w:hAnsi="Arial" w:cs="Arial"/>
          <w:b/>
          <w:color w:val="auto"/>
          <w:sz w:val="22"/>
          <w:lang w:val="en-US"/>
        </w:rPr>
        <w:t>5</w:t>
      </w:r>
      <w:r w:rsidRPr="00D42B67">
        <w:rPr>
          <w:rStyle w:val="Heading1Char"/>
          <w:rFonts w:ascii="Arial" w:eastAsiaTheme="minorHAnsi" w:hAnsi="Arial" w:cs="Arial"/>
          <w:color w:val="auto"/>
          <w:sz w:val="22"/>
          <w:lang w:val="en-US"/>
        </w:rPr>
        <w:t>. Logistic regression interaction analyses for the K18-M30:M65 ratio with prednisolone in relation to 90-day mortality.</w:t>
      </w:r>
    </w:p>
    <w:tbl>
      <w:tblPr>
        <w:tblStyle w:val="TableGrid"/>
        <w:tblW w:w="0" w:type="auto"/>
        <w:tblLook w:val="04A0" w:firstRow="1" w:lastRow="0" w:firstColumn="1" w:lastColumn="0" w:noHBand="0" w:noVBand="1"/>
      </w:tblPr>
      <w:tblGrid>
        <w:gridCol w:w="4934"/>
        <w:gridCol w:w="1283"/>
        <w:gridCol w:w="1603"/>
        <w:gridCol w:w="1196"/>
      </w:tblGrid>
      <w:tr w:rsidR="00935E61" w:rsidRPr="00D42B67" w14:paraId="1E7524D2" w14:textId="77777777" w:rsidTr="007A62B8">
        <w:tc>
          <w:tcPr>
            <w:tcW w:w="9016" w:type="dxa"/>
            <w:gridSpan w:val="4"/>
            <w:vAlign w:val="center"/>
          </w:tcPr>
          <w:p w14:paraId="219CFBD0" w14:textId="02E6C8EF" w:rsidR="00935E61" w:rsidRPr="00D42B67" w:rsidRDefault="00935E61" w:rsidP="007A62B8">
            <w:pPr>
              <w:spacing w:beforeLines="40" w:before="96" w:afterLines="40" w:after="96" w:line="240" w:lineRule="auto"/>
              <w:rPr>
                <w:rFonts w:ascii="Arial" w:hAnsi="Arial" w:cs="Arial"/>
                <w:sz w:val="20"/>
                <w:szCs w:val="20"/>
                <w:lang w:val="en-US"/>
              </w:rPr>
            </w:pPr>
            <w:r w:rsidRPr="00D42B67">
              <w:rPr>
                <w:rFonts w:ascii="Arial" w:hAnsi="Arial" w:cs="Arial"/>
                <w:sz w:val="20"/>
                <w:szCs w:val="20"/>
                <w:lang w:val="en-US"/>
              </w:rPr>
              <w:t>Adjusted analysis prednisolone and M30:M65 ratio</w:t>
            </w:r>
          </w:p>
        </w:tc>
      </w:tr>
      <w:tr w:rsidR="00935E61" w:rsidRPr="00D42B67" w14:paraId="1444BFD3" w14:textId="77777777" w:rsidTr="007A62B8">
        <w:tc>
          <w:tcPr>
            <w:tcW w:w="4934" w:type="dxa"/>
            <w:vAlign w:val="center"/>
          </w:tcPr>
          <w:p w14:paraId="0F123FFE" w14:textId="77777777" w:rsidR="00935E61" w:rsidRPr="00D42B67" w:rsidRDefault="00935E61" w:rsidP="007A62B8">
            <w:pPr>
              <w:spacing w:beforeLines="40" w:before="96" w:afterLines="40" w:after="96" w:line="240" w:lineRule="auto"/>
              <w:jc w:val="center"/>
              <w:rPr>
                <w:rFonts w:ascii="Arial" w:hAnsi="Arial" w:cs="Arial"/>
                <w:sz w:val="20"/>
                <w:szCs w:val="20"/>
                <w:lang w:val="en-US"/>
              </w:rPr>
            </w:pPr>
          </w:p>
        </w:tc>
        <w:tc>
          <w:tcPr>
            <w:tcW w:w="1283" w:type="dxa"/>
            <w:vAlign w:val="center"/>
          </w:tcPr>
          <w:p w14:paraId="4A2DB37D" w14:textId="0C6ED3F2"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OR</w:t>
            </w:r>
            <w:r w:rsidR="00B13D1E" w:rsidRPr="00D42B67">
              <w:rPr>
                <w:rFonts w:ascii="Arial" w:hAnsi="Arial" w:cs="Arial"/>
                <w:sz w:val="20"/>
                <w:szCs w:val="20"/>
              </w:rPr>
              <w:t>*</w:t>
            </w:r>
          </w:p>
        </w:tc>
        <w:tc>
          <w:tcPr>
            <w:tcW w:w="1603" w:type="dxa"/>
            <w:vAlign w:val="center"/>
          </w:tcPr>
          <w:p w14:paraId="564B8F6F" w14:textId="77777777"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95% CI</w:t>
            </w:r>
          </w:p>
        </w:tc>
        <w:tc>
          <w:tcPr>
            <w:tcW w:w="1196" w:type="dxa"/>
            <w:vAlign w:val="center"/>
          </w:tcPr>
          <w:p w14:paraId="2BCA8B0A" w14:textId="77777777"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i/>
                <w:sz w:val="20"/>
                <w:szCs w:val="20"/>
              </w:rPr>
              <w:t>p</w:t>
            </w:r>
          </w:p>
        </w:tc>
      </w:tr>
      <w:tr w:rsidR="00935E61" w:rsidRPr="00D42B67" w14:paraId="7FE33CCD" w14:textId="77777777" w:rsidTr="007A62B8">
        <w:tc>
          <w:tcPr>
            <w:tcW w:w="4934" w:type="dxa"/>
            <w:vAlign w:val="center"/>
          </w:tcPr>
          <w:p w14:paraId="2C7FB62E" w14:textId="77777777" w:rsidR="00935E61" w:rsidRPr="00D42B67" w:rsidRDefault="00935E61" w:rsidP="007A62B8">
            <w:pPr>
              <w:spacing w:beforeLines="40" w:before="96" w:afterLines="40" w:after="96" w:line="240" w:lineRule="auto"/>
              <w:rPr>
                <w:rFonts w:ascii="Arial" w:hAnsi="Arial" w:cs="Arial"/>
                <w:sz w:val="20"/>
                <w:szCs w:val="20"/>
              </w:rPr>
            </w:pPr>
            <w:r w:rsidRPr="00D42B67">
              <w:rPr>
                <w:rFonts w:ascii="Arial" w:hAnsi="Arial" w:cs="Arial"/>
                <w:sz w:val="20"/>
                <w:szCs w:val="20"/>
              </w:rPr>
              <w:t>Prednisolone</w:t>
            </w:r>
          </w:p>
        </w:tc>
        <w:tc>
          <w:tcPr>
            <w:tcW w:w="1283" w:type="dxa"/>
            <w:vAlign w:val="center"/>
          </w:tcPr>
          <w:p w14:paraId="3A7CC2DA" w14:textId="777BF842" w:rsidR="00935E61" w:rsidRPr="00D42B67" w:rsidRDefault="007A62B8"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0.934</w:t>
            </w:r>
          </w:p>
        </w:tc>
        <w:tc>
          <w:tcPr>
            <w:tcW w:w="1603" w:type="dxa"/>
            <w:vAlign w:val="center"/>
          </w:tcPr>
          <w:p w14:paraId="5F4BEB40" w14:textId="2328ACE4"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0</w:t>
            </w:r>
            <w:r w:rsidR="007A62B8" w:rsidRPr="00D42B67">
              <w:rPr>
                <w:rFonts w:ascii="Arial" w:hAnsi="Arial" w:cs="Arial"/>
                <w:sz w:val="20"/>
                <w:szCs w:val="20"/>
              </w:rPr>
              <w:t>.645 – 1.3</w:t>
            </w:r>
            <w:r w:rsidR="00932C84" w:rsidRPr="00D42B67">
              <w:rPr>
                <w:rFonts w:ascii="Arial" w:hAnsi="Arial" w:cs="Arial"/>
                <w:sz w:val="20"/>
                <w:szCs w:val="20"/>
              </w:rPr>
              <w:t>4</w:t>
            </w:r>
            <w:r w:rsidR="007A62B8" w:rsidRPr="00D42B67">
              <w:rPr>
                <w:rFonts w:ascii="Arial" w:hAnsi="Arial" w:cs="Arial"/>
                <w:sz w:val="20"/>
                <w:szCs w:val="20"/>
              </w:rPr>
              <w:t>9</w:t>
            </w:r>
          </w:p>
        </w:tc>
        <w:tc>
          <w:tcPr>
            <w:tcW w:w="1196" w:type="dxa"/>
            <w:vAlign w:val="center"/>
          </w:tcPr>
          <w:p w14:paraId="7E8CF014" w14:textId="119ECDD2"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0.</w:t>
            </w:r>
            <w:r w:rsidR="007A62B8" w:rsidRPr="00D42B67">
              <w:rPr>
                <w:rFonts w:ascii="Arial" w:hAnsi="Arial" w:cs="Arial"/>
                <w:sz w:val="20"/>
                <w:szCs w:val="20"/>
              </w:rPr>
              <w:t>714</w:t>
            </w:r>
          </w:p>
        </w:tc>
      </w:tr>
      <w:tr w:rsidR="00932C84" w:rsidRPr="00D42B67" w14:paraId="3622B404" w14:textId="77777777" w:rsidTr="00B61B2E">
        <w:trPr>
          <w:trHeight w:val="71"/>
        </w:trPr>
        <w:tc>
          <w:tcPr>
            <w:tcW w:w="4934" w:type="dxa"/>
            <w:vAlign w:val="center"/>
          </w:tcPr>
          <w:p w14:paraId="4BA08952" w14:textId="360792ED" w:rsidR="00932C84" w:rsidRPr="00D42B67" w:rsidRDefault="00932C84" w:rsidP="00932C84">
            <w:pPr>
              <w:spacing w:beforeLines="40" w:before="96" w:afterLines="40" w:after="96" w:line="240" w:lineRule="auto"/>
              <w:rPr>
                <w:rFonts w:ascii="Arial" w:hAnsi="Arial" w:cs="Arial"/>
                <w:sz w:val="20"/>
                <w:szCs w:val="20"/>
              </w:rPr>
            </w:pPr>
            <w:r w:rsidRPr="00D42B67">
              <w:rPr>
                <w:rFonts w:ascii="Arial" w:hAnsi="Arial" w:cs="Arial"/>
                <w:sz w:val="20"/>
                <w:szCs w:val="20"/>
              </w:rPr>
              <w:t>M30:M65 ratio</w:t>
            </w:r>
          </w:p>
        </w:tc>
        <w:tc>
          <w:tcPr>
            <w:tcW w:w="1283" w:type="dxa"/>
          </w:tcPr>
          <w:p w14:paraId="68C0EA93" w14:textId="07A524AB"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3.635</w:t>
            </w:r>
          </w:p>
        </w:tc>
        <w:tc>
          <w:tcPr>
            <w:tcW w:w="1603" w:type="dxa"/>
          </w:tcPr>
          <w:p w14:paraId="4BF3F6CC" w14:textId="2F2CED80"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1.206 – 10.75</w:t>
            </w:r>
          </w:p>
        </w:tc>
        <w:tc>
          <w:tcPr>
            <w:tcW w:w="1196" w:type="dxa"/>
          </w:tcPr>
          <w:p w14:paraId="694FD170" w14:textId="06BE69C1"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0.0201</w:t>
            </w:r>
          </w:p>
        </w:tc>
      </w:tr>
      <w:tr w:rsidR="00932C84" w:rsidRPr="00D42B67" w14:paraId="71CAD5CA" w14:textId="77777777" w:rsidTr="00B61B2E">
        <w:trPr>
          <w:trHeight w:val="71"/>
        </w:trPr>
        <w:tc>
          <w:tcPr>
            <w:tcW w:w="4934" w:type="dxa"/>
            <w:vAlign w:val="center"/>
          </w:tcPr>
          <w:p w14:paraId="272981C0" w14:textId="75FB1F7D" w:rsidR="00932C84" w:rsidRPr="00D42B67" w:rsidRDefault="00932C84" w:rsidP="00932C84">
            <w:pPr>
              <w:spacing w:beforeLines="40" w:before="96" w:afterLines="40" w:after="96" w:line="240" w:lineRule="auto"/>
              <w:rPr>
                <w:rFonts w:ascii="Arial" w:hAnsi="Arial" w:cs="Arial"/>
                <w:sz w:val="20"/>
                <w:szCs w:val="20"/>
              </w:rPr>
            </w:pPr>
            <w:r w:rsidRPr="00D42B67">
              <w:rPr>
                <w:rFonts w:ascii="Arial" w:hAnsi="Arial" w:cs="Arial"/>
                <w:noProof/>
                <w:sz w:val="20"/>
                <w:szCs w:val="20"/>
                <w:lang w:val="es-ES" w:eastAsia="de-DE"/>
              </w:rPr>
              <w:t>Age</w:t>
            </w:r>
          </w:p>
        </w:tc>
        <w:tc>
          <w:tcPr>
            <w:tcW w:w="1283" w:type="dxa"/>
          </w:tcPr>
          <w:p w14:paraId="7E63662F" w14:textId="73E925F3"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1.065</w:t>
            </w:r>
          </w:p>
        </w:tc>
        <w:tc>
          <w:tcPr>
            <w:tcW w:w="1603" w:type="dxa"/>
          </w:tcPr>
          <w:p w14:paraId="46540532" w14:textId="3CCD5391"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1.046 – 1.086</w:t>
            </w:r>
          </w:p>
        </w:tc>
        <w:tc>
          <w:tcPr>
            <w:tcW w:w="1196" w:type="dxa"/>
            <w:vAlign w:val="center"/>
          </w:tcPr>
          <w:p w14:paraId="20582D34" w14:textId="21240590"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&lt;0.0001</w:t>
            </w:r>
          </w:p>
        </w:tc>
      </w:tr>
      <w:tr w:rsidR="00932C84" w:rsidRPr="00D42B67" w14:paraId="327A3ED0" w14:textId="77777777" w:rsidTr="00B61B2E">
        <w:trPr>
          <w:trHeight w:val="71"/>
        </w:trPr>
        <w:tc>
          <w:tcPr>
            <w:tcW w:w="4934" w:type="dxa"/>
            <w:vAlign w:val="center"/>
          </w:tcPr>
          <w:p w14:paraId="7F1B3231" w14:textId="1B512B38" w:rsidR="00932C84" w:rsidRPr="00D42B67" w:rsidRDefault="00932C84" w:rsidP="00932C84">
            <w:pPr>
              <w:spacing w:beforeLines="40" w:before="96" w:afterLines="40" w:after="96" w:line="240" w:lineRule="auto"/>
              <w:rPr>
                <w:rFonts w:ascii="Arial" w:hAnsi="Arial" w:cs="Arial"/>
                <w:noProof/>
                <w:sz w:val="20"/>
                <w:szCs w:val="20"/>
                <w:lang w:val="es-ES" w:eastAsia="de-DE"/>
              </w:rPr>
            </w:pPr>
            <w:r w:rsidRPr="00D42B67">
              <w:rPr>
                <w:rFonts w:ascii="Arial" w:hAnsi="Arial" w:cs="Arial"/>
                <w:noProof/>
                <w:sz w:val="20"/>
                <w:szCs w:val="20"/>
                <w:lang w:val="es-ES" w:eastAsia="de-DE"/>
              </w:rPr>
              <w:t>MELD</w:t>
            </w:r>
          </w:p>
        </w:tc>
        <w:tc>
          <w:tcPr>
            <w:tcW w:w="1283" w:type="dxa"/>
          </w:tcPr>
          <w:p w14:paraId="516184B3" w14:textId="5261E179"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1.186</w:t>
            </w:r>
          </w:p>
        </w:tc>
        <w:tc>
          <w:tcPr>
            <w:tcW w:w="1603" w:type="dxa"/>
          </w:tcPr>
          <w:p w14:paraId="252CAD75" w14:textId="4BA59927"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1.140– 1.237</w:t>
            </w:r>
          </w:p>
        </w:tc>
        <w:tc>
          <w:tcPr>
            <w:tcW w:w="1196" w:type="dxa"/>
            <w:vAlign w:val="center"/>
          </w:tcPr>
          <w:p w14:paraId="3E072098" w14:textId="0BA4B5D1" w:rsidR="00932C84" w:rsidRPr="00D42B67" w:rsidRDefault="00932C84" w:rsidP="00932C84">
            <w:pPr>
              <w:spacing w:beforeLines="40" w:before="96" w:afterLines="40" w:after="96" w:line="240" w:lineRule="auto"/>
              <w:jc w:val="center"/>
              <w:rPr>
                <w:rFonts w:ascii="Arial" w:hAnsi="Arial" w:cs="Arial"/>
                <w:sz w:val="20"/>
                <w:szCs w:val="20"/>
              </w:rPr>
            </w:pPr>
            <w:r w:rsidRPr="00D42B67">
              <w:rPr>
                <w:rFonts w:ascii="Arial" w:hAnsi="Arial" w:cs="Arial"/>
                <w:sz w:val="20"/>
                <w:szCs w:val="20"/>
              </w:rPr>
              <w:t>&lt;0.0001</w:t>
            </w:r>
          </w:p>
        </w:tc>
      </w:tr>
      <w:tr w:rsidR="00935E61" w:rsidRPr="00D42B67" w14:paraId="7A018E8E" w14:textId="77777777" w:rsidTr="007A62B8">
        <w:tc>
          <w:tcPr>
            <w:tcW w:w="9016" w:type="dxa"/>
            <w:gridSpan w:val="4"/>
            <w:vAlign w:val="center"/>
          </w:tcPr>
          <w:p w14:paraId="69ABAC65" w14:textId="77777777" w:rsidR="00935E61" w:rsidRPr="00D42B67" w:rsidRDefault="00935E61" w:rsidP="007A62B8">
            <w:pPr>
              <w:spacing w:beforeLines="40" w:before="96" w:afterLines="40" w:after="96" w:line="240" w:lineRule="auto"/>
              <w:rPr>
                <w:rFonts w:ascii="Arial" w:hAnsi="Arial" w:cs="Arial"/>
                <w:sz w:val="20"/>
                <w:szCs w:val="20"/>
                <w:lang w:val="en-US"/>
              </w:rPr>
            </w:pPr>
          </w:p>
        </w:tc>
      </w:tr>
      <w:tr w:rsidR="00935E61" w:rsidRPr="00D42B67" w14:paraId="714E3382" w14:textId="77777777" w:rsidTr="007A62B8">
        <w:tc>
          <w:tcPr>
            <w:tcW w:w="9016" w:type="dxa"/>
            <w:gridSpan w:val="4"/>
            <w:vAlign w:val="center"/>
          </w:tcPr>
          <w:p w14:paraId="28C6E50F" w14:textId="44E210BB" w:rsidR="00935E61" w:rsidRPr="00D42B67" w:rsidRDefault="00AD2214" w:rsidP="007A62B8">
            <w:pPr>
              <w:spacing w:beforeLines="40" w:before="96" w:afterLines="40" w:after="96" w:line="240" w:lineRule="auto"/>
              <w:rPr>
                <w:rFonts w:ascii="Arial" w:hAnsi="Arial" w:cs="Arial"/>
                <w:sz w:val="20"/>
                <w:szCs w:val="20"/>
                <w:lang w:val="en-US"/>
              </w:rPr>
            </w:pPr>
            <w:r w:rsidRPr="00D42B67">
              <w:rPr>
                <w:rFonts w:ascii="Arial" w:hAnsi="Arial" w:cs="Arial"/>
                <w:sz w:val="20"/>
                <w:szCs w:val="20"/>
                <w:lang w:val="en-US"/>
              </w:rPr>
              <w:t>Adjusted i</w:t>
            </w:r>
            <w:r w:rsidR="00935E61" w:rsidRPr="00D42B67">
              <w:rPr>
                <w:rFonts w:ascii="Arial" w:hAnsi="Arial" w:cs="Arial"/>
                <w:sz w:val="20"/>
                <w:szCs w:val="20"/>
                <w:lang w:val="en-US"/>
              </w:rPr>
              <w:t>nteraction between prednisolone and M30:M65 ratio</w:t>
            </w:r>
          </w:p>
        </w:tc>
      </w:tr>
      <w:tr w:rsidR="00935E61" w:rsidRPr="00D42B67" w14:paraId="16DA4070" w14:textId="77777777" w:rsidTr="007A62B8">
        <w:tc>
          <w:tcPr>
            <w:tcW w:w="4934" w:type="dxa"/>
            <w:vAlign w:val="center"/>
          </w:tcPr>
          <w:p w14:paraId="601AF1DE" w14:textId="77777777" w:rsidR="00935E61" w:rsidRPr="00D42B67" w:rsidRDefault="00935E61" w:rsidP="007A62B8">
            <w:pPr>
              <w:spacing w:beforeLines="40" w:before="96" w:afterLines="40" w:after="96" w:line="240" w:lineRule="auto"/>
              <w:rPr>
                <w:rFonts w:ascii="Arial" w:hAnsi="Arial" w:cs="Arial"/>
                <w:sz w:val="20"/>
                <w:szCs w:val="20"/>
                <w:lang w:val="en-US"/>
              </w:rPr>
            </w:pPr>
          </w:p>
        </w:tc>
        <w:tc>
          <w:tcPr>
            <w:tcW w:w="1283" w:type="dxa"/>
            <w:vAlign w:val="center"/>
          </w:tcPr>
          <w:p w14:paraId="04BDC45E" w14:textId="77777777"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OR</w:t>
            </w:r>
          </w:p>
        </w:tc>
        <w:tc>
          <w:tcPr>
            <w:tcW w:w="1603" w:type="dxa"/>
            <w:vAlign w:val="center"/>
          </w:tcPr>
          <w:p w14:paraId="7F230124" w14:textId="77777777"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rPr>
              <w:t>95% CI</w:t>
            </w:r>
          </w:p>
        </w:tc>
        <w:tc>
          <w:tcPr>
            <w:tcW w:w="1196" w:type="dxa"/>
            <w:vAlign w:val="center"/>
          </w:tcPr>
          <w:p w14:paraId="7CEFCEB7" w14:textId="77777777" w:rsidR="00935E61" w:rsidRPr="00D42B67" w:rsidRDefault="00935E61" w:rsidP="007A62B8">
            <w:pPr>
              <w:spacing w:beforeLines="40" w:before="96" w:afterLines="40" w:after="96" w:line="240" w:lineRule="auto"/>
              <w:jc w:val="center"/>
              <w:rPr>
                <w:rFonts w:ascii="Arial" w:hAnsi="Arial" w:cs="Arial"/>
                <w:sz w:val="20"/>
                <w:szCs w:val="20"/>
              </w:rPr>
            </w:pPr>
            <w:r w:rsidRPr="00D42B67">
              <w:rPr>
                <w:rFonts w:ascii="Arial" w:hAnsi="Arial" w:cs="Arial"/>
                <w:i/>
                <w:sz w:val="20"/>
                <w:szCs w:val="20"/>
              </w:rPr>
              <w:t>p</w:t>
            </w:r>
          </w:p>
        </w:tc>
      </w:tr>
      <w:tr w:rsidR="00AD2214" w:rsidRPr="00D42B67" w14:paraId="1AFB3532" w14:textId="77777777" w:rsidTr="007A62B8">
        <w:tc>
          <w:tcPr>
            <w:tcW w:w="4934" w:type="dxa"/>
            <w:vAlign w:val="center"/>
          </w:tcPr>
          <w:p w14:paraId="4DE6C933" w14:textId="77777777" w:rsidR="00AD2214" w:rsidRPr="00D42B67" w:rsidRDefault="00AD2214" w:rsidP="007A62B8">
            <w:pPr>
              <w:spacing w:beforeLines="40" w:before="96" w:afterLines="40" w:after="96" w:line="240" w:lineRule="auto"/>
              <w:rPr>
                <w:rFonts w:ascii="Arial" w:hAnsi="Arial" w:cs="Arial"/>
                <w:sz w:val="20"/>
                <w:szCs w:val="20"/>
              </w:rPr>
            </w:pPr>
            <w:r w:rsidRPr="00D42B67">
              <w:rPr>
                <w:rFonts w:ascii="Arial" w:hAnsi="Arial" w:cs="Arial"/>
                <w:sz w:val="20"/>
                <w:szCs w:val="20"/>
              </w:rPr>
              <w:t>Prednisolone</w:t>
            </w:r>
          </w:p>
        </w:tc>
        <w:tc>
          <w:tcPr>
            <w:tcW w:w="1283" w:type="dxa"/>
            <w:vAlign w:val="center"/>
          </w:tcPr>
          <w:p w14:paraId="29C1926E" w14:textId="757874FA"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lang w:val="en-US"/>
              </w:rPr>
              <w:t>2.174</w:t>
            </w:r>
          </w:p>
        </w:tc>
        <w:tc>
          <w:tcPr>
            <w:tcW w:w="1603" w:type="dxa"/>
            <w:vAlign w:val="center"/>
          </w:tcPr>
          <w:p w14:paraId="021B44D4" w14:textId="5EE16E2C"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hAnsi="Arial" w:cs="Arial"/>
                <w:sz w:val="20"/>
                <w:szCs w:val="20"/>
                <w:lang w:val="en-US"/>
              </w:rPr>
              <w:t>0.696 – 6.974</w:t>
            </w:r>
          </w:p>
        </w:tc>
        <w:tc>
          <w:tcPr>
            <w:tcW w:w="1196" w:type="dxa"/>
            <w:vAlign w:val="center"/>
          </w:tcPr>
          <w:p w14:paraId="6B2C3BB3" w14:textId="3D36A8D9"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0.185</w:t>
            </w:r>
          </w:p>
        </w:tc>
      </w:tr>
      <w:tr w:rsidR="00AD2214" w:rsidRPr="00D42B67" w14:paraId="19166630" w14:textId="77777777" w:rsidTr="007A62B8">
        <w:tc>
          <w:tcPr>
            <w:tcW w:w="4934" w:type="dxa"/>
            <w:vAlign w:val="center"/>
          </w:tcPr>
          <w:p w14:paraId="3234909D" w14:textId="7D41BBF3" w:rsidR="00AD2214" w:rsidRPr="00D42B67" w:rsidRDefault="00AD2214" w:rsidP="007A62B8">
            <w:pPr>
              <w:spacing w:beforeLines="40" w:before="96" w:afterLines="40" w:after="96" w:line="240" w:lineRule="auto"/>
              <w:rPr>
                <w:rFonts w:ascii="Arial" w:hAnsi="Arial" w:cs="Arial"/>
                <w:sz w:val="20"/>
                <w:szCs w:val="20"/>
              </w:rPr>
            </w:pPr>
            <w:r w:rsidRPr="00D42B67">
              <w:rPr>
                <w:rFonts w:ascii="Arial" w:hAnsi="Arial" w:cs="Arial"/>
                <w:sz w:val="20"/>
                <w:szCs w:val="20"/>
              </w:rPr>
              <w:t>M30:M65 ratio</w:t>
            </w:r>
          </w:p>
        </w:tc>
        <w:tc>
          <w:tcPr>
            <w:tcW w:w="1283" w:type="dxa"/>
            <w:vAlign w:val="center"/>
          </w:tcPr>
          <w:p w14:paraId="259C9B86" w14:textId="6D5050BF"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7.849</w:t>
            </w:r>
          </w:p>
        </w:tc>
        <w:tc>
          <w:tcPr>
            <w:tcW w:w="1603" w:type="dxa"/>
            <w:vAlign w:val="center"/>
          </w:tcPr>
          <w:p w14:paraId="040717E9" w14:textId="095F5055"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 xml:space="preserve">1.800 </w:t>
            </w:r>
            <w:r w:rsidRPr="00D42B67">
              <w:rPr>
                <w:rFonts w:ascii="Arial" w:hAnsi="Arial" w:cs="Arial"/>
                <w:sz w:val="20"/>
                <w:szCs w:val="20"/>
                <w:lang w:val="en-US"/>
              </w:rPr>
              <w:t xml:space="preserve">– </w:t>
            </w:r>
            <w:r w:rsidRPr="00D42B67">
              <w:rPr>
                <w:rFonts w:ascii="Arial" w:eastAsia="Times New Roman" w:hAnsi="Arial" w:cs="Arial"/>
                <w:sz w:val="20"/>
                <w:szCs w:val="20"/>
                <w:lang w:val="en-GB" w:eastAsia="en-GB"/>
              </w:rPr>
              <w:t>34.90</w:t>
            </w:r>
          </w:p>
        </w:tc>
        <w:tc>
          <w:tcPr>
            <w:tcW w:w="1196" w:type="dxa"/>
            <w:vAlign w:val="center"/>
          </w:tcPr>
          <w:p w14:paraId="1F2CE9EA" w14:textId="33136E12"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0.0060</w:t>
            </w:r>
          </w:p>
        </w:tc>
      </w:tr>
      <w:tr w:rsidR="00AD2214" w:rsidRPr="00D42B67" w14:paraId="75C1F66C" w14:textId="77777777" w:rsidTr="007A62B8">
        <w:tc>
          <w:tcPr>
            <w:tcW w:w="4934" w:type="dxa"/>
            <w:vAlign w:val="center"/>
          </w:tcPr>
          <w:p w14:paraId="4A930E8F" w14:textId="77777777" w:rsidR="00AD2214" w:rsidRPr="00D42B67" w:rsidRDefault="00AD2214" w:rsidP="007A62B8">
            <w:pPr>
              <w:spacing w:beforeLines="40" w:before="96" w:afterLines="40" w:after="96" w:line="240" w:lineRule="auto"/>
              <w:rPr>
                <w:rFonts w:ascii="Arial" w:hAnsi="Arial" w:cs="Arial"/>
                <w:sz w:val="20"/>
                <w:szCs w:val="20"/>
              </w:rPr>
            </w:pPr>
            <w:r w:rsidRPr="00D42B67">
              <w:rPr>
                <w:rFonts w:ascii="Arial" w:hAnsi="Arial" w:cs="Arial"/>
                <w:sz w:val="20"/>
                <w:szCs w:val="20"/>
              </w:rPr>
              <w:t>Age</w:t>
            </w:r>
          </w:p>
        </w:tc>
        <w:tc>
          <w:tcPr>
            <w:tcW w:w="1283" w:type="dxa"/>
            <w:vAlign w:val="center"/>
          </w:tcPr>
          <w:p w14:paraId="06A25FF7" w14:textId="002FB373"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1.065</w:t>
            </w:r>
          </w:p>
        </w:tc>
        <w:tc>
          <w:tcPr>
            <w:tcW w:w="1603" w:type="dxa"/>
            <w:vAlign w:val="center"/>
          </w:tcPr>
          <w:p w14:paraId="1E483C4E" w14:textId="25DD9DB6"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 xml:space="preserve">1.045 </w:t>
            </w:r>
            <w:r w:rsidRPr="00D42B67">
              <w:rPr>
                <w:rFonts w:ascii="Arial" w:hAnsi="Arial" w:cs="Arial"/>
                <w:sz w:val="20"/>
                <w:szCs w:val="20"/>
                <w:lang w:val="en-US"/>
              </w:rPr>
              <w:t xml:space="preserve">– </w:t>
            </w:r>
            <w:r w:rsidRPr="00D42B67">
              <w:rPr>
                <w:rFonts w:ascii="Arial" w:eastAsia="Times New Roman" w:hAnsi="Arial" w:cs="Arial"/>
                <w:sz w:val="20"/>
                <w:szCs w:val="20"/>
                <w:lang w:val="en-GB" w:eastAsia="en-GB"/>
              </w:rPr>
              <w:t>1.086</w:t>
            </w:r>
          </w:p>
        </w:tc>
        <w:tc>
          <w:tcPr>
            <w:tcW w:w="1196" w:type="dxa"/>
            <w:vAlign w:val="center"/>
          </w:tcPr>
          <w:p w14:paraId="543E514E" w14:textId="2D0F0076"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&lt;0.0001</w:t>
            </w:r>
          </w:p>
        </w:tc>
      </w:tr>
      <w:tr w:rsidR="00AD2214" w:rsidRPr="00D42B67" w14:paraId="6D0FF857" w14:textId="77777777" w:rsidTr="007A62B8">
        <w:tc>
          <w:tcPr>
            <w:tcW w:w="4934" w:type="dxa"/>
            <w:vAlign w:val="center"/>
          </w:tcPr>
          <w:p w14:paraId="2D178C50" w14:textId="77777777" w:rsidR="00AD2214" w:rsidRPr="00D42B67" w:rsidRDefault="00AD2214" w:rsidP="007A62B8">
            <w:pPr>
              <w:spacing w:beforeLines="40" w:before="96" w:afterLines="40" w:after="96" w:line="240" w:lineRule="auto"/>
              <w:rPr>
                <w:rFonts w:ascii="Arial" w:hAnsi="Arial" w:cs="Arial"/>
                <w:sz w:val="20"/>
                <w:szCs w:val="20"/>
              </w:rPr>
            </w:pPr>
            <w:r w:rsidRPr="00D42B67">
              <w:rPr>
                <w:rFonts w:ascii="Arial" w:hAnsi="Arial" w:cs="Arial"/>
                <w:sz w:val="20"/>
                <w:szCs w:val="20"/>
              </w:rPr>
              <w:t>MELD</w:t>
            </w:r>
          </w:p>
        </w:tc>
        <w:tc>
          <w:tcPr>
            <w:tcW w:w="1283" w:type="dxa"/>
            <w:vAlign w:val="center"/>
          </w:tcPr>
          <w:p w14:paraId="7B6EB54C" w14:textId="24A23876"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1.186</w:t>
            </w:r>
          </w:p>
        </w:tc>
        <w:tc>
          <w:tcPr>
            <w:tcW w:w="1603" w:type="dxa"/>
            <w:vAlign w:val="center"/>
          </w:tcPr>
          <w:p w14:paraId="612E1573" w14:textId="67849978"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 xml:space="preserve">1.045 </w:t>
            </w:r>
            <w:r w:rsidRPr="00D42B67">
              <w:rPr>
                <w:rFonts w:ascii="Arial" w:hAnsi="Arial" w:cs="Arial"/>
                <w:sz w:val="20"/>
                <w:szCs w:val="20"/>
                <w:lang w:val="en-US"/>
              </w:rPr>
              <w:t xml:space="preserve">– </w:t>
            </w:r>
            <w:r w:rsidRPr="00D42B67">
              <w:rPr>
                <w:rFonts w:ascii="Arial" w:eastAsia="Times New Roman" w:hAnsi="Arial" w:cs="Arial"/>
                <w:sz w:val="20"/>
                <w:szCs w:val="20"/>
                <w:lang w:val="en-GB" w:eastAsia="en-GB"/>
              </w:rPr>
              <w:t>1.086</w:t>
            </w:r>
          </w:p>
        </w:tc>
        <w:tc>
          <w:tcPr>
            <w:tcW w:w="1196" w:type="dxa"/>
            <w:vAlign w:val="center"/>
          </w:tcPr>
          <w:p w14:paraId="3FF9CBE5" w14:textId="6A91C9CC"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&lt;0.0001</w:t>
            </w:r>
          </w:p>
        </w:tc>
      </w:tr>
      <w:tr w:rsidR="00AD2214" w:rsidRPr="00D42B67" w14:paraId="25FDB9BF" w14:textId="77777777" w:rsidTr="007A62B8">
        <w:tc>
          <w:tcPr>
            <w:tcW w:w="4934" w:type="dxa"/>
            <w:vAlign w:val="center"/>
          </w:tcPr>
          <w:p w14:paraId="18B70DE1" w14:textId="59D2458C" w:rsidR="00AD2214" w:rsidRPr="00D42B67" w:rsidRDefault="00AD2214" w:rsidP="007A62B8">
            <w:pPr>
              <w:spacing w:beforeLines="40" w:before="96" w:afterLines="40" w:after="96" w:line="240" w:lineRule="auto"/>
              <w:rPr>
                <w:rFonts w:ascii="Arial" w:hAnsi="Arial" w:cs="Arial"/>
                <w:sz w:val="20"/>
                <w:szCs w:val="20"/>
              </w:rPr>
            </w:pPr>
            <w:r w:rsidRPr="00D42B67">
              <w:rPr>
                <w:rFonts w:ascii="Arial" w:hAnsi="Arial" w:cs="Arial"/>
                <w:sz w:val="20"/>
                <w:szCs w:val="20"/>
              </w:rPr>
              <w:t>Prednisolone: M30:M65 ratio</w:t>
            </w:r>
          </w:p>
        </w:tc>
        <w:tc>
          <w:tcPr>
            <w:tcW w:w="1283" w:type="dxa"/>
            <w:vAlign w:val="center"/>
          </w:tcPr>
          <w:p w14:paraId="419C3659" w14:textId="396A993C"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0.177</w:t>
            </w:r>
          </w:p>
        </w:tc>
        <w:tc>
          <w:tcPr>
            <w:tcW w:w="1603" w:type="dxa"/>
            <w:vAlign w:val="center"/>
          </w:tcPr>
          <w:p w14:paraId="20DDC45C" w14:textId="5DAF2298"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 xml:space="preserve">0.018 </w:t>
            </w:r>
            <w:r w:rsidRPr="00D42B67">
              <w:rPr>
                <w:rFonts w:ascii="Arial" w:hAnsi="Arial" w:cs="Arial"/>
                <w:sz w:val="20"/>
                <w:szCs w:val="20"/>
                <w:lang w:val="en-US"/>
              </w:rPr>
              <w:t xml:space="preserve">– </w:t>
            </w:r>
            <w:r w:rsidRPr="00D42B67">
              <w:rPr>
                <w:rFonts w:ascii="Arial" w:eastAsia="Times New Roman" w:hAnsi="Arial" w:cs="Arial"/>
                <w:sz w:val="20"/>
                <w:szCs w:val="20"/>
                <w:lang w:val="en-GB" w:eastAsia="en-GB"/>
              </w:rPr>
              <w:t>1.605</w:t>
            </w:r>
          </w:p>
        </w:tc>
        <w:tc>
          <w:tcPr>
            <w:tcW w:w="1196" w:type="dxa"/>
            <w:vAlign w:val="center"/>
          </w:tcPr>
          <w:p w14:paraId="76C2B098" w14:textId="75F79343" w:rsidR="00AD2214" w:rsidRPr="00D42B67" w:rsidRDefault="00AD2214" w:rsidP="007A62B8">
            <w:pPr>
              <w:spacing w:beforeLines="40" w:before="96" w:afterLines="40" w:after="96" w:line="240" w:lineRule="auto"/>
              <w:jc w:val="center"/>
              <w:rPr>
                <w:rFonts w:ascii="Arial" w:hAnsi="Arial" w:cs="Arial"/>
                <w:sz w:val="20"/>
                <w:szCs w:val="20"/>
              </w:rPr>
            </w:pPr>
            <w:r w:rsidRPr="00D42B67">
              <w:rPr>
                <w:rFonts w:ascii="Arial" w:eastAsia="Times New Roman" w:hAnsi="Arial" w:cs="Arial"/>
                <w:sz w:val="20"/>
                <w:szCs w:val="20"/>
                <w:lang w:val="en-GB" w:eastAsia="en-GB"/>
              </w:rPr>
              <w:t>0.129</w:t>
            </w:r>
          </w:p>
        </w:tc>
      </w:tr>
    </w:tbl>
    <w:p w14:paraId="2EF97427" w14:textId="37C49AAE" w:rsidR="00935E61" w:rsidRPr="00D42B67" w:rsidRDefault="00935E61" w:rsidP="00935E61">
      <w:pPr>
        <w:jc w:val="both"/>
        <w:rPr>
          <w:rFonts w:ascii="Arial" w:hAnsi="Arial" w:cs="Arial"/>
          <w:szCs w:val="20"/>
          <w:lang w:val="en-US"/>
        </w:rPr>
      </w:pPr>
      <w:r w:rsidRPr="00D42B67">
        <w:rPr>
          <w:rFonts w:ascii="Arial" w:hAnsi="Arial" w:cs="Arial"/>
          <w:szCs w:val="20"/>
          <w:lang w:val="en-US"/>
        </w:rPr>
        <w:t>K18, keratin-18; OR, Odds Ratio; CI, confidence interval; MELD, Model for End-stage Liver Disease score.</w:t>
      </w:r>
      <w:r w:rsidR="00B13D1E" w:rsidRPr="00D42B67">
        <w:rPr>
          <w:rFonts w:ascii="Arial" w:hAnsi="Arial" w:cs="Arial"/>
          <w:szCs w:val="20"/>
          <w:lang w:val="en-US"/>
        </w:rPr>
        <w:t xml:space="preserve"> *Odds ratios (OR) are quoted per 1 unit increase in the predictor variable. For K18-M30 and -M65 the ORs are per 1 </w:t>
      </w:r>
      <w:proofErr w:type="spellStart"/>
      <w:r w:rsidR="00B13D1E" w:rsidRPr="00D42B67">
        <w:rPr>
          <w:rFonts w:ascii="Arial" w:hAnsi="Arial" w:cs="Arial"/>
          <w:szCs w:val="20"/>
          <w:lang w:val="en-US"/>
        </w:rPr>
        <w:t>kIU</w:t>
      </w:r>
      <w:proofErr w:type="spellEnd"/>
      <w:r w:rsidR="00B13D1E" w:rsidRPr="00D42B67">
        <w:rPr>
          <w:rFonts w:ascii="Arial" w:hAnsi="Arial" w:cs="Arial"/>
          <w:szCs w:val="20"/>
          <w:lang w:val="en-US"/>
        </w:rPr>
        <w:t>/L increase in serum concentration, for age it is per additional year and MELD score per whole point increase. For K18 M30:M65 ratio the OR is quoted per whole number increase</w:t>
      </w:r>
    </w:p>
    <w:p w14:paraId="39254EC2" w14:textId="0EDFA0F8" w:rsidR="00B61B2E" w:rsidRPr="00D42B67" w:rsidRDefault="00935E61" w:rsidP="00B61B2E">
      <w:pPr>
        <w:spacing w:line="360" w:lineRule="auto"/>
        <w:jc w:val="both"/>
        <w:rPr>
          <w:rFonts w:ascii="Arial" w:eastAsiaTheme="minorHAnsi" w:hAnsi="Arial" w:cs="Arial"/>
          <w:sz w:val="16"/>
          <w:lang w:val="en-US"/>
        </w:rPr>
      </w:pPr>
      <w:r w:rsidRPr="00D42B67">
        <w:rPr>
          <w:rFonts w:ascii="Arial" w:hAnsi="Arial" w:cs="Arial"/>
          <w:b/>
          <w:noProof/>
          <w:lang w:val="en-US" w:eastAsia="de-DE"/>
        </w:rPr>
        <w:br w:type="page"/>
      </w:r>
      <w:r w:rsidR="00B61B2E" w:rsidRPr="00D42B67">
        <w:rPr>
          <w:rFonts w:ascii="Arial" w:hAnsi="Arial" w:cs="Arial"/>
          <w:b/>
          <w:noProof/>
          <w:lang w:val="en-US" w:eastAsia="de-DE"/>
        </w:rPr>
        <w:lastRenderedPageBreak/>
        <w:t xml:space="preserve">Supplementary </w:t>
      </w:r>
      <w:r w:rsidR="00B61B2E" w:rsidRPr="00D42B67">
        <w:rPr>
          <w:rStyle w:val="Heading1Char"/>
          <w:rFonts w:ascii="Arial" w:eastAsiaTheme="minorHAnsi" w:hAnsi="Arial" w:cs="Arial"/>
          <w:b/>
          <w:color w:val="auto"/>
          <w:sz w:val="22"/>
          <w:lang w:val="en-US"/>
        </w:rPr>
        <w:t xml:space="preserve">Table </w:t>
      </w:r>
      <w:r w:rsidR="00D81FD7" w:rsidRPr="00D42B67">
        <w:rPr>
          <w:rStyle w:val="Heading1Char"/>
          <w:rFonts w:ascii="Arial" w:eastAsiaTheme="minorHAnsi" w:hAnsi="Arial" w:cs="Arial"/>
          <w:b/>
          <w:color w:val="auto"/>
          <w:sz w:val="22"/>
          <w:lang w:val="en-US"/>
        </w:rPr>
        <w:t>6</w:t>
      </w:r>
      <w:r w:rsidR="00B61B2E" w:rsidRPr="00D42B67">
        <w:rPr>
          <w:rStyle w:val="Heading1Char"/>
          <w:rFonts w:ascii="Arial" w:eastAsiaTheme="minorHAnsi" w:hAnsi="Arial" w:cs="Arial"/>
          <w:color w:val="auto"/>
          <w:sz w:val="22"/>
          <w:lang w:val="en-US"/>
        </w:rPr>
        <w:t>. Logistic regression interaction analyses for the Lille score with prednisolone in relation to 90-day mortality.</w:t>
      </w:r>
    </w:p>
    <w:tbl>
      <w:tblPr>
        <w:tblStyle w:val="TableGrid"/>
        <w:tblW w:w="0" w:type="auto"/>
        <w:tblLook w:val="04A0" w:firstRow="1" w:lastRow="0" w:firstColumn="1" w:lastColumn="0" w:noHBand="0" w:noVBand="1"/>
      </w:tblPr>
      <w:tblGrid>
        <w:gridCol w:w="4934"/>
        <w:gridCol w:w="1283"/>
        <w:gridCol w:w="1603"/>
        <w:gridCol w:w="1196"/>
      </w:tblGrid>
      <w:tr w:rsidR="00B61B2E" w:rsidRPr="00D42B67" w14:paraId="4AE32A20" w14:textId="77777777" w:rsidTr="00B61B2E">
        <w:tc>
          <w:tcPr>
            <w:tcW w:w="9016" w:type="dxa"/>
            <w:gridSpan w:val="4"/>
            <w:vAlign w:val="center"/>
          </w:tcPr>
          <w:p w14:paraId="674B32A7" w14:textId="68FC9674" w:rsidR="00B61B2E" w:rsidRPr="00D42B67" w:rsidRDefault="00B61B2E" w:rsidP="00B61B2E">
            <w:pPr>
              <w:spacing w:beforeLines="40" w:before="96" w:afterLines="40" w:after="96" w:line="240" w:lineRule="auto"/>
              <w:rPr>
                <w:rFonts w:ascii="Arial" w:hAnsi="Arial" w:cs="Arial"/>
                <w:sz w:val="20"/>
                <w:szCs w:val="20"/>
                <w:lang w:val="en-US"/>
              </w:rPr>
            </w:pPr>
            <w:r w:rsidRPr="00D42B67">
              <w:rPr>
                <w:rFonts w:ascii="Arial" w:hAnsi="Arial" w:cs="Arial"/>
                <w:sz w:val="20"/>
                <w:szCs w:val="20"/>
                <w:lang w:val="en-US"/>
              </w:rPr>
              <w:t>Adjusted analysis prednisolone and Lille score</w:t>
            </w:r>
          </w:p>
        </w:tc>
      </w:tr>
      <w:tr w:rsidR="00B61B2E" w:rsidRPr="00D42B67" w14:paraId="6C3271DF" w14:textId="77777777" w:rsidTr="00B61B2E">
        <w:tc>
          <w:tcPr>
            <w:tcW w:w="4934" w:type="dxa"/>
            <w:vAlign w:val="center"/>
          </w:tcPr>
          <w:p w14:paraId="07D3F854" w14:textId="77777777" w:rsidR="00B61B2E" w:rsidRPr="00D42B67" w:rsidRDefault="00B61B2E" w:rsidP="00B61B2E">
            <w:pPr>
              <w:spacing w:beforeLines="40" w:before="96" w:afterLines="40" w:after="96" w:line="240" w:lineRule="auto"/>
              <w:jc w:val="center"/>
              <w:rPr>
                <w:rFonts w:ascii="Arial" w:hAnsi="Arial" w:cs="Arial"/>
                <w:sz w:val="20"/>
                <w:szCs w:val="20"/>
                <w:lang w:val="en-US"/>
              </w:rPr>
            </w:pPr>
          </w:p>
        </w:tc>
        <w:tc>
          <w:tcPr>
            <w:tcW w:w="1283" w:type="dxa"/>
            <w:vAlign w:val="center"/>
          </w:tcPr>
          <w:p w14:paraId="69EA54CD" w14:textId="77777777"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 w:val="20"/>
                <w:szCs w:val="20"/>
              </w:rPr>
              <w:t>OR</w:t>
            </w:r>
          </w:p>
        </w:tc>
        <w:tc>
          <w:tcPr>
            <w:tcW w:w="1603" w:type="dxa"/>
            <w:vAlign w:val="center"/>
          </w:tcPr>
          <w:p w14:paraId="5DC435B5" w14:textId="77777777"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 w:val="20"/>
                <w:szCs w:val="20"/>
              </w:rPr>
              <w:t>95% CI</w:t>
            </w:r>
          </w:p>
        </w:tc>
        <w:tc>
          <w:tcPr>
            <w:tcW w:w="1196" w:type="dxa"/>
            <w:vAlign w:val="center"/>
          </w:tcPr>
          <w:p w14:paraId="4B4D368C" w14:textId="77777777"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i/>
                <w:sz w:val="20"/>
                <w:szCs w:val="20"/>
              </w:rPr>
              <w:t>p</w:t>
            </w:r>
          </w:p>
        </w:tc>
      </w:tr>
      <w:tr w:rsidR="00B61B2E" w:rsidRPr="00D42B67" w14:paraId="63DD08F3" w14:textId="77777777" w:rsidTr="00B61B2E">
        <w:tc>
          <w:tcPr>
            <w:tcW w:w="4934" w:type="dxa"/>
            <w:vAlign w:val="center"/>
          </w:tcPr>
          <w:p w14:paraId="6647701F" w14:textId="77777777" w:rsidR="00B61B2E" w:rsidRPr="00D42B67" w:rsidRDefault="00B61B2E" w:rsidP="00B61B2E">
            <w:pPr>
              <w:spacing w:beforeLines="40" w:before="96" w:afterLines="40" w:after="96" w:line="240" w:lineRule="auto"/>
              <w:rPr>
                <w:rFonts w:ascii="Arial" w:hAnsi="Arial" w:cs="Arial"/>
                <w:sz w:val="20"/>
                <w:szCs w:val="20"/>
              </w:rPr>
            </w:pPr>
            <w:r w:rsidRPr="00D42B67">
              <w:rPr>
                <w:rFonts w:ascii="Arial" w:hAnsi="Arial" w:cs="Arial"/>
                <w:sz w:val="20"/>
                <w:szCs w:val="20"/>
              </w:rPr>
              <w:t>Prednisolone</w:t>
            </w:r>
          </w:p>
        </w:tc>
        <w:tc>
          <w:tcPr>
            <w:tcW w:w="1283" w:type="dxa"/>
          </w:tcPr>
          <w:p w14:paraId="5DA535B1" w14:textId="6BA80FA6"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0.724</w:t>
            </w:r>
          </w:p>
        </w:tc>
        <w:tc>
          <w:tcPr>
            <w:tcW w:w="1603" w:type="dxa"/>
          </w:tcPr>
          <w:p w14:paraId="2609BEBD" w14:textId="1F7FB6B4"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0.301 – 1.724</w:t>
            </w:r>
          </w:p>
        </w:tc>
        <w:tc>
          <w:tcPr>
            <w:tcW w:w="1196" w:type="dxa"/>
          </w:tcPr>
          <w:p w14:paraId="5EE720AA" w14:textId="6B6541AC"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0.466</w:t>
            </w:r>
          </w:p>
        </w:tc>
      </w:tr>
      <w:tr w:rsidR="00B61B2E" w:rsidRPr="00D42B67" w14:paraId="18A451FD" w14:textId="77777777" w:rsidTr="00B61B2E">
        <w:trPr>
          <w:trHeight w:val="71"/>
        </w:trPr>
        <w:tc>
          <w:tcPr>
            <w:tcW w:w="4934" w:type="dxa"/>
            <w:vAlign w:val="center"/>
          </w:tcPr>
          <w:p w14:paraId="31AD4166" w14:textId="1110B9CB" w:rsidR="00B61B2E" w:rsidRPr="00D42B67" w:rsidRDefault="00B61B2E" w:rsidP="00B61B2E">
            <w:pPr>
              <w:spacing w:beforeLines="40" w:before="96" w:afterLines="40" w:after="96" w:line="240" w:lineRule="auto"/>
              <w:rPr>
                <w:rFonts w:ascii="Arial" w:hAnsi="Arial" w:cs="Arial"/>
                <w:sz w:val="20"/>
                <w:szCs w:val="20"/>
              </w:rPr>
            </w:pPr>
            <w:r w:rsidRPr="00D42B67">
              <w:rPr>
                <w:rFonts w:ascii="Arial" w:hAnsi="Arial" w:cs="Arial"/>
                <w:sz w:val="20"/>
                <w:szCs w:val="20"/>
              </w:rPr>
              <w:t>Lille score</w:t>
            </w:r>
          </w:p>
        </w:tc>
        <w:tc>
          <w:tcPr>
            <w:tcW w:w="1283" w:type="dxa"/>
          </w:tcPr>
          <w:p w14:paraId="5EB2A7D7" w14:textId="1DEFC15A"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2.822</w:t>
            </w:r>
          </w:p>
        </w:tc>
        <w:tc>
          <w:tcPr>
            <w:tcW w:w="1603" w:type="dxa"/>
          </w:tcPr>
          <w:p w14:paraId="06DDCF61" w14:textId="07E6CFE5"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1.069 – 7.622</w:t>
            </w:r>
          </w:p>
        </w:tc>
        <w:tc>
          <w:tcPr>
            <w:tcW w:w="1196" w:type="dxa"/>
          </w:tcPr>
          <w:p w14:paraId="066981C7" w14:textId="791F77E9"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0.0379</w:t>
            </w:r>
          </w:p>
        </w:tc>
      </w:tr>
      <w:tr w:rsidR="00B61B2E" w:rsidRPr="00D42B67" w14:paraId="21C5F03C" w14:textId="77777777" w:rsidTr="00B61B2E">
        <w:trPr>
          <w:trHeight w:val="71"/>
        </w:trPr>
        <w:tc>
          <w:tcPr>
            <w:tcW w:w="4934" w:type="dxa"/>
            <w:vAlign w:val="center"/>
          </w:tcPr>
          <w:p w14:paraId="72EA0E34" w14:textId="77777777" w:rsidR="00B61B2E" w:rsidRPr="00D42B67" w:rsidRDefault="00B61B2E" w:rsidP="00B61B2E">
            <w:pPr>
              <w:spacing w:beforeLines="40" w:before="96" w:afterLines="40" w:after="96" w:line="240" w:lineRule="auto"/>
              <w:rPr>
                <w:rFonts w:ascii="Arial" w:hAnsi="Arial" w:cs="Arial"/>
                <w:sz w:val="20"/>
                <w:szCs w:val="20"/>
              </w:rPr>
            </w:pPr>
            <w:r w:rsidRPr="00D42B67">
              <w:rPr>
                <w:rFonts w:ascii="Arial" w:hAnsi="Arial" w:cs="Arial"/>
                <w:noProof/>
                <w:sz w:val="20"/>
                <w:szCs w:val="20"/>
                <w:lang w:val="es-ES" w:eastAsia="de-DE"/>
              </w:rPr>
              <w:t>Age</w:t>
            </w:r>
          </w:p>
        </w:tc>
        <w:tc>
          <w:tcPr>
            <w:tcW w:w="1283" w:type="dxa"/>
          </w:tcPr>
          <w:p w14:paraId="182FE30B" w14:textId="11D95EDB"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1.047</w:t>
            </w:r>
          </w:p>
        </w:tc>
        <w:tc>
          <w:tcPr>
            <w:tcW w:w="1603" w:type="dxa"/>
          </w:tcPr>
          <w:p w14:paraId="0025E41B" w14:textId="022EE92D"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1.021 – 1.074</w:t>
            </w:r>
          </w:p>
        </w:tc>
        <w:tc>
          <w:tcPr>
            <w:tcW w:w="1196" w:type="dxa"/>
          </w:tcPr>
          <w:p w14:paraId="48ACA1BF" w14:textId="52C68D29"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0.0004</w:t>
            </w:r>
          </w:p>
        </w:tc>
      </w:tr>
      <w:tr w:rsidR="00B61B2E" w:rsidRPr="00D42B67" w14:paraId="708C1F1B" w14:textId="77777777" w:rsidTr="00B61B2E">
        <w:trPr>
          <w:trHeight w:val="71"/>
        </w:trPr>
        <w:tc>
          <w:tcPr>
            <w:tcW w:w="4934" w:type="dxa"/>
            <w:vAlign w:val="center"/>
          </w:tcPr>
          <w:p w14:paraId="419DF97A" w14:textId="77777777" w:rsidR="00B61B2E" w:rsidRPr="00D42B67" w:rsidRDefault="00B61B2E" w:rsidP="00B61B2E">
            <w:pPr>
              <w:spacing w:beforeLines="40" w:before="96" w:afterLines="40" w:after="96" w:line="240" w:lineRule="auto"/>
              <w:rPr>
                <w:rFonts w:ascii="Arial" w:hAnsi="Arial" w:cs="Arial"/>
                <w:noProof/>
                <w:sz w:val="20"/>
                <w:szCs w:val="20"/>
                <w:lang w:val="es-ES" w:eastAsia="de-DE"/>
              </w:rPr>
            </w:pPr>
            <w:r w:rsidRPr="00D42B67">
              <w:rPr>
                <w:rFonts w:ascii="Arial" w:hAnsi="Arial" w:cs="Arial"/>
                <w:noProof/>
                <w:sz w:val="20"/>
                <w:szCs w:val="20"/>
                <w:lang w:val="es-ES" w:eastAsia="de-DE"/>
              </w:rPr>
              <w:t>MELD</w:t>
            </w:r>
          </w:p>
        </w:tc>
        <w:tc>
          <w:tcPr>
            <w:tcW w:w="1283" w:type="dxa"/>
          </w:tcPr>
          <w:p w14:paraId="64788254" w14:textId="5B18C422"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1.121</w:t>
            </w:r>
          </w:p>
        </w:tc>
        <w:tc>
          <w:tcPr>
            <w:tcW w:w="1603" w:type="dxa"/>
          </w:tcPr>
          <w:p w14:paraId="7E2CB584" w14:textId="03BFAFA0"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1.065 – 1.183</w:t>
            </w:r>
          </w:p>
        </w:tc>
        <w:tc>
          <w:tcPr>
            <w:tcW w:w="1196" w:type="dxa"/>
          </w:tcPr>
          <w:p w14:paraId="143C8377" w14:textId="255F62C1"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&lt;0.0001</w:t>
            </w:r>
          </w:p>
        </w:tc>
      </w:tr>
      <w:tr w:rsidR="00B61B2E" w:rsidRPr="00D42B67" w14:paraId="1256F480" w14:textId="77777777" w:rsidTr="00B61B2E">
        <w:trPr>
          <w:trHeight w:val="71"/>
        </w:trPr>
        <w:tc>
          <w:tcPr>
            <w:tcW w:w="4934" w:type="dxa"/>
            <w:vAlign w:val="center"/>
          </w:tcPr>
          <w:p w14:paraId="0D26BF2D" w14:textId="1DA79EDD" w:rsidR="00B61B2E" w:rsidRPr="00D42B67" w:rsidRDefault="00B61B2E" w:rsidP="00B61B2E">
            <w:pPr>
              <w:spacing w:beforeLines="40" w:before="96" w:afterLines="40" w:after="96" w:line="240" w:lineRule="auto"/>
              <w:rPr>
                <w:rFonts w:ascii="Arial" w:hAnsi="Arial" w:cs="Arial"/>
                <w:noProof/>
                <w:sz w:val="20"/>
                <w:szCs w:val="20"/>
                <w:lang w:val="es-ES" w:eastAsia="de-DE"/>
              </w:rPr>
            </w:pPr>
            <w:r w:rsidRPr="00D42B67">
              <w:rPr>
                <w:rFonts w:ascii="Arial" w:hAnsi="Arial" w:cs="Arial"/>
                <w:noProof/>
                <w:sz w:val="20"/>
                <w:szCs w:val="20"/>
                <w:lang w:val="es-ES" w:eastAsia="de-DE"/>
              </w:rPr>
              <w:t>Prednisolone:Lille score</w:t>
            </w:r>
          </w:p>
        </w:tc>
        <w:tc>
          <w:tcPr>
            <w:tcW w:w="1283" w:type="dxa"/>
          </w:tcPr>
          <w:p w14:paraId="2280E9CE" w14:textId="188F8EB5"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1.352</w:t>
            </w:r>
          </w:p>
        </w:tc>
        <w:tc>
          <w:tcPr>
            <w:tcW w:w="1603" w:type="dxa"/>
          </w:tcPr>
          <w:p w14:paraId="4696501D" w14:textId="6DE6DBFD"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0.348 – 5.287</w:t>
            </w:r>
          </w:p>
        </w:tc>
        <w:tc>
          <w:tcPr>
            <w:tcW w:w="1196" w:type="dxa"/>
          </w:tcPr>
          <w:p w14:paraId="0F8C3EEE" w14:textId="566264A8" w:rsidR="00B61B2E" w:rsidRPr="00D42B67" w:rsidRDefault="00B61B2E" w:rsidP="00B61B2E">
            <w:pPr>
              <w:spacing w:beforeLines="40" w:before="96" w:afterLines="40" w:after="96" w:line="240" w:lineRule="auto"/>
              <w:jc w:val="center"/>
              <w:rPr>
                <w:rFonts w:ascii="Arial" w:hAnsi="Arial" w:cs="Arial"/>
                <w:sz w:val="20"/>
                <w:szCs w:val="20"/>
              </w:rPr>
            </w:pPr>
            <w:r w:rsidRPr="00D42B67">
              <w:rPr>
                <w:rFonts w:ascii="Arial" w:hAnsi="Arial" w:cs="Arial"/>
                <w:szCs w:val="20"/>
                <w:lang w:val="en-US"/>
              </w:rPr>
              <w:t>0.663</w:t>
            </w:r>
          </w:p>
        </w:tc>
      </w:tr>
    </w:tbl>
    <w:p w14:paraId="306B7D99" w14:textId="575C55C3" w:rsidR="00B61B2E" w:rsidRPr="00D42B67" w:rsidRDefault="00B61B2E" w:rsidP="00B61B2E">
      <w:pPr>
        <w:jc w:val="both"/>
        <w:rPr>
          <w:rFonts w:ascii="Arial" w:hAnsi="Arial" w:cs="Arial"/>
          <w:szCs w:val="20"/>
          <w:lang w:val="en-US"/>
        </w:rPr>
      </w:pPr>
      <w:r w:rsidRPr="00D42B67">
        <w:rPr>
          <w:rFonts w:ascii="Arial" w:hAnsi="Arial" w:cs="Arial"/>
          <w:szCs w:val="20"/>
          <w:lang w:val="en-US"/>
        </w:rPr>
        <w:t>OR, Odds Ratio; CI, confidence interval; MELD, Model for End-stage Liver Disease score.</w:t>
      </w:r>
    </w:p>
    <w:p w14:paraId="19FC6CB8" w14:textId="342F0729" w:rsidR="00935E61" w:rsidRPr="00D42B67" w:rsidRDefault="00B61B2E">
      <w:pPr>
        <w:spacing w:after="160" w:line="259" w:lineRule="auto"/>
        <w:rPr>
          <w:rFonts w:ascii="Arial" w:hAnsi="Arial" w:cs="Arial"/>
          <w:b/>
          <w:noProof/>
          <w:lang w:val="en-US" w:eastAsia="de-DE"/>
        </w:rPr>
      </w:pPr>
      <w:r w:rsidRPr="00D42B67">
        <w:rPr>
          <w:rFonts w:ascii="Arial" w:hAnsi="Arial" w:cs="Arial"/>
          <w:b/>
          <w:noProof/>
          <w:lang w:val="en-US" w:eastAsia="de-DE"/>
        </w:rPr>
        <w:br w:type="page"/>
      </w:r>
    </w:p>
    <w:p w14:paraId="02705203" w14:textId="77777777" w:rsidR="00C659E4" w:rsidRPr="00D42B67" w:rsidRDefault="00C659E4" w:rsidP="00C659E4">
      <w:pPr>
        <w:jc w:val="both"/>
        <w:rPr>
          <w:rFonts w:ascii="Arial" w:hAnsi="Arial" w:cs="Arial"/>
          <w:b/>
          <w:noProof/>
          <w:lang w:val="en-US" w:eastAsia="de-DE"/>
        </w:rPr>
      </w:pPr>
      <w:r w:rsidRPr="00D42B67">
        <w:rPr>
          <w:rFonts w:ascii="Arial" w:hAnsi="Arial" w:cs="Arial"/>
          <w:b/>
          <w:noProof/>
          <w:lang w:val="en-US" w:eastAsia="de-DE"/>
        </w:rPr>
        <w:lastRenderedPageBreak/>
        <w:t>SUPPLEMENTARY REFERENCES</w:t>
      </w:r>
    </w:p>
    <w:p w14:paraId="2A06FE21" w14:textId="77777777" w:rsidR="00C659E4" w:rsidRPr="00D42B67" w:rsidRDefault="00C659E4" w:rsidP="00C659E4">
      <w:pPr>
        <w:jc w:val="both"/>
        <w:rPr>
          <w:rFonts w:ascii="Arial" w:hAnsi="Arial" w:cs="Arial"/>
          <w:lang w:val="en-US"/>
        </w:rPr>
      </w:pPr>
      <w:r w:rsidRPr="00D42B67">
        <w:rPr>
          <w:rFonts w:ascii="Arial" w:hAnsi="Arial" w:cs="Arial"/>
          <w:noProof/>
          <w:lang w:val="en-US" w:eastAsia="de-DE"/>
        </w:rPr>
        <w:t>1.</w:t>
      </w:r>
      <w:r w:rsidRPr="00D42B67">
        <w:rPr>
          <w:rFonts w:ascii="Arial" w:hAnsi="Arial" w:cs="Arial"/>
          <w:lang w:val="en-US"/>
        </w:rPr>
        <w:t xml:space="preserve"> Forrest E, Mellor J, Stanton L, et al. Steroids or pentoxifylline for alcoholic hepatitis (STOPAH): study protocol for a </w:t>
      </w:r>
      <w:proofErr w:type="spellStart"/>
      <w:r w:rsidRPr="00D42B67">
        <w:rPr>
          <w:rFonts w:ascii="Arial" w:hAnsi="Arial" w:cs="Arial"/>
          <w:lang w:val="en-US"/>
        </w:rPr>
        <w:t>randomised</w:t>
      </w:r>
      <w:proofErr w:type="spellEnd"/>
      <w:r w:rsidRPr="00D42B67">
        <w:rPr>
          <w:rFonts w:ascii="Arial" w:hAnsi="Arial" w:cs="Arial"/>
          <w:lang w:val="en-US"/>
        </w:rPr>
        <w:t xml:space="preserve"> controlled trial. Trials 2013</w:t>
      </w:r>
      <w:proofErr w:type="gramStart"/>
      <w:r w:rsidRPr="00D42B67">
        <w:rPr>
          <w:rFonts w:ascii="Arial" w:hAnsi="Arial" w:cs="Arial"/>
          <w:lang w:val="en-US"/>
        </w:rPr>
        <w:t>;14:262</w:t>
      </w:r>
      <w:proofErr w:type="gramEnd"/>
      <w:r w:rsidRPr="00D42B67">
        <w:rPr>
          <w:rFonts w:ascii="Arial" w:hAnsi="Arial" w:cs="Arial"/>
          <w:lang w:val="en-US"/>
        </w:rPr>
        <w:t>.</w:t>
      </w:r>
    </w:p>
    <w:p w14:paraId="695004F1" w14:textId="77777777" w:rsidR="00C659E4" w:rsidRPr="00D42B67" w:rsidRDefault="00C659E4" w:rsidP="00C659E4">
      <w:pPr>
        <w:jc w:val="both"/>
        <w:rPr>
          <w:rFonts w:ascii="Arial" w:hAnsi="Arial" w:cs="Arial"/>
          <w:noProof/>
          <w:lang w:val="en-US" w:eastAsia="de-DE"/>
        </w:rPr>
      </w:pPr>
      <w:r w:rsidRPr="00D42B67">
        <w:rPr>
          <w:rFonts w:ascii="Arial" w:hAnsi="Arial" w:cs="Arial"/>
          <w:lang w:val="en-US"/>
        </w:rPr>
        <w:t xml:space="preserve">2. Thursz MR, Forrest EH, Ryder S, et al. Prednisolone or Pentoxifylline for Alcoholic Hepatitis. </w:t>
      </w:r>
      <w:r w:rsidRPr="00D42B67">
        <w:rPr>
          <w:rFonts w:ascii="Arial" w:hAnsi="Arial" w:cs="Arial"/>
          <w:lang w:val="es-ES"/>
        </w:rPr>
        <w:t xml:space="preserve">N </w:t>
      </w:r>
      <w:proofErr w:type="spellStart"/>
      <w:r w:rsidRPr="00D42B67">
        <w:rPr>
          <w:rFonts w:ascii="Arial" w:hAnsi="Arial" w:cs="Arial"/>
          <w:lang w:val="es-ES"/>
        </w:rPr>
        <w:t>Engl</w:t>
      </w:r>
      <w:proofErr w:type="spellEnd"/>
      <w:r w:rsidRPr="00D42B67">
        <w:rPr>
          <w:rFonts w:ascii="Arial" w:hAnsi="Arial" w:cs="Arial"/>
          <w:lang w:val="es-ES"/>
        </w:rPr>
        <w:t xml:space="preserve"> J </w:t>
      </w:r>
      <w:proofErr w:type="spellStart"/>
      <w:r w:rsidRPr="00D42B67">
        <w:rPr>
          <w:rFonts w:ascii="Arial" w:hAnsi="Arial" w:cs="Arial"/>
          <w:lang w:val="es-ES"/>
        </w:rPr>
        <w:t>Med</w:t>
      </w:r>
      <w:proofErr w:type="spellEnd"/>
      <w:r w:rsidRPr="00D42B67">
        <w:rPr>
          <w:rFonts w:ascii="Arial" w:hAnsi="Arial" w:cs="Arial"/>
          <w:lang w:val="es-ES"/>
        </w:rPr>
        <w:t xml:space="preserve"> </w:t>
      </w:r>
      <w:proofErr w:type="gramStart"/>
      <w:r w:rsidRPr="00D42B67">
        <w:rPr>
          <w:rFonts w:ascii="Arial" w:hAnsi="Arial" w:cs="Arial"/>
          <w:lang w:val="es-ES"/>
        </w:rPr>
        <w:t>2015;373:282</w:t>
      </w:r>
      <w:proofErr w:type="gramEnd"/>
      <w:r w:rsidRPr="00D42B67">
        <w:rPr>
          <w:rFonts w:ascii="Arial" w:hAnsi="Arial" w:cs="Arial"/>
          <w:lang w:val="es-ES"/>
        </w:rPr>
        <w:t xml:space="preserve">-3.Altamirano J, Miquel R, </w:t>
      </w:r>
      <w:proofErr w:type="spellStart"/>
      <w:r w:rsidRPr="00D42B67">
        <w:rPr>
          <w:rFonts w:ascii="Arial" w:hAnsi="Arial" w:cs="Arial"/>
          <w:lang w:val="es-ES"/>
        </w:rPr>
        <w:t>Katoonizadeh</w:t>
      </w:r>
      <w:proofErr w:type="spellEnd"/>
      <w:r w:rsidRPr="00D42B67">
        <w:rPr>
          <w:rFonts w:ascii="Arial" w:hAnsi="Arial" w:cs="Arial"/>
          <w:lang w:val="es-ES"/>
        </w:rPr>
        <w:t xml:space="preserve"> A, et al. </w:t>
      </w:r>
      <w:r w:rsidRPr="00D42B67">
        <w:rPr>
          <w:rFonts w:ascii="Arial" w:hAnsi="Arial" w:cs="Arial"/>
          <w:lang w:val="en-US"/>
        </w:rPr>
        <w:t>A histologic scoring system for prognosis of patients with alcoholic hepatitis. Gastroenterology 2014</w:t>
      </w:r>
      <w:proofErr w:type="gramStart"/>
      <w:r w:rsidRPr="00D42B67">
        <w:rPr>
          <w:rFonts w:ascii="Arial" w:hAnsi="Arial" w:cs="Arial"/>
          <w:lang w:val="en-US"/>
        </w:rPr>
        <w:t>;146:1231</w:t>
      </w:r>
      <w:proofErr w:type="gramEnd"/>
      <w:r w:rsidRPr="00D42B67">
        <w:rPr>
          <w:rFonts w:ascii="Arial" w:hAnsi="Arial" w:cs="Arial"/>
          <w:lang w:val="en-US"/>
        </w:rPr>
        <w:t>-9 e1-6</w:t>
      </w:r>
    </w:p>
    <w:p w14:paraId="3DDA70EF" w14:textId="77777777" w:rsidR="00A43D8A" w:rsidRPr="00D42B67" w:rsidRDefault="00C659E4" w:rsidP="00C659E4">
      <w:pPr>
        <w:jc w:val="both"/>
        <w:rPr>
          <w:rFonts w:ascii="Arial" w:hAnsi="Arial" w:cs="Arial"/>
          <w:lang w:val="en-US"/>
        </w:rPr>
      </w:pPr>
      <w:r w:rsidRPr="00D42B67">
        <w:rPr>
          <w:rFonts w:ascii="Arial" w:hAnsi="Arial" w:cs="Arial"/>
          <w:lang w:val="en-US"/>
        </w:rPr>
        <w:t xml:space="preserve">3. </w:t>
      </w:r>
      <w:r w:rsidR="00A43D8A" w:rsidRPr="00D42B67">
        <w:rPr>
          <w:rFonts w:ascii="Arial" w:hAnsi="Arial" w:cs="Arial"/>
          <w:lang w:val="en-US"/>
        </w:rPr>
        <w:t xml:space="preserve">Bradley CR, Cox EF, Scott RA, et al. Multi-organ assessment of compensated </w:t>
      </w:r>
      <w:proofErr w:type="spellStart"/>
      <w:r w:rsidR="00A43D8A" w:rsidRPr="00D42B67">
        <w:rPr>
          <w:rFonts w:ascii="Arial" w:hAnsi="Arial" w:cs="Arial"/>
          <w:lang w:val="en-US"/>
        </w:rPr>
        <w:t>cirrosis</w:t>
      </w:r>
      <w:proofErr w:type="spellEnd"/>
      <w:r w:rsidR="00A43D8A" w:rsidRPr="00D42B67">
        <w:rPr>
          <w:rFonts w:ascii="Arial" w:hAnsi="Arial" w:cs="Arial"/>
          <w:lang w:val="en-US"/>
        </w:rPr>
        <w:t xml:space="preserve"> patients using quantitative magnetic resonance imaging. Journal of Hepatology</w:t>
      </w:r>
      <w:r w:rsidR="00DF3D6F" w:rsidRPr="00D42B67">
        <w:rPr>
          <w:rFonts w:ascii="Arial" w:hAnsi="Arial" w:cs="Arial"/>
          <w:lang w:val="en-US"/>
        </w:rPr>
        <w:t xml:space="preserve"> 2018; 69:1015-24</w:t>
      </w:r>
    </w:p>
    <w:p w14:paraId="002B636F" w14:textId="77777777" w:rsidR="00C659E4" w:rsidRPr="00D42B67" w:rsidRDefault="00A43D8A" w:rsidP="00C659E4">
      <w:pPr>
        <w:jc w:val="both"/>
        <w:rPr>
          <w:rFonts w:ascii="Arial" w:hAnsi="Arial" w:cs="Arial"/>
          <w:lang w:val="en-US"/>
        </w:rPr>
      </w:pPr>
      <w:r w:rsidRPr="00D42B67">
        <w:rPr>
          <w:rFonts w:ascii="Arial" w:hAnsi="Arial" w:cs="Arial"/>
          <w:lang w:val="en-US"/>
        </w:rPr>
        <w:t xml:space="preserve">4. </w:t>
      </w:r>
      <w:r w:rsidR="00C659E4" w:rsidRPr="00D42B67">
        <w:rPr>
          <w:rFonts w:ascii="Arial" w:hAnsi="Arial" w:cs="Arial"/>
          <w:lang w:val="en-US"/>
        </w:rPr>
        <w:t xml:space="preserve">Altamirano J, </w:t>
      </w:r>
      <w:proofErr w:type="spellStart"/>
      <w:r w:rsidR="00C659E4" w:rsidRPr="00D42B67">
        <w:rPr>
          <w:rFonts w:ascii="Arial" w:hAnsi="Arial" w:cs="Arial"/>
          <w:lang w:val="en-US"/>
        </w:rPr>
        <w:t>Miquel</w:t>
      </w:r>
      <w:proofErr w:type="spellEnd"/>
      <w:r w:rsidR="00C659E4" w:rsidRPr="00D42B67">
        <w:rPr>
          <w:rFonts w:ascii="Arial" w:hAnsi="Arial" w:cs="Arial"/>
          <w:lang w:val="en-US"/>
        </w:rPr>
        <w:t xml:space="preserve"> R, </w:t>
      </w:r>
      <w:proofErr w:type="spellStart"/>
      <w:r w:rsidR="00C659E4" w:rsidRPr="00D42B67">
        <w:rPr>
          <w:rFonts w:ascii="Arial" w:hAnsi="Arial" w:cs="Arial"/>
          <w:lang w:val="en-US"/>
        </w:rPr>
        <w:t>Katoonizadeh</w:t>
      </w:r>
      <w:proofErr w:type="spellEnd"/>
      <w:r w:rsidR="00C659E4" w:rsidRPr="00D42B67">
        <w:rPr>
          <w:rFonts w:ascii="Arial" w:hAnsi="Arial" w:cs="Arial"/>
          <w:lang w:val="en-US"/>
        </w:rPr>
        <w:t xml:space="preserve"> A, et al. A histologic scoring system for prognosis of patients with alcoholic hepatitis. Gastroenterology 2014</w:t>
      </w:r>
      <w:proofErr w:type="gramStart"/>
      <w:r w:rsidR="00C659E4" w:rsidRPr="00D42B67">
        <w:rPr>
          <w:rFonts w:ascii="Arial" w:hAnsi="Arial" w:cs="Arial"/>
          <w:lang w:val="en-US"/>
        </w:rPr>
        <w:t>;146:1231</w:t>
      </w:r>
      <w:proofErr w:type="gramEnd"/>
      <w:r w:rsidR="00C659E4" w:rsidRPr="00D42B67">
        <w:rPr>
          <w:rFonts w:ascii="Arial" w:hAnsi="Arial" w:cs="Arial"/>
          <w:lang w:val="en-US"/>
        </w:rPr>
        <w:t>-9 e1-6</w:t>
      </w:r>
    </w:p>
    <w:p w14:paraId="1B924E4D" w14:textId="77777777" w:rsidR="00C659E4" w:rsidRPr="00D42B67" w:rsidRDefault="00A43D8A" w:rsidP="00C659E4">
      <w:pPr>
        <w:jc w:val="both"/>
        <w:rPr>
          <w:rFonts w:ascii="Arial" w:hAnsi="Arial" w:cs="Arial"/>
        </w:rPr>
      </w:pPr>
      <w:r w:rsidRPr="00D42B67">
        <w:rPr>
          <w:rFonts w:ascii="Arial" w:hAnsi="Arial" w:cs="Arial"/>
          <w:noProof/>
          <w:lang w:val="en-US" w:eastAsia="de-DE"/>
        </w:rPr>
        <w:t>5</w:t>
      </w:r>
      <w:r w:rsidR="00C659E4" w:rsidRPr="00D42B67">
        <w:rPr>
          <w:rFonts w:ascii="Arial" w:hAnsi="Arial" w:cs="Arial"/>
          <w:noProof/>
          <w:lang w:val="en-US" w:eastAsia="de-DE"/>
        </w:rPr>
        <w:t xml:space="preserve">. </w:t>
      </w:r>
      <w:proofErr w:type="spellStart"/>
      <w:r w:rsidR="00C659E4" w:rsidRPr="00D42B67">
        <w:rPr>
          <w:rFonts w:ascii="Arial" w:hAnsi="Arial" w:cs="Arial"/>
          <w:lang w:val="en-US"/>
        </w:rPr>
        <w:t>Wanless</w:t>
      </w:r>
      <w:proofErr w:type="spellEnd"/>
      <w:r w:rsidR="00C659E4" w:rsidRPr="00D42B67">
        <w:rPr>
          <w:rFonts w:ascii="Arial" w:hAnsi="Arial" w:cs="Arial"/>
          <w:lang w:val="en-US"/>
        </w:rPr>
        <w:t xml:space="preserve"> IR, Sweeney G, Dhillon AP, et al. Lack of progressive hepatic fibrosis during long-term therapy with deferiprone in subjects with transfusion-dependent beta-thalassemia. </w:t>
      </w:r>
      <w:r w:rsidR="00C659E4" w:rsidRPr="00D42B67">
        <w:rPr>
          <w:rFonts w:ascii="Arial" w:hAnsi="Arial" w:cs="Arial"/>
        </w:rPr>
        <w:t>Blood 2002;100:1566-9</w:t>
      </w:r>
    </w:p>
    <w:p w14:paraId="44CEBDEB" w14:textId="77777777" w:rsidR="0009335F" w:rsidRPr="00D42B67" w:rsidRDefault="0009335F">
      <w:pPr>
        <w:spacing w:after="160" w:line="259" w:lineRule="auto"/>
        <w:rPr>
          <w:rFonts w:ascii="Arial" w:hAnsi="Arial" w:cs="Arial"/>
          <w:b/>
          <w:caps/>
          <w:noProof/>
          <w:lang w:val="en-US" w:eastAsia="de-DE"/>
        </w:rPr>
      </w:pPr>
      <w:r w:rsidRPr="00D42B67">
        <w:rPr>
          <w:rFonts w:ascii="Arial" w:hAnsi="Arial" w:cs="Arial"/>
          <w:b/>
          <w:caps/>
          <w:noProof/>
          <w:lang w:val="en-US" w:eastAsia="de-DE"/>
        </w:rPr>
        <w:br w:type="page"/>
      </w:r>
    </w:p>
    <w:p w14:paraId="598990D5" w14:textId="7B4C9A77" w:rsidR="0009335F" w:rsidRPr="00D42B67" w:rsidRDefault="0009335F" w:rsidP="0009335F">
      <w:pPr>
        <w:rPr>
          <w:rFonts w:ascii="Arial" w:hAnsi="Arial" w:cs="Arial"/>
          <w:b/>
          <w:caps/>
          <w:noProof/>
          <w:lang w:val="en-US" w:eastAsia="de-DE"/>
        </w:rPr>
      </w:pPr>
      <w:r w:rsidRPr="00D42B67">
        <w:rPr>
          <w:rFonts w:ascii="Arial" w:hAnsi="Arial" w:cs="Arial"/>
          <w:b/>
          <w:caps/>
          <w:noProof/>
          <w:lang w:val="en-US" w:eastAsia="de-DE"/>
        </w:rPr>
        <w:lastRenderedPageBreak/>
        <w:t>Supplementary Figure Legends</w:t>
      </w:r>
    </w:p>
    <w:p w14:paraId="0D863225" w14:textId="77777777" w:rsidR="0009335F" w:rsidRPr="00D42B67" w:rsidRDefault="0009335F" w:rsidP="0009335F">
      <w:pPr>
        <w:jc w:val="both"/>
        <w:rPr>
          <w:rFonts w:ascii="Arial" w:hAnsi="Arial" w:cs="Arial"/>
          <w:sz w:val="20"/>
          <w:szCs w:val="20"/>
          <w:lang w:val="en-US"/>
        </w:rPr>
      </w:pPr>
      <w:r w:rsidRPr="00D42B67">
        <w:rPr>
          <w:rFonts w:ascii="Arial" w:hAnsi="Arial" w:cs="Arial"/>
          <w:b/>
          <w:noProof/>
          <w:lang w:val="en-US" w:eastAsia="de-DE"/>
        </w:rPr>
        <w:t xml:space="preserve">Supplementary Figure 1. </w:t>
      </w:r>
      <w:r w:rsidRPr="00D42B67">
        <w:rPr>
          <w:rFonts w:ascii="Arial" w:hAnsi="Arial" w:cs="Arial"/>
          <w:noProof/>
          <w:lang w:val="en-US" w:eastAsia="de-DE"/>
        </w:rPr>
        <w:t>Levels of serum K18-M30 (a,d), K18-M65 (b,e) and K18-M30:K18-M65 ratio (c,f) in patients defined by the presence or absence of Mallory-Denk bodies (a-c) or megamitochondira (d-f) on liver biopsy. Data are displayed as the median (solid bar), interquartile range (box) and 95% confidence interval (whiskers).</w:t>
      </w:r>
    </w:p>
    <w:p w14:paraId="703E6518" w14:textId="42A6CF4B" w:rsidR="0009335F" w:rsidRPr="00D42B67" w:rsidRDefault="0009335F" w:rsidP="0009335F">
      <w:pPr>
        <w:jc w:val="both"/>
        <w:rPr>
          <w:rFonts w:ascii="Arial" w:hAnsi="Arial" w:cs="Arial"/>
          <w:sz w:val="20"/>
          <w:szCs w:val="20"/>
          <w:lang w:val="en-US"/>
        </w:rPr>
      </w:pPr>
      <w:r w:rsidRPr="00D42B67">
        <w:rPr>
          <w:rFonts w:ascii="Arial" w:hAnsi="Arial" w:cs="Arial"/>
          <w:b/>
          <w:noProof/>
          <w:lang w:val="en-US" w:eastAsia="de-DE"/>
        </w:rPr>
        <w:t xml:space="preserve">Supplementary Figure 2. </w:t>
      </w:r>
      <w:r w:rsidRPr="00D42B67">
        <w:rPr>
          <w:rFonts w:ascii="Arial" w:hAnsi="Arial" w:cs="Arial"/>
          <w:noProof/>
          <w:lang w:val="en-US" w:eastAsia="de-DE"/>
        </w:rPr>
        <w:t>Levels of serum K18-M30:K18-M65 ratio in patients with different histological Lae</w:t>
      </w:r>
      <w:r w:rsidR="006A21C2">
        <w:rPr>
          <w:rFonts w:ascii="Arial" w:hAnsi="Arial" w:cs="Arial"/>
          <w:noProof/>
          <w:lang w:val="en-US" w:eastAsia="de-DE"/>
        </w:rPr>
        <w:t>n</w:t>
      </w:r>
      <w:bookmarkStart w:id="0" w:name="_GoBack"/>
      <w:bookmarkEnd w:id="0"/>
      <w:r w:rsidRPr="00D42B67">
        <w:rPr>
          <w:rFonts w:ascii="Arial" w:hAnsi="Arial" w:cs="Arial"/>
          <w:noProof/>
          <w:lang w:val="en-US" w:eastAsia="de-DE"/>
        </w:rPr>
        <w:t xml:space="preserve">nec fibrosis stages (a), inflammation severities (b) and hepatocyte ballooning severities (c) on liver biopsy according to the </w:t>
      </w:r>
      <w:r w:rsidRPr="00D42B67">
        <w:rPr>
          <w:rFonts w:ascii="Arial" w:hAnsi="Arial" w:cs="Arial"/>
          <w:lang w:val="en-US"/>
        </w:rPr>
        <w:t>alcoholic hepatitis histological scoring system</w:t>
      </w:r>
      <w:r w:rsidRPr="00D42B67">
        <w:rPr>
          <w:rFonts w:ascii="Arial" w:hAnsi="Arial" w:cs="Arial"/>
          <w:noProof/>
          <w:lang w:val="en-US" w:eastAsia="de-DE"/>
        </w:rPr>
        <w:t xml:space="preserve"> (AHHS). Data are displayed as the median (solid bar), interquartile range (box) and 95% confidence interval (whiskers).</w:t>
      </w:r>
      <w:r w:rsidRPr="00D42B67">
        <w:rPr>
          <w:rFonts w:ascii="Arial" w:hAnsi="Arial" w:cs="Arial"/>
          <w:sz w:val="20"/>
          <w:szCs w:val="20"/>
          <w:lang w:val="en-US"/>
        </w:rPr>
        <w:t xml:space="preserve"> </w:t>
      </w:r>
    </w:p>
    <w:p w14:paraId="24B937A4" w14:textId="77777777" w:rsidR="0009335F" w:rsidRPr="00D42B67" w:rsidRDefault="0009335F" w:rsidP="0009335F">
      <w:pPr>
        <w:rPr>
          <w:rFonts w:ascii="Arial" w:hAnsi="Arial" w:cs="Arial"/>
          <w:b/>
          <w:lang w:val="en-US"/>
        </w:rPr>
      </w:pPr>
      <w:r w:rsidRPr="00D42B67">
        <w:rPr>
          <w:rFonts w:ascii="Arial" w:hAnsi="Arial" w:cs="Arial"/>
          <w:b/>
          <w:noProof/>
          <w:lang w:val="en-US" w:eastAsia="de-DE"/>
        </w:rPr>
        <w:t xml:space="preserve">Supplementary Figure 3. </w:t>
      </w:r>
      <w:r w:rsidRPr="00D42B67">
        <w:rPr>
          <w:rFonts w:ascii="Arial" w:hAnsi="Arial" w:cs="Arial"/>
          <w:lang w:val="en-US"/>
        </w:rPr>
        <w:t>Correlation between serum keratin 18 (K18) fragments M30/M65 and clinical scores.</w:t>
      </w:r>
      <w:r w:rsidRPr="00D42B67">
        <w:rPr>
          <w:rFonts w:ascii="Arial" w:hAnsi="Arial" w:cs="Arial"/>
          <w:b/>
          <w:lang w:val="en-US"/>
        </w:rPr>
        <w:t xml:space="preserve"> </w:t>
      </w:r>
      <w:r w:rsidRPr="00D42B67">
        <w:rPr>
          <w:rFonts w:ascii="Arial" w:hAnsi="Arial" w:cs="Arial"/>
          <w:szCs w:val="20"/>
          <w:lang w:val="en-US"/>
        </w:rPr>
        <w:t xml:space="preserve">ALT (alanine transaminase), </w:t>
      </w:r>
      <w:r w:rsidRPr="00D42B67">
        <w:rPr>
          <w:rFonts w:ascii="Arial" w:hAnsi="Arial" w:cs="Arial"/>
          <w:lang w:val="en-US"/>
        </w:rPr>
        <w:t xml:space="preserve">ASH (alcoholic </w:t>
      </w:r>
      <w:proofErr w:type="spellStart"/>
      <w:r w:rsidRPr="00D42B67">
        <w:rPr>
          <w:rFonts w:ascii="Arial" w:hAnsi="Arial" w:cs="Arial"/>
          <w:lang w:val="en-US"/>
        </w:rPr>
        <w:t>steatohepatitis</w:t>
      </w:r>
      <w:proofErr w:type="spellEnd"/>
      <w:r w:rsidRPr="00D42B67">
        <w:rPr>
          <w:rFonts w:ascii="Arial" w:hAnsi="Arial" w:cs="Arial"/>
          <w:lang w:val="en-US"/>
        </w:rPr>
        <w:t xml:space="preserve">), </w:t>
      </w:r>
      <w:r w:rsidRPr="00D42B67">
        <w:rPr>
          <w:rFonts w:ascii="Arial" w:hAnsi="Arial" w:cs="Arial"/>
          <w:szCs w:val="20"/>
          <w:lang w:val="en-US"/>
        </w:rPr>
        <w:t xml:space="preserve">AST (aspartate transaminase), </w:t>
      </w:r>
      <w:r w:rsidRPr="00D42B67">
        <w:rPr>
          <w:rFonts w:ascii="Arial" w:eastAsia="OTNEJMQuadraat" w:hAnsi="Arial" w:cs="Arial"/>
          <w:lang w:val="en-GB"/>
        </w:rPr>
        <w:t>DF (</w:t>
      </w:r>
      <w:proofErr w:type="spellStart"/>
      <w:r w:rsidRPr="00D42B67">
        <w:rPr>
          <w:rFonts w:ascii="Arial" w:eastAsia="OTNEJMQuadraat" w:hAnsi="Arial" w:cs="Arial"/>
          <w:lang w:val="en-GB"/>
        </w:rPr>
        <w:t>Maddrey’s</w:t>
      </w:r>
      <w:proofErr w:type="spellEnd"/>
      <w:r w:rsidRPr="00D42B67">
        <w:rPr>
          <w:rFonts w:ascii="Arial" w:eastAsia="OTNEJMQuadraat" w:hAnsi="Arial" w:cs="Arial"/>
          <w:lang w:val="en-GB"/>
        </w:rPr>
        <w:t xml:space="preserve"> discriminant function), </w:t>
      </w:r>
      <w:r w:rsidRPr="00D42B67">
        <w:rPr>
          <w:rFonts w:ascii="Arial" w:eastAsiaTheme="minorHAnsi" w:hAnsi="Arial" w:cs="Arial"/>
          <w:lang w:val="en-GB"/>
        </w:rPr>
        <w:t xml:space="preserve">GAHS (Glasgow AH score), </w:t>
      </w:r>
      <w:r w:rsidRPr="00D42B67">
        <w:rPr>
          <w:rFonts w:ascii="Arial" w:hAnsi="Arial" w:cs="Arial"/>
          <w:szCs w:val="20"/>
          <w:lang w:val="en-US"/>
        </w:rPr>
        <w:t xml:space="preserve">INR (International </w:t>
      </w:r>
      <w:proofErr w:type="spellStart"/>
      <w:r w:rsidRPr="00D42B67">
        <w:rPr>
          <w:rFonts w:ascii="Arial" w:hAnsi="Arial" w:cs="Arial"/>
          <w:szCs w:val="20"/>
          <w:lang w:val="en-US"/>
        </w:rPr>
        <w:t>Normalised</w:t>
      </w:r>
      <w:proofErr w:type="spellEnd"/>
      <w:r w:rsidRPr="00D42B67">
        <w:rPr>
          <w:rFonts w:ascii="Arial" w:hAnsi="Arial" w:cs="Arial"/>
          <w:szCs w:val="20"/>
          <w:lang w:val="en-US"/>
        </w:rPr>
        <w:t xml:space="preserve"> Ratio), MELD (Model for End-stage Liver Disease score).</w:t>
      </w:r>
    </w:p>
    <w:p w14:paraId="70985409" w14:textId="77777777" w:rsidR="0009335F" w:rsidRPr="00D42B67" w:rsidRDefault="0009335F" w:rsidP="0009335F">
      <w:pPr>
        <w:rPr>
          <w:rFonts w:ascii="Arial" w:hAnsi="Arial" w:cs="Arial"/>
          <w:b/>
          <w:lang w:val="en-US"/>
        </w:rPr>
      </w:pPr>
      <w:r w:rsidRPr="00D42B67">
        <w:rPr>
          <w:rFonts w:ascii="Arial" w:hAnsi="Arial" w:cs="Arial"/>
          <w:b/>
          <w:noProof/>
          <w:lang w:val="en-US" w:eastAsia="de-DE"/>
        </w:rPr>
        <w:t xml:space="preserve">Supplementary Figure 4. </w:t>
      </w:r>
      <w:r w:rsidRPr="00D42B67">
        <w:rPr>
          <w:rFonts w:ascii="Arial" w:hAnsi="Arial" w:cs="Arial"/>
          <w:lang w:val="en-US"/>
        </w:rPr>
        <w:t xml:space="preserve">Distribution of serum K18-M30 and K18-M65 values by quintile of </w:t>
      </w:r>
      <w:r w:rsidRPr="00D42B67">
        <w:rPr>
          <w:rFonts w:ascii="Arial" w:hAnsi="Arial" w:cs="Arial"/>
          <w:szCs w:val="20"/>
          <w:lang w:val="en-US"/>
        </w:rPr>
        <w:t>Model for End-stage Liver Disease score</w:t>
      </w:r>
      <w:r w:rsidRPr="00D42B67">
        <w:rPr>
          <w:rFonts w:ascii="Arial" w:hAnsi="Arial" w:cs="Arial"/>
          <w:lang w:val="en-US"/>
        </w:rPr>
        <w:t xml:space="preserve"> (MELD; a) or </w:t>
      </w:r>
      <w:proofErr w:type="spellStart"/>
      <w:r w:rsidRPr="00D42B67">
        <w:rPr>
          <w:rFonts w:ascii="Arial" w:eastAsia="OTNEJMQuadraat" w:hAnsi="Arial" w:cs="Arial"/>
          <w:lang w:val="en-GB"/>
        </w:rPr>
        <w:t>Maddrey’s</w:t>
      </w:r>
      <w:proofErr w:type="spellEnd"/>
      <w:r w:rsidRPr="00D42B67">
        <w:rPr>
          <w:rFonts w:ascii="Arial" w:eastAsia="OTNEJMQuadraat" w:hAnsi="Arial" w:cs="Arial"/>
          <w:lang w:val="en-GB"/>
        </w:rPr>
        <w:t xml:space="preserve"> discriminant function</w:t>
      </w:r>
      <w:r w:rsidRPr="00D42B67">
        <w:rPr>
          <w:rFonts w:ascii="Arial" w:hAnsi="Arial" w:cs="Arial"/>
          <w:lang w:val="en-US"/>
        </w:rPr>
        <w:t xml:space="preserve"> (DF) score (b).</w:t>
      </w:r>
    </w:p>
    <w:p w14:paraId="1EDCC5B9" w14:textId="77777777" w:rsidR="0009335F" w:rsidRPr="00D42B67" w:rsidRDefault="0009335F" w:rsidP="0009335F">
      <w:pPr>
        <w:jc w:val="both"/>
        <w:rPr>
          <w:rFonts w:ascii="Arial" w:hAnsi="Arial" w:cs="Arial"/>
          <w:noProof/>
          <w:lang w:val="en-US" w:eastAsia="de-DE"/>
        </w:rPr>
      </w:pPr>
      <w:r w:rsidRPr="00D42B67">
        <w:rPr>
          <w:rFonts w:ascii="Arial" w:hAnsi="Arial" w:cs="Arial"/>
          <w:b/>
          <w:noProof/>
          <w:lang w:val="en-US" w:eastAsia="de-DE"/>
        </w:rPr>
        <w:t xml:space="preserve">Supplementary Figure 5. </w:t>
      </w:r>
      <w:r w:rsidRPr="00D42B67">
        <w:rPr>
          <w:rFonts w:ascii="Arial" w:hAnsi="Arial" w:cs="Arial"/>
          <w:noProof/>
          <w:lang w:val="en-US" w:eastAsia="de-DE"/>
        </w:rPr>
        <w:t>Receiver operating characteristic (ROC) curves for the prediction of twenty-eight-day mortality by serum K18 fragments alone or combination with the MELD score in patients with clinically diagnosed alcoholic hepatitis and treated without (a) or with (b) prednisolone.</w:t>
      </w:r>
    </w:p>
    <w:p w14:paraId="169A05C7" w14:textId="77777777" w:rsidR="0009335F" w:rsidRDefault="0009335F" w:rsidP="0009335F">
      <w:pPr>
        <w:jc w:val="both"/>
        <w:rPr>
          <w:rFonts w:ascii="Arial" w:hAnsi="Arial" w:cs="Arial"/>
          <w:noProof/>
          <w:lang w:val="en-US" w:eastAsia="de-DE"/>
        </w:rPr>
      </w:pPr>
      <w:r w:rsidRPr="00D42B67">
        <w:rPr>
          <w:rFonts w:ascii="Arial" w:hAnsi="Arial" w:cs="Arial"/>
          <w:b/>
          <w:noProof/>
          <w:lang w:val="en-US" w:eastAsia="de-DE"/>
        </w:rPr>
        <w:t xml:space="preserve">Supplementary Figure 6. </w:t>
      </w:r>
      <w:r w:rsidRPr="00D42B67">
        <w:rPr>
          <w:rFonts w:ascii="Arial" w:hAnsi="Arial" w:cs="Arial"/>
          <w:noProof/>
          <w:lang w:val="en-US" w:eastAsia="de-DE"/>
        </w:rPr>
        <w:t>Kaplan-Meier survival functions for (a) Lille responders (Lille score &lt;0.45) and (b) Lille non-responders, by prednisolone treatment status. Additional Kaplan-Meier illustrating the effect of prednisolone in Lille responders and non-responders with  serum K18-M30 (c,d) above or (e,f) below 5 kIU/L.</w:t>
      </w:r>
    </w:p>
    <w:p w14:paraId="2DDC6648" w14:textId="77777777" w:rsidR="0009335F" w:rsidRDefault="0009335F" w:rsidP="0009335F">
      <w:pPr>
        <w:jc w:val="both"/>
        <w:rPr>
          <w:rFonts w:ascii="Arial" w:hAnsi="Arial" w:cs="Arial"/>
          <w:noProof/>
          <w:lang w:val="en-US" w:eastAsia="de-DE"/>
        </w:rPr>
      </w:pPr>
    </w:p>
    <w:p w14:paraId="56D2A38F" w14:textId="77777777" w:rsidR="0051431D" w:rsidRDefault="0051431D"/>
    <w:sectPr w:rsidR="00514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TNEJMQuadraat">
    <w:altName w:val="Arial Unicode MS"/>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4"/>
    <w:rsid w:val="0009335F"/>
    <w:rsid w:val="001A3186"/>
    <w:rsid w:val="001D0EA2"/>
    <w:rsid w:val="002C3030"/>
    <w:rsid w:val="00344D97"/>
    <w:rsid w:val="003966C0"/>
    <w:rsid w:val="003D730A"/>
    <w:rsid w:val="0041094E"/>
    <w:rsid w:val="00442814"/>
    <w:rsid w:val="004A7E92"/>
    <w:rsid w:val="004C4074"/>
    <w:rsid w:val="0051431D"/>
    <w:rsid w:val="005318E0"/>
    <w:rsid w:val="00543951"/>
    <w:rsid w:val="005463CE"/>
    <w:rsid w:val="006203E8"/>
    <w:rsid w:val="006320BD"/>
    <w:rsid w:val="006638B3"/>
    <w:rsid w:val="006A21C2"/>
    <w:rsid w:val="006C05A9"/>
    <w:rsid w:val="00705716"/>
    <w:rsid w:val="00742AF5"/>
    <w:rsid w:val="007A62B8"/>
    <w:rsid w:val="008229D6"/>
    <w:rsid w:val="008D2845"/>
    <w:rsid w:val="008E79F7"/>
    <w:rsid w:val="008F12A7"/>
    <w:rsid w:val="00932C84"/>
    <w:rsid w:val="00935E61"/>
    <w:rsid w:val="009821B6"/>
    <w:rsid w:val="009B65BC"/>
    <w:rsid w:val="00A04555"/>
    <w:rsid w:val="00A43D8A"/>
    <w:rsid w:val="00AA763F"/>
    <w:rsid w:val="00AB77C4"/>
    <w:rsid w:val="00AD2214"/>
    <w:rsid w:val="00B13D1E"/>
    <w:rsid w:val="00B61B2E"/>
    <w:rsid w:val="00BE55F4"/>
    <w:rsid w:val="00C54B73"/>
    <w:rsid w:val="00C659E4"/>
    <w:rsid w:val="00D10A36"/>
    <w:rsid w:val="00D20294"/>
    <w:rsid w:val="00D42B67"/>
    <w:rsid w:val="00D53C01"/>
    <w:rsid w:val="00D76144"/>
    <w:rsid w:val="00D81FD7"/>
    <w:rsid w:val="00D8591D"/>
    <w:rsid w:val="00DD683B"/>
    <w:rsid w:val="00DF3D6F"/>
    <w:rsid w:val="00E84DFD"/>
    <w:rsid w:val="00E876F9"/>
    <w:rsid w:val="00F5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F771"/>
  <w15:chartTrackingRefBased/>
  <w15:docId w15:val="{0F87266B-22D9-4EDC-8897-270D70DB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E4"/>
    <w:pPr>
      <w:spacing w:after="200" w:line="276" w:lineRule="auto"/>
    </w:pPr>
    <w:rPr>
      <w:rFonts w:ascii="Calibri" w:eastAsia="Calibri" w:hAnsi="Calibri" w:cs="Times New Roman"/>
      <w:lang w:val="de-DE"/>
    </w:rPr>
  </w:style>
  <w:style w:type="paragraph" w:styleId="Heading1">
    <w:name w:val="heading 1"/>
    <w:basedOn w:val="Normal"/>
    <w:next w:val="Normal"/>
    <w:link w:val="Heading1Char"/>
    <w:uiPriority w:val="9"/>
    <w:qFormat/>
    <w:rsid w:val="00935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C659E4"/>
    <w:pPr>
      <w:keepNext/>
      <w:keepLines/>
      <w:spacing w:before="40" w:after="0" w:line="480" w:lineRule="auto"/>
      <w:jc w:val="both"/>
      <w:outlineLvl w:val="3"/>
    </w:pPr>
    <w:rPr>
      <w:rFonts w:asciiTheme="majorHAnsi" w:eastAsiaTheme="majorEastAsia" w:hAnsiTheme="majorHAnsi" w:cstheme="majorBidi"/>
      <w:i/>
      <w:iCs/>
      <w:color w:val="2E74B5"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59E4"/>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3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83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D683B"/>
    <w:rPr>
      <w:rFonts w:ascii="Times New Roman" w:eastAsia="Calibri" w:hAnsi="Times New Roman" w:cs="Times New Roman"/>
      <w:sz w:val="18"/>
      <w:szCs w:val="18"/>
      <w:lang w:val="de-DE"/>
    </w:rPr>
  </w:style>
  <w:style w:type="character" w:customStyle="1" w:styleId="Heading1Char">
    <w:name w:val="Heading 1 Char"/>
    <w:basedOn w:val="DefaultParagraphFont"/>
    <w:link w:val="Heading1"/>
    <w:uiPriority w:val="9"/>
    <w:rsid w:val="00935E61"/>
    <w:rPr>
      <w:rFonts w:asciiTheme="majorHAnsi" w:eastAsiaTheme="majorEastAsia" w:hAnsiTheme="majorHAnsi" w:cstheme="majorBidi"/>
      <w:color w:val="2E74B5" w:themeColor="accent1" w:themeShade="BF"/>
      <w:sz w:val="32"/>
      <w:szCs w:val="32"/>
      <w:lang w:val="de-DE"/>
    </w:rPr>
  </w:style>
  <w:style w:type="table" w:customStyle="1" w:styleId="GridTable5Dark-Accent11">
    <w:name w:val="Grid Table 5 Dark - Accent 11"/>
    <w:basedOn w:val="TableNormal"/>
    <w:uiPriority w:val="50"/>
    <w:rsid w:val="00742AF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6320BD"/>
    <w:rPr>
      <w:sz w:val="16"/>
      <w:szCs w:val="16"/>
    </w:rPr>
  </w:style>
  <w:style w:type="paragraph" w:styleId="CommentText">
    <w:name w:val="annotation text"/>
    <w:basedOn w:val="Normal"/>
    <w:link w:val="CommentTextChar"/>
    <w:uiPriority w:val="99"/>
    <w:semiHidden/>
    <w:unhideWhenUsed/>
    <w:rsid w:val="006320BD"/>
    <w:pPr>
      <w:spacing w:line="240" w:lineRule="auto"/>
    </w:pPr>
    <w:rPr>
      <w:sz w:val="20"/>
      <w:szCs w:val="20"/>
    </w:rPr>
  </w:style>
  <w:style w:type="character" w:customStyle="1" w:styleId="CommentTextChar">
    <w:name w:val="Comment Text Char"/>
    <w:basedOn w:val="DefaultParagraphFont"/>
    <w:link w:val="CommentText"/>
    <w:uiPriority w:val="99"/>
    <w:semiHidden/>
    <w:rsid w:val="006320BD"/>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6320BD"/>
    <w:rPr>
      <w:b/>
      <w:bCs/>
    </w:rPr>
  </w:style>
  <w:style w:type="character" w:customStyle="1" w:styleId="CommentSubjectChar">
    <w:name w:val="Comment Subject Char"/>
    <w:basedOn w:val="CommentTextChar"/>
    <w:link w:val="CommentSubject"/>
    <w:uiPriority w:val="99"/>
    <w:semiHidden/>
    <w:rsid w:val="006320BD"/>
    <w:rPr>
      <w:rFonts w:ascii="Calibri" w:eastAsia="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1000">
      <w:bodyDiv w:val="1"/>
      <w:marLeft w:val="0"/>
      <w:marRight w:val="0"/>
      <w:marTop w:val="0"/>
      <w:marBottom w:val="0"/>
      <w:divBdr>
        <w:top w:val="none" w:sz="0" w:space="0" w:color="auto"/>
        <w:left w:val="none" w:sz="0" w:space="0" w:color="auto"/>
        <w:bottom w:val="none" w:sz="0" w:space="0" w:color="auto"/>
        <w:right w:val="none" w:sz="0" w:space="0" w:color="auto"/>
      </w:divBdr>
    </w:div>
    <w:div w:id="767508857">
      <w:bodyDiv w:val="1"/>
      <w:marLeft w:val="0"/>
      <w:marRight w:val="0"/>
      <w:marTop w:val="0"/>
      <w:marBottom w:val="0"/>
      <w:divBdr>
        <w:top w:val="none" w:sz="0" w:space="0" w:color="auto"/>
        <w:left w:val="none" w:sz="0" w:space="0" w:color="auto"/>
        <w:bottom w:val="none" w:sz="0" w:space="0" w:color="auto"/>
        <w:right w:val="none" w:sz="0" w:space="0" w:color="auto"/>
      </w:divBdr>
    </w:div>
    <w:div w:id="1274244715">
      <w:bodyDiv w:val="1"/>
      <w:marLeft w:val="0"/>
      <w:marRight w:val="0"/>
      <w:marTop w:val="0"/>
      <w:marBottom w:val="0"/>
      <w:divBdr>
        <w:top w:val="none" w:sz="0" w:space="0" w:color="auto"/>
        <w:left w:val="none" w:sz="0" w:space="0" w:color="auto"/>
        <w:bottom w:val="none" w:sz="0" w:space="0" w:color="auto"/>
        <w:right w:val="none" w:sz="0" w:space="0" w:color="auto"/>
      </w:divBdr>
    </w:div>
    <w:div w:id="1841889825">
      <w:bodyDiv w:val="1"/>
      <w:marLeft w:val="0"/>
      <w:marRight w:val="0"/>
      <w:marTop w:val="0"/>
      <w:marBottom w:val="0"/>
      <w:divBdr>
        <w:top w:val="none" w:sz="0" w:space="0" w:color="auto"/>
        <w:left w:val="none" w:sz="0" w:space="0" w:color="auto"/>
        <w:bottom w:val="none" w:sz="0" w:space="0" w:color="auto"/>
        <w:right w:val="none" w:sz="0" w:space="0" w:color="auto"/>
      </w:divBdr>
    </w:div>
    <w:div w:id="1986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2443</Words>
  <Characters>13930</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Nottingham</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Grove</dc:creator>
  <cp:keywords/>
  <dc:description/>
  <cp:lastModifiedBy>Jane Grove</cp:lastModifiedBy>
  <cp:revision>4</cp:revision>
  <dcterms:created xsi:type="dcterms:W3CDTF">2020-05-15T08:56:00Z</dcterms:created>
  <dcterms:modified xsi:type="dcterms:W3CDTF">2020-05-15T09:30:00Z</dcterms:modified>
</cp:coreProperties>
</file>